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B7501" w14:textId="77777777" w:rsidR="00C05912" w:rsidRDefault="00C05912" w:rsidP="00C05912">
      <w:pPr>
        <w:pStyle w:val="Header"/>
        <w:tabs>
          <w:tab w:val="clear" w:pos="4320"/>
          <w:tab w:val="clear" w:pos="8640"/>
        </w:tabs>
      </w:pPr>
      <w:bookmarkStart w:id="0" w:name="_Toc8718434"/>
      <w:bookmarkStart w:id="1" w:name="_Toc8718597"/>
    </w:p>
    <w:p w14:paraId="1894B641" w14:textId="77777777" w:rsidR="00C05912" w:rsidRDefault="00C05912" w:rsidP="00C05912">
      <w:pPr>
        <w:pStyle w:val="Header"/>
        <w:tabs>
          <w:tab w:val="clear" w:pos="4320"/>
          <w:tab w:val="clear" w:pos="8640"/>
        </w:tabs>
      </w:pPr>
    </w:p>
    <w:p w14:paraId="1C209E14" w14:textId="77777777" w:rsidR="00C05912" w:rsidRDefault="00371D42" w:rsidP="00C05912">
      <w:pPr>
        <w:ind w:right="-216"/>
        <w:jc w:val="right"/>
        <w:rPr>
          <w:rFonts w:cs="Arial"/>
        </w:rPr>
      </w:pPr>
      <w:r>
        <w:rPr>
          <w:rFonts w:cs="Arial"/>
          <w:noProof/>
          <w:lang w:eastAsia="en-AU"/>
        </w:rPr>
        <w:drawing>
          <wp:inline distT="0" distB="0" distL="0" distR="0" wp14:anchorId="75FD69B3" wp14:editId="23212FFD">
            <wp:extent cx="3464743" cy="1285574"/>
            <wp:effectExtent l="0" t="0" r="2540" b="0"/>
            <wp:docPr id="5" name="Picture 5" title="MA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68860" cy="1287102"/>
                    </a:xfrm>
                    <a:prstGeom prst="rect">
                      <a:avLst/>
                    </a:prstGeom>
                  </pic:spPr>
                </pic:pic>
              </a:graphicData>
            </a:graphic>
          </wp:inline>
        </w:drawing>
      </w:r>
    </w:p>
    <w:p w14:paraId="2A5D1D2A" w14:textId="77777777" w:rsidR="00C05912" w:rsidRDefault="00C05912" w:rsidP="00C05912">
      <w:pPr>
        <w:rPr>
          <w:rFonts w:cs="Arial"/>
        </w:rPr>
      </w:pPr>
      <w:r>
        <w:rPr>
          <w:rFonts w:cs="Arial"/>
          <w:noProof/>
          <w:lang w:eastAsia="en-AU"/>
        </w:rPr>
        <mc:AlternateContent>
          <mc:Choice Requires="wps">
            <w:drawing>
              <wp:anchor distT="0" distB="0" distL="114300" distR="114300" simplePos="0" relativeHeight="251659264" behindDoc="0" locked="0" layoutInCell="1" allowOverlap="1" wp14:anchorId="71DA9282" wp14:editId="693374B8">
                <wp:simplePos x="0" y="0"/>
                <wp:positionH relativeFrom="column">
                  <wp:posOffset>941070</wp:posOffset>
                </wp:positionH>
                <wp:positionV relativeFrom="paragraph">
                  <wp:posOffset>49530</wp:posOffset>
                </wp:positionV>
                <wp:extent cx="0" cy="6859905"/>
                <wp:effectExtent l="24765" t="27940" r="22860" b="273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3.9pt" to="74.1pt,5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xUHwIAADcEAAAOAAAAZHJzL2Uyb0RvYy54bWysU02P2yAQvVfqf0DcE9tZJ02sOKvWTnrZ&#10;biNl+wMIYBsVMwjYOFHV/14gH9q0l6rqBQYYHm/ePJaPx16iAzdWgCpxNk4x4ooCE6ot8beXzWiO&#10;kXVEMSJB8RKfuMWPq/fvloMu+AQ6kIwb5EGULQZd4s45XSSJpR3viR2D5sofNmB64vzStAkzZPDo&#10;vUwmaTpLBjBMG6DcWr9bnw/xKuI3Dafua9NY7pAssefm4mjiuA9jslqSojVEd4JeaJB/YNETofyj&#10;N6iaOIJejfgDqhfUgIXGjSn0CTSNoDzW4KvJ0t+q2XVE81iLF8fqm0z2/8HS58PWIMFKPMFIkd63&#10;aOcMEW3nUAVKeQHBoEnQadC28OmV2ppQKT2qnX4C+t0iBVVHVMsj35eT9iBZuJHcXQkLq/1r++EL&#10;MJ9DXh1E0Y6N6QOklwMdY29Ot97wo0P0vEn97mw+XSzSaUQnxfWiNtZ95tCjEJRYChVkIwU5PFkX&#10;iJDimhK2FWyElLH1UqGhxA/zLE3jDQtSsHAa8qxp95U06EC8ezbVp2mWXx6+SzPwqlhE6zhh60vs&#10;iJDn2L8uVcDztXg+l+hsjx+LdLGer+f5KJ/M1qM8revRx02Vj2ab7MO0fqirqs5+BmpZXnSCMa4C&#10;u6tVs/zvrHD5NGeT3cx60yG5R4+CebLXOZKOzQz9OzthD+y0Ndcme3fG5MtPCvZ/u/bx2/+++gUA&#10;AP//AwBQSwMEFAAGAAgAAAAhAPCRdencAAAACgEAAA8AAABkcnMvZG93bnJldi54bWxMj8FOwzAQ&#10;RO9I/QdrK3GjTqMKTIhTIdQKiQtqizg78ZJExOvIdtvA17PlArcdzWj2Tbme3CBOGGLvScNykYFA&#10;arztqdXwdtjeKBAxGbJm8IQavjDCuppdlaaw/kw7PO1TK7iEYmE0dCmNhZSx6dCZuPAjEnsfPjiT&#10;WIZW2mDOXO4GmWfZrXSmJ/7QmRGfOmw+90enIb7cr3bBTa+5fFfP8XsTDtTUWl/Pp8cHEAmn9BeG&#10;Cz6jQ8VMtT+SjWJgvVI5RzXc8YKL/6trPjKlliCrUv6fUP0AAAD//wMAUEsBAi0AFAAGAAgAAAAh&#10;ALaDOJL+AAAA4QEAABMAAAAAAAAAAAAAAAAAAAAAAFtDb250ZW50X1R5cGVzXS54bWxQSwECLQAU&#10;AAYACAAAACEAOP0h/9YAAACUAQAACwAAAAAAAAAAAAAAAAAvAQAAX3JlbHMvLnJlbHNQSwECLQAU&#10;AAYACAAAACEAhH2cVB8CAAA3BAAADgAAAAAAAAAAAAAAAAAuAgAAZHJzL2Uyb0RvYy54bWxQSwEC&#10;LQAUAAYACAAAACEA8JF16dwAAAAKAQAADwAAAAAAAAAAAAAAAAB5BAAAZHJzL2Rvd25yZXYueG1s&#10;UEsFBgAAAAAEAAQA8wAAAIIFAAAAAA==&#10;" strokecolor="#fcb514" strokeweight="3pt"/>
            </w:pict>
          </mc:Fallback>
        </mc:AlternateContent>
      </w:r>
    </w:p>
    <w:p w14:paraId="51349B10" w14:textId="77777777" w:rsidR="00C05912" w:rsidRDefault="00C05912" w:rsidP="00C05912">
      <w:pPr>
        <w:rPr>
          <w:rFonts w:cs="Arial"/>
        </w:rPr>
      </w:pPr>
    </w:p>
    <w:p w14:paraId="6A2DA79A" w14:textId="77777777" w:rsidR="00C05912" w:rsidRDefault="00C05912" w:rsidP="00C05912">
      <w:pPr>
        <w:pStyle w:val="Header"/>
        <w:tabs>
          <w:tab w:val="clear" w:pos="4320"/>
          <w:tab w:val="clear" w:pos="8640"/>
        </w:tabs>
      </w:pPr>
    </w:p>
    <w:p w14:paraId="7483A345" w14:textId="77777777" w:rsidR="00C05912" w:rsidRDefault="00C05912" w:rsidP="00C05912">
      <w:pPr>
        <w:pStyle w:val="Header"/>
        <w:tabs>
          <w:tab w:val="clear" w:pos="4320"/>
          <w:tab w:val="clear" w:pos="8640"/>
        </w:tabs>
      </w:pPr>
    </w:p>
    <w:p w14:paraId="791B9695" w14:textId="77777777" w:rsidR="00C05912" w:rsidRDefault="00C05912" w:rsidP="00C05912">
      <w:pPr>
        <w:pStyle w:val="Header"/>
        <w:tabs>
          <w:tab w:val="clear" w:pos="4320"/>
          <w:tab w:val="clear" w:pos="8640"/>
        </w:tabs>
      </w:pPr>
    </w:p>
    <w:p w14:paraId="326CD062" w14:textId="77777777" w:rsidR="00C05912" w:rsidRDefault="00C05912" w:rsidP="00C05912">
      <w:pPr>
        <w:pStyle w:val="Header"/>
        <w:tabs>
          <w:tab w:val="clear" w:pos="4320"/>
          <w:tab w:val="clear" w:pos="8640"/>
        </w:tabs>
      </w:pPr>
    </w:p>
    <w:p w14:paraId="13831BFE" w14:textId="77777777" w:rsidR="00C05912" w:rsidRDefault="00C05912" w:rsidP="00C05912">
      <w:pPr>
        <w:pStyle w:val="Header"/>
        <w:tabs>
          <w:tab w:val="clear" w:pos="4320"/>
          <w:tab w:val="clear" w:pos="8640"/>
        </w:tabs>
      </w:pPr>
    </w:p>
    <w:p w14:paraId="27D59154" w14:textId="77777777" w:rsidR="00825303" w:rsidRDefault="00825303" w:rsidP="00C05912">
      <w:pPr>
        <w:pStyle w:val="Header"/>
        <w:tabs>
          <w:tab w:val="clear" w:pos="4320"/>
          <w:tab w:val="clear" w:pos="8640"/>
        </w:tabs>
      </w:pPr>
    </w:p>
    <w:p w14:paraId="473503E1" w14:textId="77777777" w:rsidR="00825303" w:rsidRDefault="00825303" w:rsidP="00C05912">
      <w:pPr>
        <w:pStyle w:val="Header"/>
        <w:tabs>
          <w:tab w:val="clear" w:pos="4320"/>
          <w:tab w:val="clear" w:pos="8640"/>
        </w:tabs>
      </w:pPr>
    </w:p>
    <w:p w14:paraId="57E2A9B3" w14:textId="77777777" w:rsidR="00C05912" w:rsidRDefault="00C05912" w:rsidP="00C05912">
      <w:pPr>
        <w:pStyle w:val="Header"/>
        <w:tabs>
          <w:tab w:val="clear" w:pos="4320"/>
          <w:tab w:val="clear" w:pos="8640"/>
        </w:tabs>
      </w:pPr>
    </w:p>
    <w:p w14:paraId="6D6D1851" w14:textId="77777777" w:rsidR="005F0E18" w:rsidRPr="002632A5" w:rsidRDefault="005F0E18" w:rsidP="002632A5">
      <w:pPr>
        <w:pStyle w:val="Title"/>
      </w:pPr>
      <w:r w:rsidRPr="002632A5">
        <w:t xml:space="preserve">MAV Submission to the ESC’s draft </w:t>
      </w:r>
    </w:p>
    <w:p w14:paraId="0ED43138" w14:textId="4FE96653" w:rsidR="005F0E18" w:rsidRPr="002632A5" w:rsidRDefault="005F0E18" w:rsidP="002632A5">
      <w:pPr>
        <w:pStyle w:val="Title"/>
      </w:pPr>
      <w:r w:rsidRPr="002632A5">
        <w:t>Report: Blueprint for Change:</w:t>
      </w:r>
    </w:p>
    <w:p w14:paraId="678070A7" w14:textId="5923A392" w:rsidR="000E66FD" w:rsidRPr="002632A5" w:rsidRDefault="000E66FD" w:rsidP="002632A5">
      <w:pPr>
        <w:pStyle w:val="Title"/>
      </w:pPr>
      <w:r w:rsidRPr="002632A5">
        <w:t>Local Government Rates Capping and</w:t>
      </w:r>
    </w:p>
    <w:p w14:paraId="27934DFD" w14:textId="6E304318" w:rsidR="000E66FD" w:rsidRPr="002632A5" w:rsidRDefault="000E66FD" w:rsidP="002632A5">
      <w:pPr>
        <w:pStyle w:val="Title"/>
      </w:pPr>
      <w:r w:rsidRPr="002632A5">
        <w:t>Variation Review</w:t>
      </w:r>
    </w:p>
    <w:p w14:paraId="4DCC6170" w14:textId="77777777" w:rsidR="00C05912" w:rsidRDefault="00C05912" w:rsidP="00BB2DE5">
      <w:pPr>
        <w:pStyle w:val="Header"/>
        <w:tabs>
          <w:tab w:val="clear" w:pos="4320"/>
          <w:tab w:val="clear" w:pos="8640"/>
        </w:tabs>
        <w:jc w:val="right"/>
      </w:pPr>
    </w:p>
    <w:p w14:paraId="34C2D989" w14:textId="77777777" w:rsidR="00825303" w:rsidRDefault="00825303" w:rsidP="00BB2DE5">
      <w:pPr>
        <w:pStyle w:val="Header"/>
        <w:tabs>
          <w:tab w:val="clear" w:pos="4320"/>
          <w:tab w:val="clear" w:pos="8640"/>
        </w:tabs>
        <w:jc w:val="right"/>
      </w:pPr>
    </w:p>
    <w:p w14:paraId="32201A10" w14:textId="71E15034" w:rsidR="00825303" w:rsidRDefault="00825303" w:rsidP="00BB2DE5">
      <w:pPr>
        <w:pStyle w:val="Header"/>
        <w:tabs>
          <w:tab w:val="clear" w:pos="4320"/>
          <w:tab w:val="clear" w:pos="8640"/>
        </w:tabs>
        <w:jc w:val="right"/>
      </w:pPr>
    </w:p>
    <w:p w14:paraId="1494A19F" w14:textId="77777777" w:rsidR="00BB2DE5" w:rsidRDefault="00BB2DE5" w:rsidP="00BB2DE5">
      <w:pPr>
        <w:pStyle w:val="Header"/>
        <w:tabs>
          <w:tab w:val="clear" w:pos="4320"/>
          <w:tab w:val="clear" w:pos="8640"/>
        </w:tabs>
        <w:jc w:val="right"/>
      </w:pPr>
    </w:p>
    <w:p w14:paraId="3E8122A2" w14:textId="1DE6A038" w:rsidR="00825303" w:rsidRDefault="00825303" w:rsidP="000E66FD">
      <w:pPr>
        <w:pStyle w:val="Header"/>
        <w:tabs>
          <w:tab w:val="clear" w:pos="4320"/>
          <w:tab w:val="clear" w:pos="8640"/>
        </w:tabs>
      </w:pPr>
    </w:p>
    <w:p w14:paraId="7B1A707F" w14:textId="77777777" w:rsidR="00BB2DE5" w:rsidRDefault="00BB2DE5" w:rsidP="00C05912">
      <w:pPr>
        <w:pStyle w:val="Header"/>
        <w:tabs>
          <w:tab w:val="clear" w:pos="4320"/>
          <w:tab w:val="clear" w:pos="8640"/>
        </w:tabs>
      </w:pPr>
    </w:p>
    <w:p w14:paraId="405ABB90" w14:textId="77777777" w:rsidR="00BB2DE5" w:rsidRDefault="00BB2DE5" w:rsidP="00C05912">
      <w:pPr>
        <w:pStyle w:val="Header"/>
        <w:tabs>
          <w:tab w:val="clear" w:pos="4320"/>
          <w:tab w:val="clear" w:pos="8640"/>
        </w:tabs>
      </w:pPr>
    </w:p>
    <w:p w14:paraId="73DA4DB7" w14:textId="77777777" w:rsidR="00BB2DE5" w:rsidRDefault="00BB2DE5" w:rsidP="00C05912">
      <w:pPr>
        <w:pStyle w:val="Header"/>
        <w:tabs>
          <w:tab w:val="clear" w:pos="4320"/>
          <w:tab w:val="clear" w:pos="8640"/>
        </w:tabs>
      </w:pPr>
    </w:p>
    <w:p w14:paraId="18E44D7C" w14:textId="55AFA37A" w:rsidR="00BB2DE5" w:rsidRPr="002632A5" w:rsidRDefault="000E66FD" w:rsidP="002632A5">
      <w:pPr>
        <w:pStyle w:val="Subtitle"/>
      </w:pPr>
      <w:r w:rsidRPr="002632A5">
        <w:t>August 2015</w:t>
      </w:r>
    </w:p>
    <w:p w14:paraId="097D4606" w14:textId="77777777" w:rsidR="00C05912" w:rsidRDefault="00C05912" w:rsidP="00C05912">
      <w:pPr>
        <w:pStyle w:val="Header"/>
        <w:tabs>
          <w:tab w:val="clear" w:pos="4320"/>
          <w:tab w:val="clear" w:pos="8640"/>
        </w:tabs>
      </w:pPr>
    </w:p>
    <w:p w14:paraId="25F3FB98" w14:textId="77777777" w:rsidR="00C05912" w:rsidRDefault="00C05912" w:rsidP="00C05912">
      <w:pPr>
        <w:pStyle w:val="Header"/>
        <w:tabs>
          <w:tab w:val="clear" w:pos="4320"/>
          <w:tab w:val="clear" w:pos="8640"/>
        </w:tabs>
      </w:pPr>
    </w:p>
    <w:p w14:paraId="1C07BE87" w14:textId="77777777" w:rsidR="00C05912" w:rsidRDefault="00C05912" w:rsidP="00C05912">
      <w:pPr>
        <w:pStyle w:val="Header"/>
        <w:tabs>
          <w:tab w:val="clear" w:pos="4320"/>
          <w:tab w:val="clear" w:pos="8640"/>
        </w:tabs>
      </w:pPr>
    </w:p>
    <w:p w14:paraId="7024FF61" w14:textId="77777777" w:rsidR="00C05912" w:rsidRDefault="00C05912" w:rsidP="00C05912">
      <w:pPr>
        <w:pStyle w:val="Header"/>
        <w:tabs>
          <w:tab w:val="clear" w:pos="4320"/>
          <w:tab w:val="clear" w:pos="8640"/>
        </w:tabs>
      </w:pPr>
    </w:p>
    <w:p w14:paraId="5666313C" w14:textId="77777777" w:rsidR="00C05912" w:rsidRDefault="00C05912" w:rsidP="00C05912">
      <w:pPr>
        <w:pStyle w:val="Header"/>
        <w:tabs>
          <w:tab w:val="clear" w:pos="4320"/>
          <w:tab w:val="clear" w:pos="8640"/>
        </w:tabs>
      </w:pPr>
    </w:p>
    <w:p w14:paraId="297BB486" w14:textId="77777777" w:rsidR="00C05912" w:rsidRDefault="00C05912" w:rsidP="00C05912">
      <w:pPr>
        <w:pStyle w:val="Header"/>
        <w:tabs>
          <w:tab w:val="clear" w:pos="4320"/>
          <w:tab w:val="clear" w:pos="8640"/>
        </w:tabs>
      </w:pPr>
    </w:p>
    <w:p w14:paraId="09C93779" w14:textId="77777777" w:rsidR="00C05912" w:rsidRDefault="00C05912" w:rsidP="00C05912">
      <w:pPr>
        <w:pStyle w:val="Header"/>
        <w:tabs>
          <w:tab w:val="clear" w:pos="4320"/>
          <w:tab w:val="clear" w:pos="8640"/>
        </w:tabs>
      </w:pPr>
    </w:p>
    <w:p w14:paraId="0761D8AE" w14:textId="77777777" w:rsidR="00C05912" w:rsidRDefault="00C05912" w:rsidP="00C05912">
      <w:pPr>
        <w:pStyle w:val="Header"/>
        <w:tabs>
          <w:tab w:val="clear" w:pos="4320"/>
          <w:tab w:val="clear" w:pos="8640"/>
        </w:tabs>
      </w:pPr>
    </w:p>
    <w:p w14:paraId="4FC235C5" w14:textId="77777777" w:rsidR="00C05912" w:rsidRDefault="00C05912" w:rsidP="00C05912">
      <w:pPr>
        <w:pStyle w:val="Header"/>
        <w:tabs>
          <w:tab w:val="clear" w:pos="4320"/>
          <w:tab w:val="clear" w:pos="8640"/>
        </w:tabs>
      </w:pPr>
    </w:p>
    <w:p w14:paraId="6895A6FF" w14:textId="77777777" w:rsidR="00C05912" w:rsidRDefault="00C05912" w:rsidP="00C05912">
      <w:pPr>
        <w:pStyle w:val="Header"/>
        <w:tabs>
          <w:tab w:val="clear" w:pos="4320"/>
          <w:tab w:val="clear" w:pos="8640"/>
        </w:tabs>
      </w:pPr>
    </w:p>
    <w:p w14:paraId="50347C12" w14:textId="77777777" w:rsidR="00C05912" w:rsidRDefault="00C05912" w:rsidP="00C05912">
      <w:pPr>
        <w:pStyle w:val="Header"/>
        <w:tabs>
          <w:tab w:val="clear" w:pos="4320"/>
          <w:tab w:val="clear" w:pos="8640"/>
        </w:tabs>
      </w:pPr>
    </w:p>
    <w:p w14:paraId="0888ACEA" w14:textId="77777777" w:rsidR="00C05912" w:rsidRDefault="00C05912" w:rsidP="00C05912">
      <w:pPr>
        <w:pStyle w:val="Header"/>
        <w:tabs>
          <w:tab w:val="clear" w:pos="4320"/>
          <w:tab w:val="clear" w:pos="8640"/>
        </w:tabs>
      </w:pPr>
    </w:p>
    <w:p w14:paraId="7E5E2F79" w14:textId="77777777" w:rsidR="00C05912" w:rsidRDefault="00C05912" w:rsidP="00C05912">
      <w:pPr>
        <w:pStyle w:val="Header"/>
        <w:tabs>
          <w:tab w:val="clear" w:pos="4320"/>
          <w:tab w:val="clear" w:pos="8640"/>
        </w:tabs>
      </w:pPr>
    </w:p>
    <w:p w14:paraId="7E502412" w14:textId="77777777" w:rsidR="00C05912" w:rsidRDefault="00C05912" w:rsidP="00C05912">
      <w:pPr>
        <w:pStyle w:val="Header"/>
        <w:tabs>
          <w:tab w:val="clear" w:pos="4320"/>
          <w:tab w:val="clear" w:pos="8640"/>
        </w:tabs>
      </w:pPr>
    </w:p>
    <w:p w14:paraId="6384D520" w14:textId="77777777" w:rsidR="00C05912" w:rsidRDefault="00C05912" w:rsidP="00C05912">
      <w:pPr>
        <w:pStyle w:val="Header"/>
        <w:tabs>
          <w:tab w:val="clear" w:pos="4320"/>
          <w:tab w:val="clear" w:pos="8640"/>
        </w:tabs>
      </w:pPr>
    </w:p>
    <w:p w14:paraId="79F11FF0" w14:textId="77777777" w:rsidR="00C05912" w:rsidRDefault="00C05912" w:rsidP="00C05912">
      <w:pPr>
        <w:pStyle w:val="Header"/>
        <w:tabs>
          <w:tab w:val="clear" w:pos="4320"/>
          <w:tab w:val="clear" w:pos="8640"/>
        </w:tabs>
      </w:pPr>
    </w:p>
    <w:p w14:paraId="326328EF" w14:textId="77777777" w:rsidR="00C05912" w:rsidRDefault="00C05912" w:rsidP="00C05912">
      <w:pPr>
        <w:pStyle w:val="Header"/>
        <w:tabs>
          <w:tab w:val="clear" w:pos="4320"/>
          <w:tab w:val="clear" w:pos="8640"/>
        </w:tabs>
      </w:pPr>
    </w:p>
    <w:p w14:paraId="21261E23" w14:textId="77777777" w:rsidR="00C05912" w:rsidRDefault="00C05912" w:rsidP="00C05912">
      <w:pPr>
        <w:pStyle w:val="Header"/>
        <w:tabs>
          <w:tab w:val="clear" w:pos="4320"/>
          <w:tab w:val="clear" w:pos="8640"/>
        </w:tabs>
      </w:pPr>
    </w:p>
    <w:p w14:paraId="4E5ED8DD" w14:textId="77777777" w:rsidR="00C05912" w:rsidRDefault="00C05912" w:rsidP="00C05912">
      <w:pPr>
        <w:sectPr w:rsidR="00C05912">
          <w:headerReference w:type="even" r:id="rId16"/>
          <w:headerReference w:type="default" r:id="rId17"/>
          <w:footerReference w:type="even" r:id="rId18"/>
          <w:footerReference w:type="default" r:id="rId19"/>
          <w:pgSz w:w="11909" w:h="16834" w:code="9"/>
          <w:pgMar w:top="1440" w:right="1797" w:bottom="1440" w:left="1797" w:header="720" w:footer="720" w:gutter="0"/>
          <w:pgNumType w:start="1"/>
          <w:cols w:space="720"/>
          <w:docGrid w:linePitch="254"/>
        </w:sectPr>
      </w:pPr>
    </w:p>
    <w:p w14:paraId="27B2804F" w14:textId="77777777" w:rsidR="00C05912" w:rsidRDefault="00C05912" w:rsidP="00C05912"/>
    <w:p w14:paraId="05F1315E" w14:textId="77777777" w:rsidR="00C05912" w:rsidRDefault="00C05912" w:rsidP="00C05912"/>
    <w:p w14:paraId="10FF8E63" w14:textId="77777777" w:rsidR="00C05912" w:rsidRDefault="00C05912" w:rsidP="00C05912"/>
    <w:p w14:paraId="37061806" w14:textId="77777777" w:rsidR="00C05912" w:rsidRDefault="00C05912" w:rsidP="00C05912"/>
    <w:p w14:paraId="7FD47086" w14:textId="77777777" w:rsidR="00C05912" w:rsidRDefault="00C05912" w:rsidP="00C05912"/>
    <w:p w14:paraId="13EDB66D" w14:textId="77777777" w:rsidR="00C05912" w:rsidRDefault="00C05912" w:rsidP="00C05912"/>
    <w:p w14:paraId="217C1CBC" w14:textId="77777777" w:rsidR="00C05912" w:rsidRDefault="00C05912" w:rsidP="00C05912"/>
    <w:p w14:paraId="3167276C" w14:textId="77777777" w:rsidR="00C05912" w:rsidRDefault="00C05912" w:rsidP="00C05912"/>
    <w:p w14:paraId="5D602CE1" w14:textId="77777777" w:rsidR="00C05912" w:rsidRDefault="00C05912" w:rsidP="00C05912"/>
    <w:p w14:paraId="4DA69AFD" w14:textId="77777777" w:rsidR="00C05912" w:rsidRDefault="00C05912" w:rsidP="00C05912"/>
    <w:p w14:paraId="0B94C14B" w14:textId="77777777" w:rsidR="00C05912" w:rsidRDefault="00C05912" w:rsidP="00C05912"/>
    <w:p w14:paraId="64C80481" w14:textId="77777777" w:rsidR="00C05912" w:rsidRDefault="00C05912" w:rsidP="00C05912"/>
    <w:p w14:paraId="6861B3C9" w14:textId="77777777" w:rsidR="00C05912" w:rsidRDefault="00C05912" w:rsidP="00C05912"/>
    <w:p w14:paraId="70D20B0E" w14:textId="4C7015CB" w:rsidR="000E66FD" w:rsidRDefault="000E66FD" w:rsidP="00C05912"/>
    <w:p w14:paraId="7E2AD666" w14:textId="77777777" w:rsidR="000E66FD" w:rsidRDefault="000E66FD" w:rsidP="00C05912"/>
    <w:p w14:paraId="5D25665F" w14:textId="77777777" w:rsidR="000E66FD" w:rsidRDefault="000E66FD" w:rsidP="00C05912"/>
    <w:p w14:paraId="7E4D9018" w14:textId="77777777" w:rsidR="000E66FD" w:rsidRDefault="000E66FD" w:rsidP="00C05912"/>
    <w:p w14:paraId="4FDC84DB" w14:textId="77777777" w:rsidR="000E66FD" w:rsidRDefault="000E66FD" w:rsidP="00C05912"/>
    <w:p w14:paraId="744972FD" w14:textId="77777777" w:rsidR="000E66FD" w:rsidRDefault="000E66FD" w:rsidP="00C05912"/>
    <w:p w14:paraId="67A7F197" w14:textId="77777777" w:rsidR="000E66FD" w:rsidRDefault="000E66FD" w:rsidP="00C05912"/>
    <w:p w14:paraId="66D2A077" w14:textId="77777777" w:rsidR="000E66FD" w:rsidRDefault="000E66FD" w:rsidP="00C05912"/>
    <w:p w14:paraId="21F9AAD8" w14:textId="77777777" w:rsidR="000E66FD" w:rsidRDefault="000E66FD" w:rsidP="00C05912"/>
    <w:p w14:paraId="17F65A87" w14:textId="77777777" w:rsidR="000E66FD" w:rsidRDefault="000E66FD" w:rsidP="00C05912"/>
    <w:p w14:paraId="4E5BC36B" w14:textId="77777777" w:rsidR="000E66FD" w:rsidRDefault="000E66FD" w:rsidP="00C05912"/>
    <w:p w14:paraId="0CB681F2" w14:textId="77777777" w:rsidR="000E66FD" w:rsidRDefault="000E66FD" w:rsidP="00C05912"/>
    <w:p w14:paraId="073B0794" w14:textId="77777777" w:rsidR="00C05912" w:rsidRDefault="00C05912" w:rsidP="00C05912"/>
    <w:p w14:paraId="7E9E7F45" w14:textId="77777777" w:rsidR="00C05912" w:rsidRDefault="00C05912" w:rsidP="00C05912"/>
    <w:p w14:paraId="21857759" w14:textId="77777777" w:rsidR="00C05912" w:rsidRDefault="00C05912" w:rsidP="00C05912"/>
    <w:p w14:paraId="18405FC9" w14:textId="77777777" w:rsidR="00C05912" w:rsidRDefault="00C05912" w:rsidP="00C05912"/>
    <w:p w14:paraId="78A75C50" w14:textId="24D49625" w:rsidR="00C05912" w:rsidRDefault="00C05912" w:rsidP="00C05912">
      <w:pPr>
        <w:pStyle w:val="DisclaimerBold"/>
      </w:pPr>
      <w:r>
        <w:t>© Copyright Municipal Association of Victoria,</w:t>
      </w:r>
      <w:r w:rsidR="00B37A23">
        <w:t xml:space="preserve"> </w:t>
      </w:r>
      <w:r w:rsidR="005F0E18">
        <w:t>2015</w:t>
      </w:r>
      <w:r>
        <w:t xml:space="preserve">. </w:t>
      </w:r>
    </w:p>
    <w:p w14:paraId="478D4F0A" w14:textId="77777777" w:rsidR="00C05912" w:rsidRDefault="00C05912" w:rsidP="00C05912">
      <w:pPr>
        <w:pStyle w:val="Disclaimer"/>
      </w:pPr>
    </w:p>
    <w:p w14:paraId="131E14B8" w14:textId="568AE870" w:rsidR="00C05912" w:rsidRDefault="00C05912" w:rsidP="00C05912">
      <w:pPr>
        <w:pStyle w:val="Disclaimer"/>
      </w:pPr>
      <w:r>
        <w:t>The Municipal Association of Victoria</w:t>
      </w:r>
      <w:r w:rsidR="00EB53E6">
        <w:t xml:space="preserve"> (MAV)</w:t>
      </w:r>
      <w:r>
        <w:t xml:space="preserve"> is the owner of the copyright in the publication</w:t>
      </w:r>
      <w:r w:rsidR="0030496D">
        <w:t xml:space="preserve"> </w:t>
      </w:r>
      <w:r w:rsidR="000E66FD">
        <w:t>MAV Submission to the draft ESC Rates Capping and Variation Review</w:t>
      </w:r>
      <w:r>
        <w:t xml:space="preserve">. </w:t>
      </w:r>
    </w:p>
    <w:p w14:paraId="040D8168" w14:textId="77777777" w:rsidR="00C05912" w:rsidRDefault="00C05912" w:rsidP="00C05912">
      <w:pPr>
        <w:pStyle w:val="Disclaimer"/>
      </w:pPr>
    </w:p>
    <w:p w14:paraId="152A2CDB" w14:textId="77777777" w:rsidR="00C05912" w:rsidRDefault="00C05912" w:rsidP="00C05912">
      <w:pPr>
        <w:pStyle w:val="Disclaimer"/>
      </w:pPr>
      <w:r>
        <w:t xml:space="preserve">No part of this publication may be reproduced, stored or transmitted in any form or by any means without the prior permission in writing from the Municipal Association of </w:t>
      </w:r>
      <w:smartTag w:uri="urn:schemas-microsoft-com:office:smarttags" w:element="State">
        <w:smartTag w:uri="urn:schemas-microsoft-com:office:smarttags" w:element="place">
          <w:r>
            <w:t>Victoria</w:t>
          </w:r>
        </w:smartTag>
      </w:smartTag>
      <w:r>
        <w:t xml:space="preserve">. </w:t>
      </w:r>
    </w:p>
    <w:p w14:paraId="0E077845" w14:textId="77777777" w:rsidR="00C05912" w:rsidRDefault="00C05912" w:rsidP="00C05912">
      <w:pPr>
        <w:pStyle w:val="Disclaimer"/>
      </w:pPr>
    </w:p>
    <w:p w14:paraId="4F9DB712" w14:textId="154B4C17" w:rsidR="00C05912" w:rsidRDefault="00C05912" w:rsidP="00C05912">
      <w:pPr>
        <w:pStyle w:val="Disclaimer"/>
      </w:pPr>
      <w:r>
        <w:t xml:space="preserve">All requests to reproduce, store or transmit material contained in the publication should be addressed to </w:t>
      </w:r>
      <w:r w:rsidR="000E66FD">
        <w:t>MAV</w:t>
      </w:r>
      <w:r>
        <w:t xml:space="preserve"> on </w:t>
      </w:r>
      <w:r w:rsidR="000E66FD">
        <w:t>9667 5555</w:t>
      </w:r>
      <w:r>
        <w:t xml:space="preserve"> </w:t>
      </w:r>
    </w:p>
    <w:p w14:paraId="70851CBB" w14:textId="77777777" w:rsidR="00EB53E6" w:rsidRDefault="00EB53E6" w:rsidP="00C05912">
      <w:pPr>
        <w:pStyle w:val="Disclaimer"/>
      </w:pPr>
    </w:p>
    <w:p w14:paraId="3DAC210D" w14:textId="77777777" w:rsidR="00EB53E6" w:rsidRPr="00EB53E6" w:rsidRDefault="00EB53E6" w:rsidP="00C05912">
      <w:pPr>
        <w:pStyle w:val="Disclaimer"/>
        <w:rPr>
          <w:i w:val="0"/>
          <w:color w:val="auto"/>
        </w:rPr>
      </w:pPr>
      <w:r w:rsidRPr="00EB53E6">
        <w:rPr>
          <w:rStyle w:val="Emphasis"/>
          <w:i/>
          <w:color w:val="auto"/>
        </w:rPr>
        <w:t>T</w:t>
      </w:r>
      <w:r w:rsidR="00A14ADF">
        <w:rPr>
          <w:rStyle w:val="Emphasis"/>
          <w:i/>
          <w:color w:val="auto"/>
        </w:rPr>
        <w:t xml:space="preserve">he MAV </w:t>
      </w:r>
      <w:r w:rsidRPr="00EB53E6">
        <w:rPr>
          <w:rStyle w:val="Emphasis"/>
          <w:i/>
          <w:color w:val="auto"/>
        </w:rPr>
        <w:t>does not guarantee the accuracy of this document's contents if retrieved from sources other than its official websites or directly from a MAV employee.</w:t>
      </w:r>
    </w:p>
    <w:p w14:paraId="0F7CD7F4" w14:textId="77777777" w:rsidR="00C05912" w:rsidRDefault="00C05912" w:rsidP="00C05912">
      <w:pPr>
        <w:pStyle w:val="Disclaimer"/>
      </w:pPr>
    </w:p>
    <w:p w14:paraId="43755227" w14:textId="77777777" w:rsidR="00C05912" w:rsidRPr="003A2EDB" w:rsidRDefault="00C05912" w:rsidP="00C05912">
      <w:pPr>
        <w:pStyle w:val="Disclaimer"/>
        <w:rPr>
          <w:szCs w:val="22"/>
        </w:rPr>
      </w:pPr>
      <w:r w:rsidRPr="003A2EDB">
        <w:rPr>
          <w:szCs w:val="22"/>
        </w:rPr>
        <w:t xml:space="preserve">The MAV can provide this publication in an alternative format upon request, including large print, Braille and audio. </w:t>
      </w:r>
    </w:p>
    <w:p w14:paraId="06DD89F3" w14:textId="77777777" w:rsidR="00C05912" w:rsidRDefault="00C05912" w:rsidP="00C05912">
      <w:pPr>
        <w:pStyle w:val="Disclaimer"/>
      </w:pPr>
    </w:p>
    <w:p w14:paraId="29B0C2D7" w14:textId="15014ACE" w:rsidR="00C05912" w:rsidRPr="003A2EDB" w:rsidRDefault="00C05912" w:rsidP="00C05912">
      <w:pPr>
        <w:pStyle w:val="Disclaimer"/>
        <w:rPr>
          <w:szCs w:val="22"/>
        </w:rPr>
      </w:pPr>
      <w:r w:rsidRPr="003A2EDB">
        <w:rPr>
          <w:szCs w:val="22"/>
        </w:rPr>
        <w:t xml:space="preserve">The MAV is the statutory peak body for local government in Victoria, representing all 79 municipalities. The </w:t>
      </w:r>
    </w:p>
    <w:p w14:paraId="7D2F825A" w14:textId="77777777" w:rsidR="00C05912" w:rsidRPr="003A2EDB" w:rsidRDefault="00C05912" w:rsidP="00C05912">
      <w:pPr>
        <w:pStyle w:val="Disclaimer"/>
        <w:rPr>
          <w:szCs w:val="22"/>
        </w:rPr>
      </w:pPr>
    </w:p>
    <w:p w14:paraId="22A8A524" w14:textId="390CED4B" w:rsidR="00C05912" w:rsidRPr="003A2EDB" w:rsidRDefault="00C05912" w:rsidP="00C05912">
      <w:pPr>
        <w:pStyle w:val="Disclaimer"/>
        <w:rPr>
          <w:szCs w:val="22"/>
        </w:rPr>
      </w:pPr>
      <w:r w:rsidRPr="003A2EDB">
        <w:rPr>
          <w:szCs w:val="22"/>
        </w:rPr>
        <w:t xml:space="preserve">While this paper aims to broadly reflect the views of local government in </w:t>
      </w:r>
      <w:smartTag w:uri="urn:schemas-microsoft-com:office:smarttags" w:element="State">
        <w:smartTag w:uri="urn:schemas-microsoft-com:office:smarttags" w:element="place">
          <w:r w:rsidRPr="003A2EDB">
            <w:rPr>
              <w:szCs w:val="22"/>
            </w:rPr>
            <w:t>Victoria</w:t>
          </w:r>
        </w:smartTag>
      </w:smartTag>
      <w:r w:rsidRPr="003A2EDB">
        <w:rPr>
          <w:szCs w:val="22"/>
        </w:rPr>
        <w:t xml:space="preserve">, it does not purport to reflect the exact views of individual councils. </w:t>
      </w:r>
    </w:p>
    <w:p w14:paraId="3AD425E1" w14:textId="77777777" w:rsidR="00C05912" w:rsidRDefault="00C05912" w:rsidP="00C05912"/>
    <w:p w14:paraId="77BDED5F" w14:textId="77777777" w:rsidR="00C05912" w:rsidRDefault="00C05912" w:rsidP="00C05912">
      <w:r>
        <w:br w:type="page"/>
      </w:r>
    </w:p>
    <w:p w14:paraId="4C483E09" w14:textId="77777777" w:rsidR="00C05912" w:rsidRDefault="00C05912" w:rsidP="00C05912"/>
    <w:p w14:paraId="0A80C819" w14:textId="77777777" w:rsidR="00C05912" w:rsidRDefault="00C05912" w:rsidP="00C05912"/>
    <w:p w14:paraId="09891EFB" w14:textId="77777777" w:rsidR="00C05912" w:rsidRPr="00C74F4B" w:rsidRDefault="00424A4B" w:rsidP="00624E7A">
      <w:pPr>
        <w:rPr>
          <w:rStyle w:val="StyleBold"/>
        </w:rPr>
      </w:pPr>
      <w:r>
        <w:rPr>
          <w:rStyle w:val="StyleBold"/>
        </w:rPr>
        <w:t>Table of c</w:t>
      </w:r>
      <w:r w:rsidR="00C05912" w:rsidRPr="00C74F4B">
        <w:rPr>
          <w:rStyle w:val="StyleBold"/>
        </w:rPr>
        <w:t>ontents</w:t>
      </w:r>
    </w:p>
    <w:p w14:paraId="6C7649FD" w14:textId="77777777" w:rsidR="00C05912" w:rsidRDefault="00C05912" w:rsidP="00C05912"/>
    <w:p w14:paraId="36A55C3E" w14:textId="77777777" w:rsidR="0009256E" w:rsidRDefault="00C05912">
      <w:pPr>
        <w:pStyle w:val="TOC1"/>
        <w:rPr>
          <w:rFonts w:asciiTheme="minorHAnsi" w:eastAsiaTheme="minorEastAsia" w:hAnsiTheme="minorHAnsi" w:cstheme="minorBidi"/>
          <w:bCs w:val="0"/>
          <w:i w:val="0"/>
          <w:iCs w:val="0"/>
          <w:noProof/>
          <w:szCs w:val="22"/>
          <w:lang w:eastAsia="en-AU"/>
        </w:rPr>
      </w:pPr>
      <w:r>
        <w:fldChar w:fldCharType="begin"/>
      </w:r>
      <w:r>
        <w:instrText xml:space="preserve"> TOC \o "1-2" \h \z \u </w:instrText>
      </w:r>
      <w:r>
        <w:fldChar w:fldCharType="separate"/>
      </w:r>
      <w:hyperlink w:anchor="_Toc428541052" w:history="1">
        <w:r w:rsidR="0009256E" w:rsidRPr="00AC5A19">
          <w:rPr>
            <w:rStyle w:val="Hyperlink"/>
            <w:noProof/>
          </w:rPr>
          <w:t>1</w:t>
        </w:r>
        <w:r w:rsidR="0009256E">
          <w:rPr>
            <w:rFonts w:asciiTheme="minorHAnsi" w:eastAsiaTheme="minorEastAsia" w:hAnsiTheme="minorHAnsi" w:cstheme="minorBidi"/>
            <w:bCs w:val="0"/>
            <w:i w:val="0"/>
            <w:iCs w:val="0"/>
            <w:noProof/>
            <w:szCs w:val="22"/>
            <w:lang w:eastAsia="en-AU"/>
          </w:rPr>
          <w:tab/>
        </w:r>
        <w:r w:rsidR="0009256E" w:rsidRPr="00AC5A19">
          <w:rPr>
            <w:rStyle w:val="Hyperlink"/>
            <w:noProof/>
          </w:rPr>
          <w:t>Introduction</w:t>
        </w:r>
        <w:r w:rsidR="0009256E">
          <w:rPr>
            <w:noProof/>
            <w:webHidden/>
          </w:rPr>
          <w:tab/>
        </w:r>
        <w:r w:rsidR="0009256E">
          <w:rPr>
            <w:noProof/>
            <w:webHidden/>
          </w:rPr>
          <w:fldChar w:fldCharType="begin"/>
        </w:r>
        <w:r w:rsidR="0009256E">
          <w:rPr>
            <w:noProof/>
            <w:webHidden/>
          </w:rPr>
          <w:instrText xml:space="preserve"> PAGEREF _Toc428541052 \h </w:instrText>
        </w:r>
        <w:r w:rsidR="0009256E">
          <w:rPr>
            <w:noProof/>
            <w:webHidden/>
          </w:rPr>
        </w:r>
        <w:r w:rsidR="0009256E">
          <w:rPr>
            <w:noProof/>
            <w:webHidden/>
          </w:rPr>
          <w:fldChar w:fldCharType="separate"/>
        </w:r>
        <w:r w:rsidR="0009256E">
          <w:rPr>
            <w:noProof/>
            <w:webHidden/>
          </w:rPr>
          <w:t>3</w:t>
        </w:r>
        <w:r w:rsidR="0009256E">
          <w:rPr>
            <w:noProof/>
            <w:webHidden/>
          </w:rPr>
          <w:fldChar w:fldCharType="end"/>
        </w:r>
      </w:hyperlink>
    </w:p>
    <w:p w14:paraId="00D0777E" w14:textId="77777777" w:rsidR="0009256E" w:rsidRDefault="0069672D">
      <w:pPr>
        <w:pStyle w:val="TOC1"/>
        <w:rPr>
          <w:rFonts w:asciiTheme="minorHAnsi" w:eastAsiaTheme="minorEastAsia" w:hAnsiTheme="minorHAnsi" w:cstheme="minorBidi"/>
          <w:bCs w:val="0"/>
          <w:i w:val="0"/>
          <w:iCs w:val="0"/>
          <w:noProof/>
          <w:szCs w:val="22"/>
          <w:lang w:eastAsia="en-AU"/>
        </w:rPr>
      </w:pPr>
      <w:hyperlink w:anchor="_Toc428541053" w:history="1">
        <w:r w:rsidR="0009256E" w:rsidRPr="00AC5A19">
          <w:rPr>
            <w:rStyle w:val="Hyperlink"/>
            <w:noProof/>
          </w:rPr>
          <w:t>2</w:t>
        </w:r>
        <w:r w:rsidR="0009256E">
          <w:rPr>
            <w:rFonts w:asciiTheme="minorHAnsi" w:eastAsiaTheme="minorEastAsia" w:hAnsiTheme="minorHAnsi" w:cstheme="minorBidi"/>
            <w:bCs w:val="0"/>
            <w:i w:val="0"/>
            <w:iCs w:val="0"/>
            <w:noProof/>
            <w:szCs w:val="22"/>
            <w:lang w:eastAsia="en-AU"/>
          </w:rPr>
          <w:tab/>
        </w:r>
        <w:r w:rsidR="0009256E" w:rsidRPr="00AC5A19">
          <w:rPr>
            <w:rStyle w:val="Hyperlink"/>
            <w:noProof/>
          </w:rPr>
          <w:t>Fundamental Issues</w:t>
        </w:r>
        <w:r w:rsidR="0009256E">
          <w:rPr>
            <w:noProof/>
            <w:webHidden/>
          </w:rPr>
          <w:tab/>
        </w:r>
        <w:r w:rsidR="0009256E">
          <w:rPr>
            <w:noProof/>
            <w:webHidden/>
          </w:rPr>
          <w:fldChar w:fldCharType="begin"/>
        </w:r>
        <w:r w:rsidR="0009256E">
          <w:rPr>
            <w:noProof/>
            <w:webHidden/>
          </w:rPr>
          <w:instrText xml:space="preserve"> PAGEREF _Toc428541053 \h </w:instrText>
        </w:r>
        <w:r w:rsidR="0009256E">
          <w:rPr>
            <w:noProof/>
            <w:webHidden/>
          </w:rPr>
        </w:r>
        <w:r w:rsidR="0009256E">
          <w:rPr>
            <w:noProof/>
            <w:webHidden/>
          </w:rPr>
          <w:fldChar w:fldCharType="separate"/>
        </w:r>
        <w:r w:rsidR="0009256E">
          <w:rPr>
            <w:noProof/>
            <w:webHidden/>
          </w:rPr>
          <w:t>3</w:t>
        </w:r>
        <w:r w:rsidR="0009256E">
          <w:rPr>
            <w:noProof/>
            <w:webHidden/>
          </w:rPr>
          <w:fldChar w:fldCharType="end"/>
        </w:r>
      </w:hyperlink>
    </w:p>
    <w:p w14:paraId="5884BC64" w14:textId="77777777" w:rsidR="0009256E" w:rsidRDefault="0069672D">
      <w:pPr>
        <w:pStyle w:val="TOC2"/>
        <w:rPr>
          <w:rFonts w:asciiTheme="minorHAnsi" w:eastAsiaTheme="minorEastAsia" w:hAnsiTheme="minorHAnsi" w:cstheme="minorBidi"/>
          <w:i w:val="0"/>
          <w:szCs w:val="22"/>
          <w:lang w:eastAsia="en-AU"/>
        </w:rPr>
      </w:pPr>
      <w:hyperlink w:anchor="_Toc428541054" w:history="1">
        <w:r w:rsidR="0009256E" w:rsidRPr="00AC5A19">
          <w:rPr>
            <w:rStyle w:val="Hyperlink"/>
          </w:rPr>
          <w:t>2.1</w:t>
        </w:r>
        <w:r w:rsidR="0009256E">
          <w:rPr>
            <w:rFonts w:asciiTheme="minorHAnsi" w:eastAsiaTheme="minorEastAsia" w:hAnsiTheme="minorHAnsi" w:cstheme="minorBidi"/>
            <w:i w:val="0"/>
            <w:szCs w:val="22"/>
            <w:lang w:eastAsia="en-AU"/>
          </w:rPr>
          <w:tab/>
        </w:r>
        <w:r w:rsidR="0009256E" w:rsidRPr="00AC5A19">
          <w:rPr>
            <w:rStyle w:val="Hyperlink"/>
          </w:rPr>
          <w:t>Reduced Independence of Local Government</w:t>
        </w:r>
        <w:r w:rsidR="0009256E">
          <w:rPr>
            <w:webHidden/>
          </w:rPr>
          <w:tab/>
        </w:r>
        <w:r w:rsidR="0009256E">
          <w:rPr>
            <w:webHidden/>
          </w:rPr>
          <w:fldChar w:fldCharType="begin"/>
        </w:r>
        <w:r w:rsidR="0009256E">
          <w:rPr>
            <w:webHidden/>
          </w:rPr>
          <w:instrText xml:space="preserve"> PAGEREF _Toc428541054 \h </w:instrText>
        </w:r>
        <w:r w:rsidR="0009256E">
          <w:rPr>
            <w:webHidden/>
          </w:rPr>
        </w:r>
        <w:r w:rsidR="0009256E">
          <w:rPr>
            <w:webHidden/>
          </w:rPr>
          <w:fldChar w:fldCharType="separate"/>
        </w:r>
        <w:r w:rsidR="0009256E">
          <w:rPr>
            <w:webHidden/>
          </w:rPr>
          <w:t>3</w:t>
        </w:r>
        <w:r w:rsidR="0009256E">
          <w:rPr>
            <w:webHidden/>
          </w:rPr>
          <w:fldChar w:fldCharType="end"/>
        </w:r>
      </w:hyperlink>
    </w:p>
    <w:p w14:paraId="773C3B31" w14:textId="77777777" w:rsidR="0009256E" w:rsidRDefault="0069672D">
      <w:pPr>
        <w:pStyle w:val="TOC2"/>
        <w:rPr>
          <w:rFonts w:asciiTheme="minorHAnsi" w:eastAsiaTheme="minorEastAsia" w:hAnsiTheme="minorHAnsi" w:cstheme="minorBidi"/>
          <w:i w:val="0"/>
          <w:szCs w:val="22"/>
          <w:lang w:eastAsia="en-AU"/>
        </w:rPr>
      </w:pPr>
      <w:hyperlink w:anchor="_Toc428541055" w:history="1">
        <w:r w:rsidR="0009256E" w:rsidRPr="00AC5A19">
          <w:rPr>
            <w:rStyle w:val="Hyperlink"/>
          </w:rPr>
          <w:t>2.2</w:t>
        </w:r>
        <w:r w:rsidR="0009256E">
          <w:rPr>
            <w:rFonts w:asciiTheme="minorHAnsi" w:eastAsiaTheme="minorEastAsia" w:hAnsiTheme="minorHAnsi" w:cstheme="minorBidi"/>
            <w:i w:val="0"/>
            <w:szCs w:val="22"/>
            <w:lang w:eastAsia="en-AU"/>
          </w:rPr>
          <w:tab/>
        </w:r>
        <w:r w:rsidR="0009256E" w:rsidRPr="00AC5A19">
          <w:rPr>
            <w:rStyle w:val="Hyperlink"/>
          </w:rPr>
          <w:t>Simplicity of the Capping Process</w:t>
        </w:r>
        <w:r w:rsidR="0009256E">
          <w:rPr>
            <w:webHidden/>
          </w:rPr>
          <w:tab/>
        </w:r>
        <w:r w:rsidR="0009256E">
          <w:rPr>
            <w:webHidden/>
          </w:rPr>
          <w:fldChar w:fldCharType="begin"/>
        </w:r>
        <w:r w:rsidR="0009256E">
          <w:rPr>
            <w:webHidden/>
          </w:rPr>
          <w:instrText xml:space="preserve"> PAGEREF _Toc428541055 \h </w:instrText>
        </w:r>
        <w:r w:rsidR="0009256E">
          <w:rPr>
            <w:webHidden/>
          </w:rPr>
        </w:r>
        <w:r w:rsidR="0009256E">
          <w:rPr>
            <w:webHidden/>
          </w:rPr>
          <w:fldChar w:fldCharType="separate"/>
        </w:r>
        <w:r w:rsidR="0009256E">
          <w:rPr>
            <w:webHidden/>
          </w:rPr>
          <w:t>3</w:t>
        </w:r>
        <w:r w:rsidR="0009256E">
          <w:rPr>
            <w:webHidden/>
          </w:rPr>
          <w:fldChar w:fldCharType="end"/>
        </w:r>
      </w:hyperlink>
    </w:p>
    <w:p w14:paraId="5CB7BD90" w14:textId="77777777" w:rsidR="0009256E" w:rsidRDefault="0069672D">
      <w:pPr>
        <w:pStyle w:val="TOC2"/>
        <w:rPr>
          <w:rFonts w:asciiTheme="minorHAnsi" w:eastAsiaTheme="minorEastAsia" w:hAnsiTheme="minorHAnsi" w:cstheme="minorBidi"/>
          <w:i w:val="0"/>
          <w:szCs w:val="22"/>
          <w:lang w:eastAsia="en-AU"/>
        </w:rPr>
      </w:pPr>
      <w:hyperlink w:anchor="_Toc428541056" w:history="1">
        <w:r w:rsidR="0009256E" w:rsidRPr="00AC5A19">
          <w:rPr>
            <w:rStyle w:val="Hyperlink"/>
          </w:rPr>
          <w:t>2.3</w:t>
        </w:r>
        <w:r w:rsidR="0009256E">
          <w:rPr>
            <w:rFonts w:asciiTheme="minorHAnsi" w:eastAsiaTheme="minorEastAsia" w:hAnsiTheme="minorHAnsi" w:cstheme="minorBidi"/>
            <w:i w:val="0"/>
            <w:szCs w:val="22"/>
            <w:lang w:eastAsia="en-AU"/>
          </w:rPr>
          <w:tab/>
        </w:r>
        <w:r w:rsidR="0009256E" w:rsidRPr="00AC5A19">
          <w:rPr>
            <w:rStyle w:val="Hyperlink"/>
          </w:rPr>
          <w:t>Clarity of recommendations</w:t>
        </w:r>
        <w:r w:rsidR="0009256E">
          <w:rPr>
            <w:webHidden/>
          </w:rPr>
          <w:tab/>
        </w:r>
        <w:r w:rsidR="0009256E">
          <w:rPr>
            <w:webHidden/>
          </w:rPr>
          <w:fldChar w:fldCharType="begin"/>
        </w:r>
        <w:r w:rsidR="0009256E">
          <w:rPr>
            <w:webHidden/>
          </w:rPr>
          <w:instrText xml:space="preserve"> PAGEREF _Toc428541056 \h </w:instrText>
        </w:r>
        <w:r w:rsidR="0009256E">
          <w:rPr>
            <w:webHidden/>
          </w:rPr>
        </w:r>
        <w:r w:rsidR="0009256E">
          <w:rPr>
            <w:webHidden/>
          </w:rPr>
          <w:fldChar w:fldCharType="separate"/>
        </w:r>
        <w:r w:rsidR="0009256E">
          <w:rPr>
            <w:webHidden/>
          </w:rPr>
          <w:t>3</w:t>
        </w:r>
        <w:r w:rsidR="0009256E">
          <w:rPr>
            <w:webHidden/>
          </w:rPr>
          <w:fldChar w:fldCharType="end"/>
        </w:r>
      </w:hyperlink>
    </w:p>
    <w:p w14:paraId="0FF01369" w14:textId="77777777" w:rsidR="0009256E" w:rsidRDefault="0069672D">
      <w:pPr>
        <w:pStyle w:val="TOC1"/>
        <w:rPr>
          <w:rFonts w:asciiTheme="minorHAnsi" w:eastAsiaTheme="minorEastAsia" w:hAnsiTheme="minorHAnsi" w:cstheme="minorBidi"/>
          <w:bCs w:val="0"/>
          <w:i w:val="0"/>
          <w:iCs w:val="0"/>
          <w:noProof/>
          <w:szCs w:val="22"/>
          <w:lang w:eastAsia="en-AU"/>
        </w:rPr>
      </w:pPr>
      <w:hyperlink w:anchor="_Toc428541057" w:history="1">
        <w:r w:rsidR="0009256E" w:rsidRPr="00AC5A19">
          <w:rPr>
            <w:rStyle w:val="Hyperlink"/>
            <w:noProof/>
          </w:rPr>
          <w:t>3</w:t>
        </w:r>
        <w:r w:rsidR="0009256E">
          <w:rPr>
            <w:rFonts w:asciiTheme="minorHAnsi" w:eastAsiaTheme="minorEastAsia" w:hAnsiTheme="minorHAnsi" w:cstheme="minorBidi"/>
            <w:bCs w:val="0"/>
            <w:i w:val="0"/>
            <w:iCs w:val="0"/>
            <w:noProof/>
            <w:szCs w:val="22"/>
            <w:lang w:eastAsia="en-AU"/>
          </w:rPr>
          <w:tab/>
        </w:r>
        <w:r w:rsidR="0009256E" w:rsidRPr="00AC5A19">
          <w:rPr>
            <w:rStyle w:val="Hyperlink"/>
            <w:noProof/>
          </w:rPr>
          <w:t>Technical Issues</w:t>
        </w:r>
        <w:r w:rsidR="0009256E">
          <w:rPr>
            <w:noProof/>
            <w:webHidden/>
          </w:rPr>
          <w:tab/>
        </w:r>
        <w:r w:rsidR="0009256E">
          <w:rPr>
            <w:noProof/>
            <w:webHidden/>
          </w:rPr>
          <w:fldChar w:fldCharType="begin"/>
        </w:r>
        <w:r w:rsidR="0009256E">
          <w:rPr>
            <w:noProof/>
            <w:webHidden/>
          </w:rPr>
          <w:instrText xml:space="preserve"> PAGEREF _Toc428541057 \h </w:instrText>
        </w:r>
        <w:r w:rsidR="0009256E">
          <w:rPr>
            <w:noProof/>
            <w:webHidden/>
          </w:rPr>
        </w:r>
        <w:r w:rsidR="0009256E">
          <w:rPr>
            <w:noProof/>
            <w:webHidden/>
          </w:rPr>
          <w:fldChar w:fldCharType="separate"/>
        </w:r>
        <w:r w:rsidR="0009256E">
          <w:rPr>
            <w:noProof/>
            <w:webHidden/>
          </w:rPr>
          <w:t>4</w:t>
        </w:r>
        <w:r w:rsidR="0009256E">
          <w:rPr>
            <w:noProof/>
            <w:webHidden/>
          </w:rPr>
          <w:fldChar w:fldCharType="end"/>
        </w:r>
      </w:hyperlink>
    </w:p>
    <w:p w14:paraId="08254B4F" w14:textId="77777777" w:rsidR="0009256E" w:rsidRDefault="0069672D">
      <w:pPr>
        <w:pStyle w:val="TOC2"/>
        <w:rPr>
          <w:rFonts w:asciiTheme="minorHAnsi" w:eastAsiaTheme="minorEastAsia" w:hAnsiTheme="minorHAnsi" w:cstheme="minorBidi"/>
          <w:i w:val="0"/>
          <w:szCs w:val="22"/>
          <w:lang w:eastAsia="en-AU"/>
        </w:rPr>
      </w:pPr>
      <w:hyperlink w:anchor="_Toc428541058" w:history="1">
        <w:r w:rsidR="0009256E" w:rsidRPr="00AC5A19">
          <w:rPr>
            <w:rStyle w:val="Hyperlink"/>
          </w:rPr>
          <w:t>3.1</w:t>
        </w:r>
        <w:r w:rsidR="0009256E">
          <w:rPr>
            <w:rFonts w:asciiTheme="minorHAnsi" w:eastAsiaTheme="minorEastAsia" w:hAnsiTheme="minorHAnsi" w:cstheme="minorBidi"/>
            <w:i w:val="0"/>
            <w:szCs w:val="22"/>
            <w:lang w:eastAsia="en-AU"/>
          </w:rPr>
          <w:tab/>
        </w:r>
        <w:r w:rsidR="0009256E" w:rsidRPr="00AC5A19">
          <w:rPr>
            <w:rStyle w:val="Hyperlink"/>
          </w:rPr>
          <w:t>Capping Mechanism</w:t>
        </w:r>
        <w:r w:rsidR="0009256E">
          <w:rPr>
            <w:webHidden/>
          </w:rPr>
          <w:tab/>
        </w:r>
        <w:r w:rsidR="0009256E">
          <w:rPr>
            <w:webHidden/>
          </w:rPr>
          <w:fldChar w:fldCharType="begin"/>
        </w:r>
        <w:r w:rsidR="0009256E">
          <w:rPr>
            <w:webHidden/>
          </w:rPr>
          <w:instrText xml:space="preserve"> PAGEREF _Toc428541058 \h </w:instrText>
        </w:r>
        <w:r w:rsidR="0009256E">
          <w:rPr>
            <w:webHidden/>
          </w:rPr>
        </w:r>
        <w:r w:rsidR="0009256E">
          <w:rPr>
            <w:webHidden/>
          </w:rPr>
          <w:fldChar w:fldCharType="separate"/>
        </w:r>
        <w:r w:rsidR="0009256E">
          <w:rPr>
            <w:webHidden/>
          </w:rPr>
          <w:t>4</w:t>
        </w:r>
        <w:r w:rsidR="0009256E">
          <w:rPr>
            <w:webHidden/>
          </w:rPr>
          <w:fldChar w:fldCharType="end"/>
        </w:r>
      </w:hyperlink>
    </w:p>
    <w:p w14:paraId="19C6D6F7" w14:textId="77777777" w:rsidR="0009256E" w:rsidRDefault="0069672D">
      <w:pPr>
        <w:pStyle w:val="TOC2"/>
        <w:rPr>
          <w:rFonts w:asciiTheme="minorHAnsi" w:eastAsiaTheme="minorEastAsia" w:hAnsiTheme="minorHAnsi" w:cstheme="minorBidi"/>
          <w:i w:val="0"/>
          <w:szCs w:val="22"/>
          <w:lang w:eastAsia="en-AU"/>
        </w:rPr>
      </w:pPr>
      <w:hyperlink w:anchor="_Toc428541059" w:history="1">
        <w:r w:rsidR="0009256E" w:rsidRPr="00AC5A19">
          <w:rPr>
            <w:rStyle w:val="Hyperlink"/>
          </w:rPr>
          <w:t>3.2</w:t>
        </w:r>
        <w:r w:rsidR="0009256E">
          <w:rPr>
            <w:rFonts w:asciiTheme="minorHAnsi" w:eastAsiaTheme="minorEastAsia" w:hAnsiTheme="minorHAnsi" w:cstheme="minorBidi"/>
            <w:i w:val="0"/>
            <w:szCs w:val="22"/>
            <w:lang w:eastAsia="en-AU"/>
          </w:rPr>
          <w:tab/>
        </w:r>
        <w:r w:rsidR="0009256E" w:rsidRPr="00AC5A19">
          <w:rPr>
            <w:rStyle w:val="Hyperlink"/>
          </w:rPr>
          <w:t>Impacts on Councils Heavily Dependent on External Source Revenues</w:t>
        </w:r>
        <w:r w:rsidR="0009256E">
          <w:rPr>
            <w:webHidden/>
          </w:rPr>
          <w:tab/>
        </w:r>
        <w:r w:rsidR="0009256E">
          <w:rPr>
            <w:webHidden/>
          </w:rPr>
          <w:fldChar w:fldCharType="begin"/>
        </w:r>
        <w:r w:rsidR="0009256E">
          <w:rPr>
            <w:webHidden/>
          </w:rPr>
          <w:instrText xml:space="preserve"> PAGEREF _Toc428541059 \h </w:instrText>
        </w:r>
        <w:r w:rsidR="0009256E">
          <w:rPr>
            <w:webHidden/>
          </w:rPr>
        </w:r>
        <w:r w:rsidR="0009256E">
          <w:rPr>
            <w:webHidden/>
          </w:rPr>
          <w:fldChar w:fldCharType="separate"/>
        </w:r>
        <w:r w:rsidR="0009256E">
          <w:rPr>
            <w:webHidden/>
          </w:rPr>
          <w:t>18</w:t>
        </w:r>
        <w:r w:rsidR="0009256E">
          <w:rPr>
            <w:webHidden/>
          </w:rPr>
          <w:fldChar w:fldCharType="end"/>
        </w:r>
      </w:hyperlink>
    </w:p>
    <w:p w14:paraId="7C317D38" w14:textId="77777777" w:rsidR="0009256E" w:rsidRDefault="0069672D">
      <w:pPr>
        <w:pStyle w:val="TOC1"/>
        <w:rPr>
          <w:rFonts w:asciiTheme="minorHAnsi" w:eastAsiaTheme="minorEastAsia" w:hAnsiTheme="minorHAnsi" w:cstheme="minorBidi"/>
          <w:bCs w:val="0"/>
          <w:i w:val="0"/>
          <w:iCs w:val="0"/>
          <w:noProof/>
          <w:szCs w:val="22"/>
          <w:lang w:eastAsia="en-AU"/>
        </w:rPr>
      </w:pPr>
      <w:hyperlink w:anchor="_Toc428541060" w:history="1">
        <w:r w:rsidR="0009256E" w:rsidRPr="00AC5A19">
          <w:rPr>
            <w:rStyle w:val="Hyperlink"/>
            <w:noProof/>
          </w:rPr>
          <w:t>4</w:t>
        </w:r>
        <w:r w:rsidR="0009256E">
          <w:rPr>
            <w:rFonts w:asciiTheme="minorHAnsi" w:eastAsiaTheme="minorEastAsia" w:hAnsiTheme="minorHAnsi" w:cstheme="minorBidi"/>
            <w:bCs w:val="0"/>
            <w:i w:val="0"/>
            <w:iCs w:val="0"/>
            <w:noProof/>
            <w:szCs w:val="22"/>
            <w:lang w:eastAsia="en-AU"/>
          </w:rPr>
          <w:tab/>
        </w:r>
        <w:r w:rsidR="0009256E" w:rsidRPr="00AC5A19">
          <w:rPr>
            <w:rStyle w:val="Hyperlink"/>
            <w:noProof/>
          </w:rPr>
          <w:t>Variations and Burden of Proof</w:t>
        </w:r>
        <w:r w:rsidR="0009256E">
          <w:rPr>
            <w:noProof/>
            <w:webHidden/>
          </w:rPr>
          <w:tab/>
        </w:r>
        <w:r w:rsidR="0009256E">
          <w:rPr>
            <w:noProof/>
            <w:webHidden/>
          </w:rPr>
          <w:fldChar w:fldCharType="begin"/>
        </w:r>
        <w:r w:rsidR="0009256E">
          <w:rPr>
            <w:noProof/>
            <w:webHidden/>
          </w:rPr>
          <w:instrText xml:space="preserve"> PAGEREF _Toc428541060 \h </w:instrText>
        </w:r>
        <w:r w:rsidR="0009256E">
          <w:rPr>
            <w:noProof/>
            <w:webHidden/>
          </w:rPr>
        </w:r>
        <w:r w:rsidR="0009256E">
          <w:rPr>
            <w:noProof/>
            <w:webHidden/>
          </w:rPr>
          <w:fldChar w:fldCharType="separate"/>
        </w:r>
        <w:r w:rsidR="0009256E">
          <w:rPr>
            <w:noProof/>
            <w:webHidden/>
          </w:rPr>
          <w:t>18</w:t>
        </w:r>
        <w:r w:rsidR="0009256E">
          <w:rPr>
            <w:noProof/>
            <w:webHidden/>
          </w:rPr>
          <w:fldChar w:fldCharType="end"/>
        </w:r>
      </w:hyperlink>
    </w:p>
    <w:p w14:paraId="119DD617" w14:textId="77777777" w:rsidR="0009256E" w:rsidRDefault="0069672D">
      <w:pPr>
        <w:pStyle w:val="TOC2"/>
        <w:rPr>
          <w:rFonts w:asciiTheme="minorHAnsi" w:eastAsiaTheme="minorEastAsia" w:hAnsiTheme="minorHAnsi" w:cstheme="minorBidi"/>
          <w:i w:val="0"/>
          <w:szCs w:val="22"/>
          <w:lang w:eastAsia="en-AU"/>
        </w:rPr>
      </w:pPr>
      <w:hyperlink w:anchor="_Toc428541061" w:history="1">
        <w:r w:rsidR="0009256E" w:rsidRPr="00AC5A19">
          <w:rPr>
            <w:rStyle w:val="Hyperlink"/>
          </w:rPr>
          <w:t>4.1</w:t>
        </w:r>
        <w:r w:rsidR="0009256E">
          <w:rPr>
            <w:rFonts w:asciiTheme="minorHAnsi" w:eastAsiaTheme="minorEastAsia" w:hAnsiTheme="minorHAnsi" w:cstheme="minorBidi"/>
            <w:i w:val="0"/>
            <w:szCs w:val="22"/>
            <w:lang w:eastAsia="en-AU"/>
          </w:rPr>
          <w:tab/>
        </w:r>
        <w:r w:rsidR="0009256E" w:rsidRPr="00AC5A19">
          <w:rPr>
            <w:rStyle w:val="Hyperlink"/>
          </w:rPr>
          <w:t>Factors to be taken into Account by Councils</w:t>
        </w:r>
        <w:r w:rsidR="0009256E">
          <w:rPr>
            <w:webHidden/>
          </w:rPr>
          <w:tab/>
        </w:r>
        <w:r w:rsidR="0009256E">
          <w:rPr>
            <w:webHidden/>
          </w:rPr>
          <w:fldChar w:fldCharType="begin"/>
        </w:r>
        <w:r w:rsidR="0009256E">
          <w:rPr>
            <w:webHidden/>
          </w:rPr>
          <w:instrText xml:space="preserve"> PAGEREF _Toc428541061 \h </w:instrText>
        </w:r>
        <w:r w:rsidR="0009256E">
          <w:rPr>
            <w:webHidden/>
          </w:rPr>
        </w:r>
        <w:r w:rsidR="0009256E">
          <w:rPr>
            <w:webHidden/>
          </w:rPr>
          <w:fldChar w:fldCharType="separate"/>
        </w:r>
        <w:r w:rsidR="0009256E">
          <w:rPr>
            <w:webHidden/>
          </w:rPr>
          <w:t>18</w:t>
        </w:r>
        <w:r w:rsidR="0009256E">
          <w:rPr>
            <w:webHidden/>
          </w:rPr>
          <w:fldChar w:fldCharType="end"/>
        </w:r>
      </w:hyperlink>
    </w:p>
    <w:p w14:paraId="6F2AF6DC" w14:textId="77777777" w:rsidR="0009256E" w:rsidRDefault="0069672D">
      <w:pPr>
        <w:pStyle w:val="TOC2"/>
        <w:rPr>
          <w:rFonts w:asciiTheme="minorHAnsi" w:eastAsiaTheme="minorEastAsia" w:hAnsiTheme="minorHAnsi" w:cstheme="minorBidi"/>
          <w:i w:val="0"/>
          <w:szCs w:val="22"/>
          <w:lang w:eastAsia="en-AU"/>
        </w:rPr>
      </w:pPr>
      <w:hyperlink w:anchor="_Toc428541062" w:history="1">
        <w:r w:rsidR="0009256E" w:rsidRPr="00AC5A19">
          <w:rPr>
            <w:rStyle w:val="Hyperlink"/>
          </w:rPr>
          <w:t>4.2</w:t>
        </w:r>
        <w:r w:rsidR="0009256E">
          <w:rPr>
            <w:rFonts w:asciiTheme="minorHAnsi" w:eastAsiaTheme="minorEastAsia" w:hAnsiTheme="minorHAnsi" w:cstheme="minorBidi"/>
            <w:i w:val="0"/>
            <w:szCs w:val="22"/>
            <w:lang w:eastAsia="en-AU"/>
          </w:rPr>
          <w:tab/>
        </w:r>
        <w:r w:rsidR="0009256E" w:rsidRPr="00AC5A19">
          <w:rPr>
            <w:rStyle w:val="Hyperlink"/>
          </w:rPr>
          <w:t>Council Need for Variations</w:t>
        </w:r>
        <w:r w:rsidR="0009256E">
          <w:rPr>
            <w:webHidden/>
          </w:rPr>
          <w:tab/>
        </w:r>
        <w:r w:rsidR="0009256E">
          <w:rPr>
            <w:webHidden/>
          </w:rPr>
          <w:fldChar w:fldCharType="begin"/>
        </w:r>
        <w:r w:rsidR="0009256E">
          <w:rPr>
            <w:webHidden/>
          </w:rPr>
          <w:instrText xml:space="preserve"> PAGEREF _Toc428541062 \h </w:instrText>
        </w:r>
        <w:r w:rsidR="0009256E">
          <w:rPr>
            <w:webHidden/>
          </w:rPr>
        </w:r>
        <w:r w:rsidR="0009256E">
          <w:rPr>
            <w:webHidden/>
          </w:rPr>
          <w:fldChar w:fldCharType="separate"/>
        </w:r>
        <w:r w:rsidR="0009256E">
          <w:rPr>
            <w:webHidden/>
          </w:rPr>
          <w:t>19</w:t>
        </w:r>
        <w:r w:rsidR="0009256E">
          <w:rPr>
            <w:webHidden/>
          </w:rPr>
          <w:fldChar w:fldCharType="end"/>
        </w:r>
      </w:hyperlink>
    </w:p>
    <w:p w14:paraId="5E4D5333" w14:textId="77777777" w:rsidR="0009256E" w:rsidRDefault="0069672D">
      <w:pPr>
        <w:pStyle w:val="TOC2"/>
        <w:rPr>
          <w:rFonts w:asciiTheme="minorHAnsi" w:eastAsiaTheme="minorEastAsia" w:hAnsiTheme="minorHAnsi" w:cstheme="minorBidi"/>
          <w:i w:val="0"/>
          <w:szCs w:val="22"/>
          <w:lang w:eastAsia="en-AU"/>
        </w:rPr>
      </w:pPr>
      <w:hyperlink w:anchor="_Toc428541063" w:history="1">
        <w:r w:rsidR="0009256E" w:rsidRPr="00AC5A19">
          <w:rPr>
            <w:rStyle w:val="Hyperlink"/>
          </w:rPr>
          <w:t>4.3</w:t>
        </w:r>
        <w:r w:rsidR="0009256E">
          <w:rPr>
            <w:rFonts w:asciiTheme="minorHAnsi" w:eastAsiaTheme="minorEastAsia" w:hAnsiTheme="minorHAnsi" w:cstheme="minorBidi"/>
            <w:i w:val="0"/>
            <w:szCs w:val="22"/>
            <w:lang w:eastAsia="en-AU"/>
          </w:rPr>
          <w:tab/>
        </w:r>
        <w:r w:rsidR="0009256E" w:rsidRPr="00AC5A19">
          <w:rPr>
            <w:rStyle w:val="Hyperlink"/>
          </w:rPr>
          <w:t>Need for Exactness</w:t>
        </w:r>
        <w:r w:rsidR="0009256E">
          <w:rPr>
            <w:webHidden/>
          </w:rPr>
          <w:tab/>
        </w:r>
        <w:r w:rsidR="0009256E">
          <w:rPr>
            <w:webHidden/>
          </w:rPr>
          <w:fldChar w:fldCharType="begin"/>
        </w:r>
        <w:r w:rsidR="0009256E">
          <w:rPr>
            <w:webHidden/>
          </w:rPr>
          <w:instrText xml:space="preserve"> PAGEREF _Toc428541063 \h </w:instrText>
        </w:r>
        <w:r w:rsidR="0009256E">
          <w:rPr>
            <w:webHidden/>
          </w:rPr>
        </w:r>
        <w:r w:rsidR="0009256E">
          <w:rPr>
            <w:webHidden/>
          </w:rPr>
          <w:fldChar w:fldCharType="separate"/>
        </w:r>
        <w:r w:rsidR="0009256E">
          <w:rPr>
            <w:webHidden/>
          </w:rPr>
          <w:t>23</w:t>
        </w:r>
        <w:r w:rsidR="0009256E">
          <w:rPr>
            <w:webHidden/>
          </w:rPr>
          <w:fldChar w:fldCharType="end"/>
        </w:r>
      </w:hyperlink>
    </w:p>
    <w:p w14:paraId="577DC057" w14:textId="77777777" w:rsidR="0009256E" w:rsidRDefault="0069672D">
      <w:pPr>
        <w:pStyle w:val="TOC1"/>
        <w:rPr>
          <w:rFonts w:asciiTheme="minorHAnsi" w:eastAsiaTheme="minorEastAsia" w:hAnsiTheme="minorHAnsi" w:cstheme="minorBidi"/>
          <w:bCs w:val="0"/>
          <w:i w:val="0"/>
          <w:iCs w:val="0"/>
          <w:noProof/>
          <w:szCs w:val="22"/>
          <w:lang w:eastAsia="en-AU"/>
        </w:rPr>
      </w:pPr>
      <w:hyperlink w:anchor="_Toc428541064" w:history="1">
        <w:r w:rsidR="0009256E" w:rsidRPr="00AC5A19">
          <w:rPr>
            <w:rStyle w:val="Hyperlink"/>
            <w:noProof/>
          </w:rPr>
          <w:t>5</w:t>
        </w:r>
        <w:r w:rsidR="0009256E">
          <w:rPr>
            <w:rFonts w:asciiTheme="minorHAnsi" w:eastAsiaTheme="minorEastAsia" w:hAnsiTheme="minorHAnsi" w:cstheme="minorBidi"/>
            <w:bCs w:val="0"/>
            <w:i w:val="0"/>
            <w:iCs w:val="0"/>
            <w:noProof/>
            <w:szCs w:val="22"/>
            <w:lang w:eastAsia="en-AU"/>
          </w:rPr>
          <w:tab/>
        </w:r>
        <w:r w:rsidR="0009256E" w:rsidRPr="00AC5A19">
          <w:rPr>
            <w:rStyle w:val="Hyperlink"/>
            <w:noProof/>
          </w:rPr>
          <w:t>Role of the ESC</w:t>
        </w:r>
        <w:r w:rsidR="0009256E">
          <w:rPr>
            <w:noProof/>
            <w:webHidden/>
          </w:rPr>
          <w:tab/>
        </w:r>
        <w:r w:rsidR="0009256E">
          <w:rPr>
            <w:noProof/>
            <w:webHidden/>
          </w:rPr>
          <w:fldChar w:fldCharType="begin"/>
        </w:r>
        <w:r w:rsidR="0009256E">
          <w:rPr>
            <w:noProof/>
            <w:webHidden/>
          </w:rPr>
          <w:instrText xml:space="preserve"> PAGEREF _Toc428541064 \h </w:instrText>
        </w:r>
        <w:r w:rsidR="0009256E">
          <w:rPr>
            <w:noProof/>
            <w:webHidden/>
          </w:rPr>
        </w:r>
        <w:r w:rsidR="0009256E">
          <w:rPr>
            <w:noProof/>
            <w:webHidden/>
          </w:rPr>
          <w:fldChar w:fldCharType="separate"/>
        </w:r>
        <w:r w:rsidR="0009256E">
          <w:rPr>
            <w:noProof/>
            <w:webHidden/>
          </w:rPr>
          <w:t>23</w:t>
        </w:r>
        <w:r w:rsidR="0009256E">
          <w:rPr>
            <w:noProof/>
            <w:webHidden/>
          </w:rPr>
          <w:fldChar w:fldCharType="end"/>
        </w:r>
      </w:hyperlink>
    </w:p>
    <w:p w14:paraId="0E48AA44" w14:textId="77777777" w:rsidR="0009256E" w:rsidRDefault="0069672D">
      <w:pPr>
        <w:pStyle w:val="TOC2"/>
        <w:rPr>
          <w:rFonts w:asciiTheme="minorHAnsi" w:eastAsiaTheme="minorEastAsia" w:hAnsiTheme="minorHAnsi" w:cstheme="minorBidi"/>
          <w:i w:val="0"/>
          <w:szCs w:val="22"/>
          <w:lang w:eastAsia="en-AU"/>
        </w:rPr>
      </w:pPr>
      <w:hyperlink w:anchor="_Toc428541065" w:history="1">
        <w:r w:rsidR="0009256E" w:rsidRPr="00AC5A19">
          <w:rPr>
            <w:rStyle w:val="Hyperlink"/>
          </w:rPr>
          <w:t>5.1</w:t>
        </w:r>
        <w:r w:rsidR="0009256E">
          <w:rPr>
            <w:rFonts w:asciiTheme="minorHAnsi" w:eastAsiaTheme="minorEastAsia" w:hAnsiTheme="minorHAnsi" w:cstheme="minorBidi"/>
            <w:i w:val="0"/>
            <w:szCs w:val="22"/>
            <w:lang w:eastAsia="en-AU"/>
          </w:rPr>
          <w:tab/>
        </w:r>
        <w:r w:rsidR="0009256E" w:rsidRPr="00AC5A19">
          <w:rPr>
            <w:rStyle w:val="Hyperlink"/>
          </w:rPr>
          <w:t>Task Size</w:t>
        </w:r>
        <w:r w:rsidR="0009256E">
          <w:rPr>
            <w:webHidden/>
          </w:rPr>
          <w:tab/>
        </w:r>
        <w:r w:rsidR="0009256E">
          <w:rPr>
            <w:webHidden/>
          </w:rPr>
          <w:fldChar w:fldCharType="begin"/>
        </w:r>
        <w:r w:rsidR="0009256E">
          <w:rPr>
            <w:webHidden/>
          </w:rPr>
          <w:instrText xml:space="preserve"> PAGEREF _Toc428541065 \h </w:instrText>
        </w:r>
        <w:r w:rsidR="0009256E">
          <w:rPr>
            <w:webHidden/>
          </w:rPr>
        </w:r>
        <w:r w:rsidR="0009256E">
          <w:rPr>
            <w:webHidden/>
          </w:rPr>
          <w:fldChar w:fldCharType="separate"/>
        </w:r>
        <w:r w:rsidR="0009256E">
          <w:rPr>
            <w:webHidden/>
          </w:rPr>
          <w:t>23</w:t>
        </w:r>
        <w:r w:rsidR="0009256E">
          <w:rPr>
            <w:webHidden/>
          </w:rPr>
          <w:fldChar w:fldCharType="end"/>
        </w:r>
      </w:hyperlink>
    </w:p>
    <w:p w14:paraId="14B8B252" w14:textId="77777777" w:rsidR="0009256E" w:rsidRDefault="0069672D">
      <w:pPr>
        <w:pStyle w:val="TOC2"/>
        <w:rPr>
          <w:rFonts w:asciiTheme="minorHAnsi" w:eastAsiaTheme="minorEastAsia" w:hAnsiTheme="minorHAnsi" w:cstheme="minorBidi"/>
          <w:i w:val="0"/>
          <w:szCs w:val="22"/>
          <w:lang w:eastAsia="en-AU"/>
        </w:rPr>
      </w:pPr>
      <w:hyperlink w:anchor="_Toc428541066" w:history="1">
        <w:r w:rsidR="0009256E" w:rsidRPr="00AC5A19">
          <w:rPr>
            <w:rStyle w:val="Hyperlink"/>
          </w:rPr>
          <w:t>5.2</w:t>
        </w:r>
        <w:r w:rsidR="0009256E">
          <w:rPr>
            <w:rFonts w:asciiTheme="minorHAnsi" w:eastAsiaTheme="minorEastAsia" w:hAnsiTheme="minorHAnsi" w:cstheme="minorBidi"/>
            <w:i w:val="0"/>
            <w:szCs w:val="22"/>
            <w:lang w:eastAsia="en-AU"/>
          </w:rPr>
          <w:tab/>
        </w:r>
        <w:r w:rsidR="0009256E" w:rsidRPr="00AC5A19">
          <w:rPr>
            <w:rStyle w:val="Hyperlink"/>
          </w:rPr>
          <w:t>Partiality</w:t>
        </w:r>
        <w:r w:rsidR="0009256E">
          <w:rPr>
            <w:webHidden/>
          </w:rPr>
          <w:tab/>
        </w:r>
        <w:r w:rsidR="0009256E">
          <w:rPr>
            <w:webHidden/>
          </w:rPr>
          <w:fldChar w:fldCharType="begin"/>
        </w:r>
        <w:r w:rsidR="0009256E">
          <w:rPr>
            <w:webHidden/>
          </w:rPr>
          <w:instrText xml:space="preserve"> PAGEREF _Toc428541066 \h </w:instrText>
        </w:r>
        <w:r w:rsidR="0009256E">
          <w:rPr>
            <w:webHidden/>
          </w:rPr>
        </w:r>
        <w:r w:rsidR="0009256E">
          <w:rPr>
            <w:webHidden/>
          </w:rPr>
          <w:fldChar w:fldCharType="separate"/>
        </w:r>
        <w:r w:rsidR="0009256E">
          <w:rPr>
            <w:webHidden/>
          </w:rPr>
          <w:t>24</w:t>
        </w:r>
        <w:r w:rsidR="0009256E">
          <w:rPr>
            <w:webHidden/>
          </w:rPr>
          <w:fldChar w:fldCharType="end"/>
        </w:r>
      </w:hyperlink>
    </w:p>
    <w:p w14:paraId="0C9DAF6F" w14:textId="77777777" w:rsidR="0009256E" w:rsidRDefault="0069672D">
      <w:pPr>
        <w:pStyle w:val="TOC1"/>
        <w:rPr>
          <w:rFonts w:asciiTheme="minorHAnsi" w:eastAsiaTheme="minorEastAsia" w:hAnsiTheme="minorHAnsi" w:cstheme="minorBidi"/>
          <w:bCs w:val="0"/>
          <w:i w:val="0"/>
          <w:iCs w:val="0"/>
          <w:noProof/>
          <w:szCs w:val="22"/>
          <w:lang w:eastAsia="en-AU"/>
        </w:rPr>
      </w:pPr>
      <w:hyperlink w:anchor="_Toc428541067" w:history="1">
        <w:r w:rsidR="0009256E" w:rsidRPr="00AC5A19">
          <w:rPr>
            <w:rStyle w:val="Hyperlink"/>
            <w:noProof/>
          </w:rPr>
          <w:t>6</w:t>
        </w:r>
        <w:r w:rsidR="0009256E">
          <w:rPr>
            <w:rFonts w:asciiTheme="minorHAnsi" w:eastAsiaTheme="minorEastAsia" w:hAnsiTheme="minorHAnsi" w:cstheme="minorBidi"/>
            <w:bCs w:val="0"/>
            <w:i w:val="0"/>
            <w:iCs w:val="0"/>
            <w:noProof/>
            <w:szCs w:val="22"/>
            <w:lang w:eastAsia="en-AU"/>
          </w:rPr>
          <w:tab/>
        </w:r>
        <w:r w:rsidR="0009256E" w:rsidRPr="00AC5A19">
          <w:rPr>
            <w:rStyle w:val="Hyperlink"/>
            <w:noProof/>
          </w:rPr>
          <w:t>Costs</w:t>
        </w:r>
        <w:r w:rsidR="0009256E">
          <w:rPr>
            <w:noProof/>
            <w:webHidden/>
          </w:rPr>
          <w:tab/>
        </w:r>
        <w:r w:rsidR="0009256E">
          <w:rPr>
            <w:noProof/>
            <w:webHidden/>
          </w:rPr>
          <w:fldChar w:fldCharType="begin"/>
        </w:r>
        <w:r w:rsidR="0009256E">
          <w:rPr>
            <w:noProof/>
            <w:webHidden/>
          </w:rPr>
          <w:instrText xml:space="preserve"> PAGEREF _Toc428541067 \h </w:instrText>
        </w:r>
        <w:r w:rsidR="0009256E">
          <w:rPr>
            <w:noProof/>
            <w:webHidden/>
          </w:rPr>
        </w:r>
        <w:r w:rsidR="0009256E">
          <w:rPr>
            <w:noProof/>
            <w:webHidden/>
          </w:rPr>
          <w:fldChar w:fldCharType="separate"/>
        </w:r>
        <w:r w:rsidR="0009256E">
          <w:rPr>
            <w:noProof/>
            <w:webHidden/>
          </w:rPr>
          <w:t>24</w:t>
        </w:r>
        <w:r w:rsidR="0009256E">
          <w:rPr>
            <w:noProof/>
            <w:webHidden/>
          </w:rPr>
          <w:fldChar w:fldCharType="end"/>
        </w:r>
      </w:hyperlink>
    </w:p>
    <w:p w14:paraId="185FFF48" w14:textId="77777777" w:rsidR="0009256E" w:rsidRDefault="0069672D">
      <w:pPr>
        <w:pStyle w:val="TOC1"/>
        <w:rPr>
          <w:rFonts w:asciiTheme="minorHAnsi" w:eastAsiaTheme="minorEastAsia" w:hAnsiTheme="minorHAnsi" w:cstheme="minorBidi"/>
          <w:bCs w:val="0"/>
          <w:i w:val="0"/>
          <w:iCs w:val="0"/>
          <w:noProof/>
          <w:szCs w:val="22"/>
          <w:lang w:eastAsia="en-AU"/>
        </w:rPr>
      </w:pPr>
      <w:hyperlink w:anchor="_Toc428541068" w:history="1">
        <w:r w:rsidR="0009256E" w:rsidRPr="00AC5A19">
          <w:rPr>
            <w:rStyle w:val="Hyperlink"/>
            <w:noProof/>
          </w:rPr>
          <w:t>7</w:t>
        </w:r>
        <w:r w:rsidR="0009256E">
          <w:rPr>
            <w:rFonts w:asciiTheme="minorHAnsi" w:eastAsiaTheme="minorEastAsia" w:hAnsiTheme="minorHAnsi" w:cstheme="minorBidi"/>
            <w:bCs w:val="0"/>
            <w:i w:val="0"/>
            <w:iCs w:val="0"/>
            <w:noProof/>
            <w:szCs w:val="22"/>
            <w:lang w:eastAsia="en-AU"/>
          </w:rPr>
          <w:tab/>
        </w:r>
        <w:r w:rsidR="0009256E" w:rsidRPr="00AC5A19">
          <w:rPr>
            <w:rStyle w:val="Hyperlink"/>
            <w:noProof/>
          </w:rPr>
          <w:t>Timelines</w:t>
        </w:r>
        <w:r w:rsidR="0009256E">
          <w:rPr>
            <w:noProof/>
            <w:webHidden/>
          </w:rPr>
          <w:tab/>
        </w:r>
        <w:r w:rsidR="0009256E">
          <w:rPr>
            <w:noProof/>
            <w:webHidden/>
          </w:rPr>
          <w:fldChar w:fldCharType="begin"/>
        </w:r>
        <w:r w:rsidR="0009256E">
          <w:rPr>
            <w:noProof/>
            <w:webHidden/>
          </w:rPr>
          <w:instrText xml:space="preserve"> PAGEREF _Toc428541068 \h </w:instrText>
        </w:r>
        <w:r w:rsidR="0009256E">
          <w:rPr>
            <w:noProof/>
            <w:webHidden/>
          </w:rPr>
        </w:r>
        <w:r w:rsidR="0009256E">
          <w:rPr>
            <w:noProof/>
            <w:webHidden/>
          </w:rPr>
          <w:fldChar w:fldCharType="separate"/>
        </w:r>
        <w:r w:rsidR="0009256E">
          <w:rPr>
            <w:noProof/>
            <w:webHidden/>
          </w:rPr>
          <w:t>24</w:t>
        </w:r>
        <w:r w:rsidR="0009256E">
          <w:rPr>
            <w:noProof/>
            <w:webHidden/>
          </w:rPr>
          <w:fldChar w:fldCharType="end"/>
        </w:r>
      </w:hyperlink>
    </w:p>
    <w:p w14:paraId="35D12B59" w14:textId="77777777" w:rsidR="0009256E" w:rsidRDefault="0069672D">
      <w:pPr>
        <w:pStyle w:val="TOC1"/>
        <w:rPr>
          <w:rFonts w:asciiTheme="minorHAnsi" w:eastAsiaTheme="minorEastAsia" w:hAnsiTheme="minorHAnsi" w:cstheme="minorBidi"/>
          <w:bCs w:val="0"/>
          <w:i w:val="0"/>
          <w:iCs w:val="0"/>
          <w:noProof/>
          <w:szCs w:val="22"/>
          <w:lang w:eastAsia="en-AU"/>
        </w:rPr>
      </w:pPr>
      <w:hyperlink w:anchor="_Toc428541069" w:history="1">
        <w:r w:rsidR="0009256E" w:rsidRPr="00AC5A19">
          <w:rPr>
            <w:rStyle w:val="Hyperlink"/>
            <w:noProof/>
          </w:rPr>
          <w:t>8</w:t>
        </w:r>
        <w:r w:rsidR="0009256E">
          <w:rPr>
            <w:rFonts w:asciiTheme="minorHAnsi" w:eastAsiaTheme="minorEastAsia" w:hAnsiTheme="minorHAnsi" w:cstheme="minorBidi"/>
            <w:bCs w:val="0"/>
            <w:i w:val="0"/>
            <w:iCs w:val="0"/>
            <w:noProof/>
            <w:szCs w:val="22"/>
            <w:lang w:eastAsia="en-AU"/>
          </w:rPr>
          <w:tab/>
        </w:r>
        <w:r w:rsidR="0009256E" w:rsidRPr="00AC5A19">
          <w:rPr>
            <w:rStyle w:val="Hyperlink"/>
            <w:noProof/>
          </w:rPr>
          <w:t>Conclusions</w:t>
        </w:r>
        <w:r w:rsidR="0009256E">
          <w:rPr>
            <w:noProof/>
            <w:webHidden/>
          </w:rPr>
          <w:tab/>
        </w:r>
        <w:r w:rsidR="0009256E">
          <w:rPr>
            <w:noProof/>
            <w:webHidden/>
          </w:rPr>
          <w:fldChar w:fldCharType="begin"/>
        </w:r>
        <w:r w:rsidR="0009256E">
          <w:rPr>
            <w:noProof/>
            <w:webHidden/>
          </w:rPr>
          <w:instrText xml:space="preserve"> PAGEREF _Toc428541069 \h </w:instrText>
        </w:r>
        <w:r w:rsidR="0009256E">
          <w:rPr>
            <w:noProof/>
            <w:webHidden/>
          </w:rPr>
        </w:r>
        <w:r w:rsidR="0009256E">
          <w:rPr>
            <w:noProof/>
            <w:webHidden/>
          </w:rPr>
          <w:fldChar w:fldCharType="separate"/>
        </w:r>
        <w:r w:rsidR="0009256E">
          <w:rPr>
            <w:noProof/>
            <w:webHidden/>
          </w:rPr>
          <w:t>25</w:t>
        </w:r>
        <w:r w:rsidR="0009256E">
          <w:rPr>
            <w:noProof/>
            <w:webHidden/>
          </w:rPr>
          <w:fldChar w:fldCharType="end"/>
        </w:r>
      </w:hyperlink>
    </w:p>
    <w:p w14:paraId="439F948E" w14:textId="77777777" w:rsidR="00C05912" w:rsidRDefault="00C05912" w:rsidP="00C05912">
      <w:r>
        <w:rPr>
          <w:bCs/>
          <w:i/>
          <w:iCs/>
          <w:szCs w:val="28"/>
        </w:rPr>
        <w:fldChar w:fldCharType="end"/>
      </w:r>
    </w:p>
    <w:p w14:paraId="5C12D1CB" w14:textId="77777777" w:rsidR="00C05912" w:rsidRDefault="00C05912" w:rsidP="00C05912"/>
    <w:p w14:paraId="59073A27" w14:textId="77777777" w:rsidR="00C05912" w:rsidRDefault="00C05912" w:rsidP="00C05912">
      <w:r>
        <w:br w:type="page"/>
      </w:r>
      <w:bookmarkStart w:id="2" w:name="_Toc176668084"/>
    </w:p>
    <w:p w14:paraId="054EC91B" w14:textId="77777777" w:rsidR="00C05912" w:rsidRPr="00547165" w:rsidRDefault="00C05912" w:rsidP="00C05912">
      <w:pPr>
        <w:pStyle w:val="Heading1"/>
        <w:rPr>
          <w:szCs w:val="28"/>
        </w:rPr>
      </w:pPr>
      <w:bookmarkStart w:id="3" w:name="_Toc428541052"/>
      <w:bookmarkStart w:id="4" w:name="_Toc8718439"/>
      <w:bookmarkStart w:id="5" w:name="_Toc8718602"/>
      <w:bookmarkStart w:id="6" w:name="_Toc176668085"/>
      <w:bookmarkEnd w:id="0"/>
      <w:bookmarkEnd w:id="1"/>
      <w:bookmarkEnd w:id="2"/>
      <w:r>
        <w:lastRenderedPageBreak/>
        <w:t>Introduction</w:t>
      </w:r>
      <w:bookmarkEnd w:id="3"/>
    </w:p>
    <w:bookmarkEnd w:id="4"/>
    <w:bookmarkEnd w:id="5"/>
    <w:bookmarkEnd w:id="6"/>
    <w:p w14:paraId="2EA70B6D" w14:textId="604EEAA5" w:rsidR="003871EE" w:rsidRDefault="003871EE" w:rsidP="00C05912">
      <w:pPr>
        <w:rPr>
          <w:rFonts w:cs="Arial"/>
          <w:szCs w:val="22"/>
        </w:rPr>
      </w:pPr>
    </w:p>
    <w:p w14:paraId="5E403570" w14:textId="6048518E" w:rsidR="003871EE" w:rsidRDefault="003871EE" w:rsidP="00C05912">
      <w:pPr>
        <w:rPr>
          <w:rFonts w:cs="Arial"/>
          <w:szCs w:val="22"/>
        </w:rPr>
      </w:pPr>
      <w:r>
        <w:rPr>
          <w:rFonts w:cs="Arial"/>
          <w:szCs w:val="22"/>
        </w:rPr>
        <w:t xml:space="preserve">The Municipal Association of Victoria (MAV) welcomes the opportunity to provide a submission to the Essential Services Commission’s (ESC) draft report on the rates capping and variations framework review. </w:t>
      </w:r>
    </w:p>
    <w:p w14:paraId="614CF463" w14:textId="77777777" w:rsidR="003871EE" w:rsidRDefault="003871EE" w:rsidP="00C05912">
      <w:pPr>
        <w:rPr>
          <w:rFonts w:cs="Arial"/>
          <w:szCs w:val="22"/>
        </w:rPr>
      </w:pPr>
    </w:p>
    <w:p w14:paraId="1C9212BB" w14:textId="5CB854AA" w:rsidR="003871EE" w:rsidRDefault="003871EE" w:rsidP="00C05912">
      <w:pPr>
        <w:rPr>
          <w:rFonts w:cs="Arial"/>
          <w:szCs w:val="22"/>
        </w:rPr>
      </w:pPr>
      <w:r>
        <w:rPr>
          <w:rFonts w:cs="Arial"/>
          <w:szCs w:val="22"/>
        </w:rPr>
        <w:t xml:space="preserve">This submission provides the MAV’s views on the framework and identifies several major issues that require consideration by the ESC ahead of their final report to government. </w:t>
      </w:r>
    </w:p>
    <w:p w14:paraId="4476761E" w14:textId="35ADDDC1" w:rsidR="008405D9" w:rsidRDefault="008405D9" w:rsidP="00C05912">
      <w:pPr>
        <w:rPr>
          <w:rFonts w:cs="Arial"/>
          <w:szCs w:val="22"/>
        </w:rPr>
      </w:pPr>
    </w:p>
    <w:p w14:paraId="6FD76796" w14:textId="1D34D8C8" w:rsidR="008405D9" w:rsidRDefault="008405D9" w:rsidP="00C05912">
      <w:pPr>
        <w:rPr>
          <w:rFonts w:cs="Arial"/>
          <w:szCs w:val="22"/>
        </w:rPr>
      </w:pPr>
      <w:r>
        <w:rPr>
          <w:rFonts w:cs="Arial"/>
          <w:szCs w:val="22"/>
        </w:rPr>
        <w:t xml:space="preserve">The MAV believes that the framework, as described in the draft paper, has the capacity to significantly affect the liveability of Victoria by constraining valuable services and the infrastructure provided by the sector. Councils’ expenditure provides </w:t>
      </w:r>
      <w:r w:rsidR="005A40AE">
        <w:rPr>
          <w:rFonts w:cs="Arial"/>
          <w:szCs w:val="22"/>
        </w:rPr>
        <w:t>tremendous value</w:t>
      </w:r>
      <w:r>
        <w:rPr>
          <w:rFonts w:cs="Arial"/>
          <w:szCs w:val="22"/>
        </w:rPr>
        <w:t xml:space="preserve"> to the community and iterative reductions</w:t>
      </w:r>
      <w:r w:rsidR="005A40AE">
        <w:rPr>
          <w:rFonts w:cs="Arial"/>
          <w:szCs w:val="22"/>
        </w:rPr>
        <w:t xml:space="preserve"> over time</w:t>
      </w:r>
      <w:r>
        <w:rPr>
          <w:rFonts w:cs="Arial"/>
          <w:szCs w:val="22"/>
        </w:rPr>
        <w:t xml:space="preserve"> in services and assets – as a consequence of the framework – will have a lasting and detrimental effect on communities.  </w:t>
      </w:r>
    </w:p>
    <w:p w14:paraId="1A78576D" w14:textId="77777777" w:rsidR="00BA1A30" w:rsidRDefault="00BA1A30" w:rsidP="00C05912">
      <w:pPr>
        <w:rPr>
          <w:rFonts w:cs="Arial"/>
          <w:szCs w:val="22"/>
        </w:rPr>
      </w:pPr>
    </w:p>
    <w:p w14:paraId="15BEA892" w14:textId="77777777" w:rsidR="00F20114" w:rsidRDefault="00F20114" w:rsidP="00F20114">
      <w:pPr>
        <w:pStyle w:val="Heading1"/>
      </w:pPr>
      <w:bookmarkStart w:id="7" w:name="_Toc428541053"/>
      <w:r>
        <w:t>Fundamental Issues</w:t>
      </w:r>
      <w:bookmarkEnd w:id="7"/>
    </w:p>
    <w:p w14:paraId="4E55B6D0" w14:textId="77777777" w:rsidR="00F20114" w:rsidRPr="00F20114" w:rsidRDefault="00F20114" w:rsidP="00F20114"/>
    <w:p w14:paraId="4953383B" w14:textId="77777777" w:rsidR="00F20114" w:rsidRDefault="00F20114" w:rsidP="00F20114">
      <w:pPr>
        <w:pStyle w:val="Heading2"/>
      </w:pPr>
      <w:bookmarkStart w:id="8" w:name="_Toc428541054"/>
      <w:r>
        <w:t>Reduced Independence of Local Government</w:t>
      </w:r>
      <w:bookmarkEnd w:id="8"/>
    </w:p>
    <w:p w14:paraId="18A11424" w14:textId="77777777" w:rsidR="00F20114" w:rsidRPr="00F20114" w:rsidRDefault="00F20114" w:rsidP="00F20114"/>
    <w:p w14:paraId="768E6159" w14:textId="6B3B6AAB" w:rsidR="00F20114" w:rsidRDefault="00F20114" w:rsidP="00F20114">
      <w:r>
        <w:t>Rate</w:t>
      </w:r>
      <w:r w:rsidR="00B20F1B">
        <w:t>s</w:t>
      </w:r>
      <w:r>
        <w:t xml:space="preserve"> capping hamstrings the independent operation of democratically </w:t>
      </w:r>
      <w:r w:rsidRPr="00410F99">
        <w:t>representative</w:t>
      </w:r>
      <w:r>
        <w:t xml:space="preserve"> governments. Councils should have the freedom to make autonomous decisions around levels of own-source taxes and charges – this is a key attribute</w:t>
      </w:r>
      <w:r w:rsidR="00B20F1B">
        <w:t xml:space="preserve"> of</w:t>
      </w:r>
      <w:r>
        <w:t xml:space="preserve"> democratic systems.  Rate</w:t>
      </w:r>
      <w:r w:rsidR="00B20F1B">
        <w:t>s</w:t>
      </w:r>
      <w:r>
        <w:t xml:space="preserve"> capping represents increased State control over councils and runs counter to reducing vertical fiscal imbalance. </w:t>
      </w:r>
    </w:p>
    <w:p w14:paraId="4F397CFB" w14:textId="77777777" w:rsidR="00F20114" w:rsidRDefault="00F20114" w:rsidP="00F20114"/>
    <w:p w14:paraId="6B7C875E" w14:textId="77777777" w:rsidR="00F20114" w:rsidRDefault="00F20114" w:rsidP="00F20114">
      <w:r>
        <w:t xml:space="preserve">The proposed Framework has the potential to adversely impact the longer-term sustainability of councils and places a great deal of responsibility about the future of the sector in the hands of the ESC. </w:t>
      </w:r>
    </w:p>
    <w:p w14:paraId="2362075A" w14:textId="77777777" w:rsidR="00F20114" w:rsidRDefault="00F20114" w:rsidP="00F20114"/>
    <w:p w14:paraId="02C0D83F" w14:textId="3EF15861" w:rsidR="00F20114" w:rsidRDefault="00F20114" w:rsidP="000843FF">
      <w:pPr>
        <w:pStyle w:val="Heading2"/>
      </w:pPr>
      <w:bookmarkStart w:id="9" w:name="_Toc428541055"/>
      <w:r w:rsidRPr="0015245A">
        <w:t>Simplicity of the Capping Process</w:t>
      </w:r>
      <w:bookmarkEnd w:id="9"/>
    </w:p>
    <w:p w14:paraId="3B34A67A" w14:textId="77777777" w:rsidR="00F20114" w:rsidRPr="0015245A" w:rsidRDefault="00F20114" w:rsidP="00F20114">
      <w:pPr>
        <w:rPr>
          <w:b/>
        </w:rPr>
      </w:pPr>
    </w:p>
    <w:p w14:paraId="6DE37BFF" w14:textId="4BD86591" w:rsidR="00F20114" w:rsidRDefault="00F20114" w:rsidP="00F20114">
      <w:r>
        <w:t>The ESC has emphasised the importance of a simple approach to rate</w:t>
      </w:r>
      <w:r w:rsidR="00B20F1B">
        <w:t>s</w:t>
      </w:r>
      <w:r>
        <w:t xml:space="preserve"> capping.  This is incongruous with the diversity and needs of local councils.  The ESC has recommended a uniform capping approach indicating that the individual needs of councils can be addressed through a variation process. The burden of proof required to be met for a variation will be critical given all indications that the general cap will be materially lower than historic rate increases required to deal with funding pressures or indeed, the cost indices applied to the sector.</w:t>
      </w:r>
    </w:p>
    <w:p w14:paraId="4B18E923" w14:textId="77777777" w:rsidR="00F20114" w:rsidRDefault="00F20114" w:rsidP="00F20114"/>
    <w:p w14:paraId="15B4B52A" w14:textId="77777777" w:rsidR="00F20114" w:rsidRDefault="00F20114" w:rsidP="00F20114">
      <w:pPr>
        <w:pStyle w:val="Heading2"/>
      </w:pPr>
      <w:bookmarkStart w:id="10" w:name="_Toc428541056"/>
      <w:r>
        <w:t>Clarity of recommendations</w:t>
      </w:r>
      <w:bookmarkEnd w:id="10"/>
    </w:p>
    <w:p w14:paraId="5096D0BE" w14:textId="77777777" w:rsidR="00F20114" w:rsidRDefault="00F20114" w:rsidP="00F20114"/>
    <w:p w14:paraId="44D2E39D" w14:textId="77777777" w:rsidR="00F20114" w:rsidRDefault="00F20114" w:rsidP="00F20114">
      <w:r>
        <w:t xml:space="preserve">The ESC’s proposed variation process – as described to MAV and its members at various events – contains inconsistencies with the content of the draft reports. For example, it has suggested that the level of evidence required for a variation to be approved when assessing an application will be less onerous than the process described in the draft report. This suggests there are risks that the final implementation will not reflect the intent of the ESC unless there is a greater level of precision in the final report. The Government will be required to make its decisions on the final report and it will focus on the written recommendations by ESC. </w:t>
      </w:r>
    </w:p>
    <w:p w14:paraId="6972C8A9" w14:textId="77777777" w:rsidR="00F20114" w:rsidRDefault="00F20114" w:rsidP="00F20114"/>
    <w:p w14:paraId="7388F84C" w14:textId="77777777" w:rsidR="00F20114" w:rsidRDefault="00F20114" w:rsidP="00F20114">
      <w:r>
        <w:lastRenderedPageBreak/>
        <w:t xml:space="preserve">The MAV believes that the final report as submitted to the Government must be a clear and accurate summation of the proposed model and its operation. We believe this should be more reflective of the model described through meetings with the sector – which reflects greater acknowledgement of the democratic nature of the sector, its requirement to lead the community, as well as complexity and breadth of councils’ services – rather than the model as it is described in the draft report. </w:t>
      </w:r>
    </w:p>
    <w:p w14:paraId="68AA73F1" w14:textId="77777777" w:rsidR="00F20114" w:rsidRDefault="00F20114" w:rsidP="00F20114"/>
    <w:p w14:paraId="6E2ED9D0" w14:textId="77777777" w:rsidR="00F20114" w:rsidRDefault="00F20114" w:rsidP="00F20114">
      <w:pPr>
        <w:pStyle w:val="Heading1"/>
      </w:pPr>
      <w:bookmarkStart w:id="11" w:name="_Toc428541057"/>
      <w:r>
        <w:t>Techn</w:t>
      </w:r>
      <w:r w:rsidRPr="00FE7A95">
        <w:t>ical</w:t>
      </w:r>
      <w:r>
        <w:t xml:space="preserve"> Issues</w:t>
      </w:r>
      <w:bookmarkEnd w:id="11"/>
    </w:p>
    <w:p w14:paraId="1666E4AB" w14:textId="77777777" w:rsidR="00F20114" w:rsidRPr="00F20114" w:rsidRDefault="00F20114" w:rsidP="00F20114"/>
    <w:p w14:paraId="045F4160" w14:textId="47BD4DD5" w:rsidR="00F20114" w:rsidRDefault="00F20114" w:rsidP="000843FF">
      <w:pPr>
        <w:pStyle w:val="Heading2"/>
      </w:pPr>
      <w:bookmarkStart w:id="12" w:name="_Toc428541058"/>
      <w:r>
        <w:t>Capping Mechanism</w:t>
      </w:r>
      <w:bookmarkEnd w:id="12"/>
    </w:p>
    <w:p w14:paraId="555BBDC4" w14:textId="77777777" w:rsidR="00F20114" w:rsidRDefault="00F20114" w:rsidP="00F20114">
      <w:pPr>
        <w:rPr>
          <w:b/>
        </w:rPr>
      </w:pPr>
    </w:p>
    <w:p w14:paraId="3B8BE364" w14:textId="719D609F" w:rsidR="00F20114" w:rsidRDefault="00F20114" w:rsidP="00F20114">
      <w:pPr>
        <w:pStyle w:val="Heading3"/>
      </w:pPr>
      <w:r>
        <w:t>Clarification of the Proposed Base to be Capped</w:t>
      </w:r>
    </w:p>
    <w:p w14:paraId="009F4F58" w14:textId="77777777" w:rsidR="00F20114" w:rsidRPr="00F20114" w:rsidRDefault="00F20114" w:rsidP="00F20114"/>
    <w:p w14:paraId="7AB3988A" w14:textId="753898FE" w:rsidR="00F20114" w:rsidRDefault="00F20114" w:rsidP="00F20114">
      <w:r>
        <w:t>The wording around the indicator to be used as the base for rate</w:t>
      </w:r>
      <w:r w:rsidR="002930D5">
        <w:t>s</w:t>
      </w:r>
      <w:r>
        <w:t xml:space="preserve"> capping is confused by the language used by the ESC.  The ESC has indicated that rates per assessment are the same as rates paid on the average valuation.  Rates per assessment are gross rates revenue divided by the number of assessments and this does not normally reflect rates paid on the average valuation (given municipal charges, waste charges and the application of differential rates). This clouding of definitions feeds into the ESC’s argument in favour of rates per assessment as the base for the cap.  </w:t>
      </w:r>
    </w:p>
    <w:p w14:paraId="56EFE177" w14:textId="77777777" w:rsidR="00F20114" w:rsidRDefault="00F20114" w:rsidP="00F20114"/>
    <w:p w14:paraId="4BA976DC" w14:textId="77777777" w:rsidR="00F20114" w:rsidRDefault="00F20114" w:rsidP="00F20114">
      <w:r>
        <w:t>The argument that it is something with which ratepayers are familiar or as the ESC states “</w:t>
      </w:r>
      <w:r w:rsidRPr="001478EC">
        <w:rPr>
          <w:i/>
        </w:rPr>
        <w:t>most closely reflects ratepayers</w:t>
      </w:r>
      <w:r>
        <w:rPr>
          <w:i/>
        </w:rPr>
        <w:t>’</w:t>
      </w:r>
      <w:r w:rsidRPr="001478EC">
        <w:rPr>
          <w:i/>
        </w:rPr>
        <w:t xml:space="preserve"> experience</w:t>
      </w:r>
      <w:r>
        <w:t xml:space="preserve">” is undermined by the fact that there are few ratepayers, if anybody, paying the average rate.  Rates per assessment reflects rates across the board – a quotient that arises from the mixing of residential, commercial, industrial, farm and vacant land valuations, their numbers, rate effort and liability for municipal charges – it is therefore highly artificial.  In practice it is possible for the rates payable on the same valued property to be materially different. It is arguable that the use of rates per assessment is likely to be more controversial with ratepayers trying to relate things to their own rate bills. The impact of revaluations and the incidence of rates </w:t>
      </w:r>
      <w:bookmarkStart w:id="13" w:name="_GoBack"/>
      <w:bookmarkEnd w:id="13"/>
      <w:r>
        <w:t>(determined by rating strategies) are important factors muddying the waters.</w:t>
      </w:r>
    </w:p>
    <w:p w14:paraId="3F41AD97" w14:textId="77777777" w:rsidR="00F20114" w:rsidRDefault="00F20114" w:rsidP="00F20114"/>
    <w:p w14:paraId="55AD4143" w14:textId="77777777" w:rsidR="00F20114" w:rsidRDefault="00F20114" w:rsidP="00F20114">
      <w:r>
        <w:t xml:space="preserve">Clarification was sought from the ESC on how the base and index would work in practice. The ESC confirmed that the base indicator in each year is determined by a recalculation of total revenue divided by the number of assessments in each consecutive year compared with the previous year.  It is neither rates per assessment, or rates paid on the average valued property, successively indexed each year from the base year.  </w:t>
      </w:r>
    </w:p>
    <w:p w14:paraId="72AD8526" w14:textId="77777777" w:rsidR="00F20114" w:rsidRDefault="00F20114" w:rsidP="00F20114">
      <w:pPr>
        <w:rPr>
          <w:b/>
        </w:rPr>
      </w:pPr>
    </w:p>
    <w:p w14:paraId="05D9EC88" w14:textId="3144D5DE" w:rsidR="00F20114" w:rsidRDefault="00F20114" w:rsidP="00F20114">
      <w:pPr>
        <w:pStyle w:val="Heading3"/>
      </w:pPr>
      <w:r w:rsidRPr="00565AE6">
        <w:t xml:space="preserve">Issues </w:t>
      </w:r>
      <w:r w:rsidR="005F0E18">
        <w:t>with Possible Bases for Capping</w:t>
      </w:r>
    </w:p>
    <w:p w14:paraId="1453DC46" w14:textId="77777777" w:rsidR="00F20114" w:rsidRPr="00F20114" w:rsidRDefault="00F20114" w:rsidP="00F20114"/>
    <w:p w14:paraId="70362C1D" w14:textId="77777777" w:rsidR="00F20114" w:rsidRDefault="00F20114" w:rsidP="00F20114">
      <w:r>
        <w:t xml:space="preserve">Rate revenue per head is superior to both </w:t>
      </w:r>
      <w:r w:rsidRPr="00C8675A">
        <w:t>total rate revenue and rate revenue per assessment</w:t>
      </w:r>
      <w:r>
        <w:t xml:space="preserve"> in terms of reflecting the need for rates and efficiency. The bulk of services delivered by councils are cost-driven by the number of persons rather than properties serviced. Information on population is readily available and reliable, although tends to be subject to revision</w:t>
      </w:r>
      <w:r>
        <w:rPr>
          <w:rStyle w:val="FootnoteReference"/>
        </w:rPr>
        <w:footnoteReference w:id="1"/>
      </w:r>
      <w:r>
        <w:t xml:space="preserve">.  </w:t>
      </w:r>
    </w:p>
    <w:p w14:paraId="694747B3" w14:textId="77777777" w:rsidR="00F20114" w:rsidRDefault="00F20114" w:rsidP="00F20114"/>
    <w:p w14:paraId="6E967EE8" w14:textId="77777777" w:rsidR="00F20114" w:rsidRDefault="00F20114" w:rsidP="00F20114">
      <w:r>
        <w:t xml:space="preserve">Does a base for capping based on assessment numbers adequately address population?  If assessment and population growth were both synchronised and </w:t>
      </w:r>
      <w:r>
        <w:lastRenderedPageBreak/>
        <w:t>consistent there would be no issue however they may vary considerably and even be moving in opposite directions.</w:t>
      </w:r>
    </w:p>
    <w:p w14:paraId="1E8F852A" w14:textId="77777777" w:rsidR="00F20114" w:rsidRDefault="00F20114" w:rsidP="00F20114"/>
    <w:p w14:paraId="02F471E8" w14:textId="3F2789BB" w:rsidR="00F20114" w:rsidRDefault="00F20114" w:rsidP="00F20114">
      <w:r>
        <w:t>Some simple modelling was undertaken to compare outcomes per head of population arising from general capping based “per assessment”. The analysis indicated that:</w:t>
      </w:r>
    </w:p>
    <w:p w14:paraId="76C275FE" w14:textId="77777777" w:rsidR="00F20114" w:rsidRDefault="00F20114" w:rsidP="00F20114"/>
    <w:p w14:paraId="1D3591A1" w14:textId="77777777" w:rsidR="00F20114" w:rsidRDefault="00F20114" w:rsidP="000843FF">
      <w:pPr>
        <w:pStyle w:val="ListParagraph"/>
        <w:numPr>
          <w:ilvl w:val="0"/>
          <w:numId w:val="7"/>
        </w:numPr>
        <w:spacing w:line="240" w:lineRule="auto"/>
        <w:ind w:left="714" w:hanging="357"/>
      </w:pPr>
      <w:r>
        <w:t>in faster-growing councils the increase per head of population could be a fraction of the general cap</w:t>
      </w:r>
      <w:r>
        <w:rPr>
          <w:rStyle w:val="FootnoteReference"/>
        </w:rPr>
        <w:footnoteReference w:id="2"/>
      </w:r>
      <w:r>
        <w:t xml:space="preserve">; </w:t>
      </w:r>
    </w:p>
    <w:p w14:paraId="2B209DBD" w14:textId="77777777" w:rsidR="00F20114" w:rsidRDefault="00F20114" w:rsidP="000843FF">
      <w:pPr>
        <w:pStyle w:val="ListParagraph"/>
        <w:numPr>
          <w:ilvl w:val="0"/>
          <w:numId w:val="7"/>
        </w:numPr>
        <w:spacing w:line="240" w:lineRule="auto"/>
        <w:ind w:left="714" w:hanging="357"/>
      </w:pPr>
      <w:r>
        <w:t xml:space="preserve">more than half of councils (52%) could face a rate revenue  per head increase lower than the cap, in the case of eleven councils  the difference being 1%  or more and in twenty-four councils a difference of 0.5% or more; and </w:t>
      </w:r>
    </w:p>
    <w:p w14:paraId="1D5023BE" w14:textId="77777777" w:rsidR="00F20114" w:rsidRDefault="00F20114" w:rsidP="000843FF">
      <w:pPr>
        <w:pStyle w:val="ListParagraph"/>
        <w:numPr>
          <w:ilvl w:val="0"/>
          <w:numId w:val="7"/>
        </w:numPr>
        <w:spacing w:line="240" w:lineRule="auto"/>
        <w:ind w:left="714" w:hanging="357"/>
      </w:pPr>
      <w:r>
        <w:t>councils with relatively high assessment growth compared with population growth could result in increases in rate revenue per head as much as two to three times the general cap.</w:t>
      </w:r>
    </w:p>
    <w:p w14:paraId="2677FFD3" w14:textId="77777777" w:rsidR="00F20114" w:rsidRDefault="00F20114" w:rsidP="00F20114"/>
    <w:p w14:paraId="649E0649" w14:textId="77777777" w:rsidR="00F20114" w:rsidRDefault="00F20114" w:rsidP="00F20114">
      <w:r>
        <w:t>In discussions the ESC indicated that concerns regarding impacts per head population could be addressed by way of requests for variation and that, the exclusion of supplementary rates from the cap, would at least partly address the population issue.</w:t>
      </w:r>
    </w:p>
    <w:p w14:paraId="1D64070C" w14:textId="77777777" w:rsidR="00F20114" w:rsidRDefault="00F20114" w:rsidP="00F20114"/>
    <w:p w14:paraId="216F19BF" w14:textId="77777777" w:rsidR="00F20114" w:rsidRDefault="00F20114" w:rsidP="00F20114">
      <w:r>
        <w:t>Remodelling of the data to take account of trend growth in supplementary rates showed the latter to be true to some extent, with only eleven councils showing growth in rate revenue per head less than the general cap once factored. However, given the greater relevance of population (growth) to driving costs it would appear to make more sense to include it, in general terms, within the general capping component rather than through variations. This should not preclude specific demographic factors being raised with respect to variations.  On balance there may be less confusion in the community if rates per head were to be used.</w:t>
      </w:r>
    </w:p>
    <w:p w14:paraId="3E3B8BAE" w14:textId="77777777" w:rsidR="00F20114" w:rsidRDefault="00F20114" w:rsidP="00F20114"/>
    <w:p w14:paraId="0D6A5D25" w14:textId="77777777" w:rsidR="00F20114" w:rsidRDefault="00F20114" w:rsidP="00F20114">
      <w:r>
        <w:t>The reverse situation, if the base for the cap was rates per head, was also modelled. The analysis showed that slightly less than half of councils could face an increase in rate revenue per assessment lower than the cap.</w:t>
      </w:r>
    </w:p>
    <w:p w14:paraId="4483FA21" w14:textId="78C69499" w:rsidR="005A40AE" w:rsidRDefault="005A40AE" w:rsidP="00F20114"/>
    <w:p w14:paraId="19DB1A69" w14:textId="6A611071" w:rsidR="005A40AE" w:rsidRDefault="005A40AE">
      <w:r>
        <w:br w:type="page"/>
      </w:r>
    </w:p>
    <w:p w14:paraId="597D3F70" w14:textId="77777777" w:rsidR="00F20114" w:rsidRDefault="00F20114" w:rsidP="00F20114"/>
    <w:tbl>
      <w:tblPr>
        <w:tblW w:w="0" w:type="auto"/>
        <w:tblInd w:w="103" w:type="dxa"/>
        <w:tblLook w:val="04A0" w:firstRow="1" w:lastRow="0" w:firstColumn="1" w:lastColumn="0" w:noHBand="0" w:noVBand="1"/>
      </w:tblPr>
      <w:tblGrid>
        <w:gridCol w:w="1699"/>
        <w:gridCol w:w="619"/>
        <w:gridCol w:w="619"/>
        <w:gridCol w:w="619"/>
        <w:gridCol w:w="761"/>
        <w:gridCol w:w="761"/>
        <w:gridCol w:w="761"/>
        <w:gridCol w:w="630"/>
        <w:gridCol w:w="629"/>
        <w:gridCol w:w="554"/>
        <w:gridCol w:w="774"/>
      </w:tblGrid>
      <w:tr w:rsidR="00F20114" w:rsidRPr="008E0033" w14:paraId="669386A8" w14:textId="77777777" w:rsidTr="00F20114">
        <w:trPr>
          <w:trHeight w:val="240"/>
          <w:tblHeader/>
        </w:trPr>
        <w:tc>
          <w:tcPr>
            <w:tcW w:w="0" w:type="auto"/>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161FABD7"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 </w:t>
            </w:r>
          </w:p>
        </w:tc>
        <w:tc>
          <w:tcPr>
            <w:tcW w:w="0" w:type="auto"/>
            <w:gridSpan w:val="6"/>
            <w:tcBorders>
              <w:top w:val="single" w:sz="4" w:space="0" w:color="auto"/>
              <w:left w:val="nil"/>
              <w:bottom w:val="single" w:sz="4" w:space="0" w:color="auto"/>
              <w:right w:val="single" w:sz="4" w:space="0" w:color="auto"/>
            </w:tcBorders>
            <w:shd w:val="clear" w:color="000000" w:fill="FDE9D9"/>
            <w:noWrap/>
            <w:vAlign w:val="bottom"/>
            <w:hideMark/>
          </w:tcPr>
          <w:p w14:paraId="58102781" w14:textId="77777777" w:rsidR="00F20114" w:rsidRPr="008E0033" w:rsidRDefault="00F20114" w:rsidP="00F20114">
            <w:pPr>
              <w:jc w:val="center"/>
              <w:rPr>
                <w:rFonts w:ascii="Calibri" w:hAnsi="Calibri"/>
                <w:b/>
                <w:bCs/>
                <w:color w:val="000000"/>
                <w:sz w:val="16"/>
                <w:szCs w:val="16"/>
                <w:lang w:eastAsia="en-AU"/>
              </w:rPr>
            </w:pPr>
            <w:r w:rsidRPr="008E0033">
              <w:rPr>
                <w:rFonts w:ascii="Calibri" w:hAnsi="Calibri"/>
                <w:b/>
                <w:bCs/>
                <w:color w:val="000000"/>
                <w:sz w:val="16"/>
                <w:szCs w:val="16"/>
                <w:lang w:eastAsia="en-AU"/>
              </w:rPr>
              <w:t>Relative Movements in Assessments and Population</w:t>
            </w:r>
          </w:p>
        </w:tc>
        <w:tc>
          <w:tcPr>
            <w:tcW w:w="0" w:type="auto"/>
            <w:gridSpan w:val="4"/>
            <w:tcBorders>
              <w:top w:val="single" w:sz="4" w:space="0" w:color="auto"/>
              <w:left w:val="nil"/>
              <w:bottom w:val="single" w:sz="4" w:space="0" w:color="auto"/>
              <w:right w:val="single" w:sz="4" w:space="0" w:color="auto"/>
            </w:tcBorders>
            <w:shd w:val="clear" w:color="000000" w:fill="00B0F0"/>
            <w:noWrap/>
            <w:vAlign w:val="bottom"/>
            <w:hideMark/>
          </w:tcPr>
          <w:p w14:paraId="7EC855E1" w14:textId="77777777" w:rsidR="00F20114" w:rsidRPr="008E0033" w:rsidRDefault="00F20114" w:rsidP="00F20114">
            <w:pPr>
              <w:jc w:val="center"/>
              <w:rPr>
                <w:rFonts w:ascii="Calibri" w:hAnsi="Calibri"/>
                <w:b/>
                <w:bCs/>
                <w:color w:val="000000"/>
                <w:sz w:val="16"/>
                <w:szCs w:val="16"/>
                <w:lang w:eastAsia="en-AU"/>
              </w:rPr>
            </w:pPr>
            <w:r w:rsidRPr="008E0033">
              <w:rPr>
                <w:rFonts w:ascii="Calibri" w:hAnsi="Calibri"/>
                <w:b/>
                <w:bCs/>
                <w:color w:val="000000"/>
                <w:sz w:val="16"/>
                <w:szCs w:val="16"/>
                <w:lang w:eastAsia="en-AU"/>
              </w:rPr>
              <w:t xml:space="preserve">Effect of Rate Cap of 3.05%  in 2014-15 </w:t>
            </w:r>
          </w:p>
        </w:tc>
      </w:tr>
      <w:tr w:rsidR="00F20114" w:rsidRPr="008E0033" w14:paraId="51E20718" w14:textId="77777777" w:rsidTr="00F20114">
        <w:trPr>
          <w:trHeight w:val="240"/>
          <w:tblHeader/>
        </w:trPr>
        <w:tc>
          <w:tcPr>
            <w:tcW w:w="0" w:type="auto"/>
            <w:tcBorders>
              <w:top w:val="nil"/>
              <w:left w:val="single" w:sz="4" w:space="0" w:color="auto"/>
              <w:bottom w:val="single" w:sz="4" w:space="0" w:color="auto"/>
              <w:right w:val="single" w:sz="4" w:space="0" w:color="auto"/>
            </w:tcBorders>
            <w:shd w:val="clear" w:color="000000" w:fill="000000"/>
            <w:noWrap/>
            <w:vAlign w:val="bottom"/>
            <w:hideMark/>
          </w:tcPr>
          <w:p w14:paraId="44A1C6DA"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 </w:t>
            </w:r>
          </w:p>
        </w:tc>
        <w:tc>
          <w:tcPr>
            <w:tcW w:w="0" w:type="auto"/>
            <w:gridSpan w:val="3"/>
            <w:tcBorders>
              <w:top w:val="single" w:sz="4" w:space="0" w:color="auto"/>
              <w:left w:val="nil"/>
              <w:bottom w:val="single" w:sz="4" w:space="0" w:color="auto"/>
              <w:right w:val="single" w:sz="4" w:space="0" w:color="auto"/>
            </w:tcBorders>
            <w:shd w:val="clear" w:color="000000" w:fill="FDE9D9"/>
            <w:noWrap/>
            <w:vAlign w:val="bottom"/>
            <w:hideMark/>
          </w:tcPr>
          <w:p w14:paraId="0D5681A6" w14:textId="77777777" w:rsidR="00F20114" w:rsidRPr="008E0033" w:rsidRDefault="00F20114" w:rsidP="00F20114">
            <w:pPr>
              <w:jc w:val="center"/>
              <w:rPr>
                <w:rFonts w:ascii="Calibri" w:hAnsi="Calibri"/>
                <w:b/>
                <w:bCs/>
                <w:color w:val="000000"/>
                <w:sz w:val="16"/>
                <w:szCs w:val="16"/>
                <w:lang w:eastAsia="en-AU"/>
              </w:rPr>
            </w:pPr>
            <w:r w:rsidRPr="008E0033">
              <w:rPr>
                <w:rFonts w:ascii="Calibri" w:hAnsi="Calibri"/>
                <w:b/>
                <w:bCs/>
                <w:color w:val="000000"/>
                <w:sz w:val="16"/>
                <w:szCs w:val="16"/>
                <w:lang w:eastAsia="en-AU"/>
              </w:rPr>
              <w:t>2013-14</w:t>
            </w:r>
          </w:p>
        </w:tc>
        <w:tc>
          <w:tcPr>
            <w:tcW w:w="0" w:type="auto"/>
            <w:gridSpan w:val="3"/>
            <w:tcBorders>
              <w:top w:val="single" w:sz="4" w:space="0" w:color="auto"/>
              <w:left w:val="nil"/>
              <w:bottom w:val="single" w:sz="4" w:space="0" w:color="auto"/>
              <w:right w:val="single" w:sz="4" w:space="0" w:color="auto"/>
            </w:tcBorders>
            <w:shd w:val="clear" w:color="000000" w:fill="FDE9D9"/>
            <w:noWrap/>
            <w:vAlign w:val="bottom"/>
            <w:hideMark/>
          </w:tcPr>
          <w:p w14:paraId="4AB878B9" w14:textId="77777777" w:rsidR="00F20114" w:rsidRPr="008E0033" w:rsidRDefault="00F20114" w:rsidP="00F20114">
            <w:pPr>
              <w:jc w:val="center"/>
              <w:rPr>
                <w:rFonts w:ascii="Calibri" w:hAnsi="Calibri"/>
                <w:b/>
                <w:bCs/>
                <w:color w:val="000000"/>
                <w:sz w:val="16"/>
                <w:szCs w:val="16"/>
                <w:lang w:eastAsia="en-AU"/>
              </w:rPr>
            </w:pPr>
            <w:r w:rsidRPr="008E0033">
              <w:rPr>
                <w:rFonts w:ascii="Calibri" w:hAnsi="Calibri"/>
                <w:b/>
                <w:bCs/>
                <w:color w:val="000000"/>
                <w:sz w:val="16"/>
                <w:szCs w:val="16"/>
                <w:lang w:eastAsia="en-AU"/>
              </w:rPr>
              <w:t xml:space="preserve">3 year </w:t>
            </w:r>
            <w:r>
              <w:rPr>
                <w:rFonts w:ascii="Calibri" w:hAnsi="Calibri"/>
                <w:b/>
                <w:bCs/>
                <w:color w:val="000000"/>
                <w:sz w:val="16"/>
                <w:szCs w:val="16"/>
                <w:lang w:eastAsia="en-AU"/>
              </w:rPr>
              <w:t xml:space="preserve">Average Annual </w:t>
            </w:r>
            <w:r w:rsidRPr="008E0033">
              <w:rPr>
                <w:rFonts w:ascii="Calibri" w:hAnsi="Calibri"/>
                <w:b/>
                <w:bCs/>
                <w:color w:val="000000"/>
                <w:sz w:val="16"/>
                <w:szCs w:val="16"/>
                <w:lang w:eastAsia="en-AU"/>
              </w:rPr>
              <w:t>to 2013-14</w:t>
            </w:r>
          </w:p>
        </w:tc>
        <w:tc>
          <w:tcPr>
            <w:tcW w:w="0" w:type="auto"/>
            <w:gridSpan w:val="3"/>
            <w:tcBorders>
              <w:top w:val="single" w:sz="4" w:space="0" w:color="auto"/>
              <w:left w:val="nil"/>
              <w:bottom w:val="single" w:sz="4" w:space="0" w:color="auto"/>
              <w:right w:val="single" w:sz="4" w:space="0" w:color="auto"/>
            </w:tcBorders>
            <w:shd w:val="clear" w:color="auto" w:fill="00B0F0"/>
            <w:noWrap/>
            <w:vAlign w:val="bottom"/>
            <w:hideMark/>
          </w:tcPr>
          <w:p w14:paraId="21FC2C9F" w14:textId="77777777" w:rsidR="00F20114" w:rsidRPr="008E0033" w:rsidRDefault="00F20114" w:rsidP="00F20114">
            <w:pPr>
              <w:jc w:val="center"/>
              <w:rPr>
                <w:rFonts w:ascii="Calibri" w:hAnsi="Calibri"/>
                <w:b/>
                <w:bCs/>
                <w:color w:val="000000"/>
                <w:sz w:val="16"/>
                <w:szCs w:val="16"/>
                <w:lang w:eastAsia="en-AU"/>
              </w:rPr>
            </w:pPr>
            <w:r>
              <w:rPr>
                <w:rFonts w:ascii="Calibri" w:hAnsi="Calibri"/>
                <w:b/>
                <w:bCs/>
                <w:color w:val="000000"/>
                <w:sz w:val="16"/>
                <w:szCs w:val="16"/>
                <w:lang w:eastAsia="en-AU"/>
              </w:rPr>
              <w:t xml:space="preserve">Cap </w:t>
            </w:r>
            <w:r w:rsidRPr="008E0033">
              <w:rPr>
                <w:rFonts w:ascii="Calibri" w:hAnsi="Calibri"/>
                <w:b/>
                <w:bCs/>
                <w:color w:val="000000"/>
                <w:sz w:val="16"/>
                <w:szCs w:val="16"/>
                <w:lang w:eastAsia="en-AU"/>
              </w:rPr>
              <w:t>per Assessment</w:t>
            </w:r>
          </w:p>
        </w:tc>
        <w:tc>
          <w:tcPr>
            <w:tcW w:w="0" w:type="auto"/>
            <w:tcBorders>
              <w:top w:val="nil"/>
              <w:left w:val="nil"/>
              <w:bottom w:val="single" w:sz="4" w:space="0" w:color="auto"/>
              <w:right w:val="single" w:sz="4" w:space="0" w:color="auto"/>
            </w:tcBorders>
            <w:shd w:val="clear" w:color="auto" w:fill="00B0F0"/>
            <w:noWrap/>
            <w:vAlign w:val="bottom"/>
            <w:hideMark/>
          </w:tcPr>
          <w:p w14:paraId="62489A50" w14:textId="77777777" w:rsidR="00F20114" w:rsidRDefault="00F20114" w:rsidP="00F20114">
            <w:pPr>
              <w:jc w:val="center"/>
              <w:rPr>
                <w:rFonts w:ascii="Calibri" w:hAnsi="Calibri"/>
                <w:b/>
                <w:bCs/>
                <w:color w:val="000000"/>
                <w:sz w:val="16"/>
                <w:szCs w:val="16"/>
                <w:lang w:eastAsia="en-AU"/>
              </w:rPr>
            </w:pPr>
            <w:r>
              <w:rPr>
                <w:rFonts w:ascii="Calibri" w:hAnsi="Calibri"/>
                <w:b/>
                <w:bCs/>
                <w:color w:val="000000"/>
                <w:sz w:val="16"/>
                <w:szCs w:val="16"/>
                <w:lang w:eastAsia="en-AU"/>
              </w:rPr>
              <w:t>Cap</w:t>
            </w:r>
          </w:p>
          <w:p w14:paraId="1654E501" w14:textId="77777777" w:rsidR="00F20114" w:rsidRPr="008E0033" w:rsidRDefault="00F20114" w:rsidP="00F20114">
            <w:pPr>
              <w:jc w:val="center"/>
              <w:rPr>
                <w:rFonts w:ascii="Calibri" w:hAnsi="Calibri"/>
                <w:b/>
                <w:bCs/>
                <w:color w:val="000000"/>
                <w:sz w:val="16"/>
                <w:szCs w:val="16"/>
                <w:lang w:eastAsia="en-AU"/>
              </w:rPr>
            </w:pPr>
            <w:r>
              <w:rPr>
                <w:rFonts w:ascii="Calibri" w:hAnsi="Calibri"/>
                <w:b/>
                <w:bCs/>
                <w:color w:val="000000"/>
                <w:sz w:val="16"/>
                <w:szCs w:val="16"/>
                <w:lang w:eastAsia="en-AU"/>
              </w:rPr>
              <w:t>p</w:t>
            </w:r>
            <w:r w:rsidRPr="008E0033">
              <w:rPr>
                <w:rFonts w:ascii="Calibri" w:hAnsi="Calibri"/>
                <w:b/>
                <w:bCs/>
                <w:color w:val="000000"/>
                <w:sz w:val="16"/>
                <w:szCs w:val="16"/>
                <w:lang w:eastAsia="en-AU"/>
              </w:rPr>
              <w:t>er Head</w:t>
            </w:r>
          </w:p>
        </w:tc>
      </w:tr>
      <w:tr w:rsidR="00F20114" w:rsidRPr="008E0033" w14:paraId="5889B217" w14:textId="77777777" w:rsidTr="00F20114">
        <w:trPr>
          <w:trHeight w:val="2745"/>
          <w:tblHeader/>
        </w:trPr>
        <w:tc>
          <w:tcPr>
            <w:tcW w:w="0" w:type="auto"/>
            <w:tcBorders>
              <w:top w:val="nil"/>
              <w:left w:val="single" w:sz="4" w:space="0" w:color="auto"/>
              <w:bottom w:val="single" w:sz="4" w:space="0" w:color="auto"/>
              <w:right w:val="single" w:sz="4" w:space="0" w:color="auto"/>
            </w:tcBorders>
            <w:shd w:val="clear" w:color="000000" w:fill="000000"/>
            <w:vAlign w:val="bottom"/>
            <w:hideMark/>
          </w:tcPr>
          <w:p w14:paraId="6736F23E"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 </w:t>
            </w:r>
          </w:p>
        </w:tc>
        <w:tc>
          <w:tcPr>
            <w:tcW w:w="0" w:type="auto"/>
            <w:tcBorders>
              <w:top w:val="nil"/>
              <w:left w:val="nil"/>
              <w:bottom w:val="single" w:sz="4" w:space="0" w:color="auto"/>
              <w:right w:val="single" w:sz="4" w:space="0" w:color="auto"/>
            </w:tcBorders>
            <w:shd w:val="clear" w:color="000000" w:fill="FDE9D9"/>
            <w:textDirection w:val="tbRl"/>
            <w:vAlign w:val="center"/>
            <w:hideMark/>
          </w:tcPr>
          <w:p w14:paraId="41F81C26" w14:textId="77777777" w:rsidR="00F20114" w:rsidRPr="008E0033" w:rsidRDefault="00F20114" w:rsidP="00F20114">
            <w:pPr>
              <w:jc w:val="center"/>
              <w:rPr>
                <w:rFonts w:ascii="Calibri" w:hAnsi="Calibri"/>
                <w:b/>
                <w:bCs/>
                <w:color w:val="000000"/>
                <w:sz w:val="16"/>
                <w:szCs w:val="16"/>
                <w:lang w:eastAsia="en-AU"/>
              </w:rPr>
            </w:pPr>
            <w:r w:rsidRPr="008E0033">
              <w:rPr>
                <w:rFonts w:ascii="Calibri" w:hAnsi="Calibri"/>
                <w:b/>
                <w:bCs/>
                <w:color w:val="000000"/>
                <w:sz w:val="16"/>
                <w:szCs w:val="16"/>
                <w:lang w:eastAsia="en-AU"/>
              </w:rPr>
              <w:t>Change in Assessments</w:t>
            </w:r>
          </w:p>
        </w:tc>
        <w:tc>
          <w:tcPr>
            <w:tcW w:w="0" w:type="auto"/>
            <w:tcBorders>
              <w:top w:val="nil"/>
              <w:left w:val="nil"/>
              <w:bottom w:val="single" w:sz="4" w:space="0" w:color="auto"/>
              <w:right w:val="single" w:sz="4" w:space="0" w:color="auto"/>
            </w:tcBorders>
            <w:shd w:val="clear" w:color="000000" w:fill="FDE9D9"/>
            <w:textDirection w:val="tbRl"/>
            <w:vAlign w:val="center"/>
            <w:hideMark/>
          </w:tcPr>
          <w:p w14:paraId="665CBFA9" w14:textId="77777777" w:rsidR="00F20114" w:rsidRPr="008E0033" w:rsidRDefault="00F20114" w:rsidP="00F20114">
            <w:pPr>
              <w:jc w:val="center"/>
              <w:rPr>
                <w:rFonts w:ascii="Calibri" w:hAnsi="Calibri"/>
                <w:b/>
                <w:bCs/>
                <w:color w:val="000000"/>
                <w:sz w:val="16"/>
                <w:szCs w:val="16"/>
                <w:lang w:eastAsia="en-AU"/>
              </w:rPr>
            </w:pPr>
            <w:r w:rsidRPr="008E0033">
              <w:rPr>
                <w:rFonts w:ascii="Calibri" w:hAnsi="Calibri"/>
                <w:b/>
                <w:bCs/>
                <w:color w:val="000000"/>
                <w:sz w:val="16"/>
                <w:szCs w:val="16"/>
                <w:lang w:eastAsia="en-AU"/>
              </w:rPr>
              <w:t xml:space="preserve">% Change in </w:t>
            </w:r>
            <w:proofErr w:type="spellStart"/>
            <w:r w:rsidRPr="008E0033">
              <w:rPr>
                <w:rFonts w:ascii="Calibri" w:hAnsi="Calibri"/>
                <w:b/>
                <w:bCs/>
                <w:color w:val="000000"/>
                <w:sz w:val="16"/>
                <w:szCs w:val="16"/>
                <w:lang w:eastAsia="en-AU"/>
              </w:rPr>
              <w:t>Popn</w:t>
            </w:r>
            <w:proofErr w:type="spellEnd"/>
          </w:p>
        </w:tc>
        <w:tc>
          <w:tcPr>
            <w:tcW w:w="0" w:type="auto"/>
            <w:tcBorders>
              <w:top w:val="nil"/>
              <w:left w:val="nil"/>
              <w:bottom w:val="single" w:sz="4" w:space="0" w:color="auto"/>
              <w:right w:val="single" w:sz="4" w:space="0" w:color="auto"/>
            </w:tcBorders>
            <w:shd w:val="clear" w:color="000000" w:fill="FDE9D9"/>
            <w:textDirection w:val="tbRl"/>
            <w:vAlign w:val="center"/>
            <w:hideMark/>
          </w:tcPr>
          <w:p w14:paraId="0F3198C7" w14:textId="77777777" w:rsidR="00F20114" w:rsidRPr="008E0033" w:rsidRDefault="00F20114" w:rsidP="00F20114">
            <w:pPr>
              <w:jc w:val="center"/>
              <w:rPr>
                <w:rFonts w:ascii="Calibri" w:hAnsi="Calibri"/>
                <w:b/>
                <w:bCs/>
                <w:color w:val="000000"/>
                <w:sz w:val="16"/>
                <w:szCs w:val="16"/>
                <w:lang w:eastAsia="en-AU"/>
              </w:rPr>
            </w:pPr>
            <w:r>
              <w:rPr>
                <w:rFonts w:ascii="Calibri" w:hAnsi="Calibri"/>
                <w:b/>
                <w:bCs/>
                <w:color w:val="000000"/>
                <w:sz w:val="16"/>
                <w:szCs w:val="16"/>
                <w:lang w:eastAsia="en-AU"/>
              </w:rPr>
              <w:t>Differen</w:t>
            </w:r>
            <w:r w:rsidRPr="008E0033">
              <w:rPr>
                <w:rFonts w:ascii="Calibri" w:hAnsi="Calibri"/>
                <w:b/>
                <w:bCs/>
                <w:color w:val="000000"/>
                <w:sz w:val="16"/>
                <w:szCs w:val="16"/>
                <w:lang w:eastAsia="en-AU"/>
              </w:rPr>
              <w:t>ce</w:t>
            </w:r>
          </w:p>
        </w:tc>
        <w:tc>
          <w:tcPr>
            <w:tcW w:w="0" w:type="auto"/>
            <w:tcBorders>
              <w:top w:val="nil"/>
              <w:left w:val="nil"/>
              <w:bottom w:val="single" w:sz="4" w:space="0" w:color="auto"/>
              <w:right w:val="single" w:sz="4" w:space="0" w:color="auto"/>
            </w:tcBorders>
            <w:shd w:val="clear" w:color="000000" w:fill="FDE9D9"/>
            <w:textDirection w:val="tbRl"/>
            <w:vAlign w:val="center"/>
            <w:hideMark/>
          </w:tcPr>
          <w:p w14:paraId="7CBED0B9" w14:textId="77777777" w:rsidR="00F20114" w:rsidRPr="008E0033" w:rsidRDefault="00F20114" w:rsidP="00F20114">
            <w:pPr>
              <w:jc w:val="center"/>
              <w:rPr>
                <w:rFonts w:ascii="Calibri" w:hAnsi="Calibri"/>
                <w:b/>
                <w:bCs/>
                <w:color w:val="000000"/>
                <w:sz w:val="16"/>
                <w:szCs w:val="16"/>
                <w:lang w:eastAsia="en-AU"/>
              </w:rPr>
            </w:pPr>
            <w:r w:rsidRPr="008E0033">
              <w:rPr>
                <w:rFonts w:ascii="Calibri" w:hAnsi="Calibri"/>
                <w:b/>
                <w:bCs/>
                <w:color w:val="000000"/>
                <w:sz w:val="16"/>
                <w:szCs w:val="16"/>
                <w:lang w:eastAsia="en-AU"/>
              </w:rPr>
              <w:t>Change in Assessments</w:t>
            </w:r>
          </w:p>
        </w:tc>
        <w:tc>
          <w:tcPr>
            <w:tcW w:w="0" w:type="auto"/>
            <w:tcBorders>
              <w:top w:val="nil"/>
              <w:left w:val="nil"/>
              <w:bottom w:val="single" w:sz="4" w:space="0" w:color="auto"/>
              <w:right w:val="single" w:sz="4" w:space="0" w:color="auto"/>
            </w:tcBorders>
            <w:shd w:val="clear" w:color="000000" w:fill="FDE9D9"/>
            <w:textDirection w:val="tbRl"/>
            <w:vAlign w:val="center"/>
            <w:hideMark/>
          </w:tcPr>
          <w:p w14:paraId="3F5A3F85" w14:textId="77777777" w:rsidR="00F20114" w:rsidRPr="008E0033" w:rsidRDefault="00F20114" w:rsidP="00F20114">
            <w:pPr>
              <w:jc w:val="center"/>
              <w:rPr>
                <w:rFonts w:ascii="Calibri" w:hAnsi="Calibri"/>
                <w:b/>
                <w:bCs/>
                <w:color w:val="000000"/>
                <w:sz w:val="16"/>
                <w:szCs w:val="16"/>
                <w:lang w:eastAsia="en-AU"/>
              </w:rPr>
            </w:pPr>
            <w:r w:rsidRPr="008E0033">
              <w:rPr>
                <w:rFonts w:ascii="Calibri" w:hAnsi="Calibri"/>
                <w:b/>
                <w:bCs/>
                <w:color w:val="000000"/>
                <w:sz w:val="16"/>
                <w:szCs w:val="16"/>
                <w:lang w:eastAsia="en-AU"/>
              </w:rPr>
              <w:t xml:space="preserve">% Change in </w:t>
            </w:r>
            <w:proofErr w:type="spellStart"/>
            <w:r w:rsidRPr="008E0033">
              <w:rPr>
                <w:rFonts w:ascii="Calibri" w:hAnsi="Calibri"/>
                <w:b/>
                <w:bCs/>
                <w:color w:val="000000"/>
                <w:sz w:val="16"/>
                <w:szCs w:val="16"/>
                <w:lang w:eastAsia="en-AU"/>
              </w:rPr>
              <w:t>Popn</w:t>
            </w:r>
            <w:proofErr w:type="spellEnd"/>
          </w:p>
        </w:tc>
        <w:tc>
          <w:tcPr>
            <w:tcW w:w="0" w:type="auto"/>
            <w:tcBorders>
              <w:top w:val="nil"/>
              <w:left w:val="nil"/>
              <w:bottom w:val="single" w:sz="4" w:space="0" w:color="auto"/>
              <w:right w:val="single" w:sz="4" w:space="0" w:color="auto"/>
            </w:tcBorders>
            <w:shd w:val="clear" w:color="000000" w:fill="FDE9D9"/>
            <w:textDirection w:val="tbRl"/>
            <w:vAlign w:val="center"/>
            <w:hideMark/>
          </w:tcPr>
          <w:p w14:paraId="0443A3F7" w14:textId="77777777" w:rsidR="00F20114" w:rsidRPr="008E0033" w:rsidRDefault="00F20114" w:rsidP="00F20114">
            <w:pPr>
              <w:jc w:val="center"/>
              <w:rPr>
                <w:rFonts w:ascii="Calibri" w:hAnsi="Calibri"/>
                <w:b/>
                <w:bCs/>
                <w:color w:val="000000"/>
                <w:sz w:val="16"/>
                <w:szCs w:val="16"/>
                <w:lang w:eastAsia="en-AU"/>
              </w:rPr>
            </w:pPr>
            <w:r w:rsidRPr="008E0033">
              <w:rPr>
                <w:rFonts w:ascii="Calibri" w:hAnsi="Calibri"/>
                <w:b/>
                <w:bCs/>
                <w:color w:val="000000"/>
                <w:sz w:val="16"/>
                <w:szCs w:val="16"/>
                <w:lang w:eastAsia="en-AU"/>
              </w:rPr>
              <w:t>Difference</w:t>
            </w:r>
          </w:p>
        </w:tc>
        <w:tc>
          <w:tcPr>
            <w:tcW w:w="0" w:type="auto"/>
            <w:tcBorders>
              <w:top w:val="nil"/>
              <w:left w:val="nil"/>
              <w:bottom w:val="single" w:sz="4" w:space="0" w:color="auto"/>
              <w:right w:val="single" w:sz="4" w:space="0" w:color="auto"/>
            </w:tcBorders>
            <w:shd w:val="clear" w:color="000000" w:fill="B7DEE8"/>
            <w:textDirection w:val="tbRl"/>
            <w:vAlign w:val="center"/>
            <w:hideMark/>
          </w:tcPr>
          <w:p w14:paraId="31F5FB9F" w14:textId="77777777" w:rsidR="00F20114" w:rsidRPr="008E0033" w:rsidRDefault="00F20114" w:rsidP="00F20114">
            <w:pPr>
              <w:jc w:val="center"/>
              <w:rPr>
                <w:rFonts w:ascii="Calibri" w:hAnsi="Calibri"/>
                <w:b/>
                <w:bCs/>
                <w:color w:val="000000"/>
                <w:sz w:val="16"/>
                <w:szCs w:val="16"/>
                <w:lang w:eastAsia="en-AU"/>
              </w:rPr>
            </w:pPr>
            <w:r w:rsidRPr="008E0033">
              <w:rPr>
                <w:rFonts w:ascii="Calibri" w:hAnsi="Calibri"/>
                <w:b/>
                <w:bCs/>
                <w:color w:val="000000"/>
                <w:sz w:val="16"/>
                <w:szCs w:val="16"/>
                <w:lang w:eastAsia="en-AU"/>
              </w:rPr>
              <w:t>Change in Rates per Head</w:t>
            </w:r>
          </w:p>
        </w:tc>
        <w:tc>
          <w:tcPr>
            <w:tcW w:w="0" w:type="auto"/>
            <w:tcBorders>
              <w:top w:val="nil"/>
              <w:left w:val="nil"/>
              <w:bottom w:val="single" w:sz="4" w:space="0" w:color="auto"/>
              <w:right w:val="single" w:sz="4" w:space="0" w:color="auto"/>
            </w:tcBorders>
            <w:shd w:val="clear" w:color="000000" w:fill="B7DEE8"/>
            <w:textDirection w:val="tbRl"/>
            <w:vAlign w:val="center"/>
            <w:hideMark/>
          </w:tcPr>
          <w:p w14:paraId="44C2C1C7" w14:textId="77777777" w:rsidR="00F20114" w:rsidRPr="008E0033" w:rsidRDefault="00F20114" w:rsidP="00F20114">
            <w:pPr>
              <w:jc w:val="center"/>
              <w:rPr>
                <w:rFonts w:ascii="Calibri" w:hAnsi="Calibri"/>
                <w:b/>
                <w:bCs/>
                <w:color w:val="000000"/>
                <w:sz w:val="16"/>
                <w:szCs w:val="16"/>
                <w:lang w:eastAsia="en-AU"/>
              </w:rPr>
            </w:pPr>
            <w:r w:rsidRPr="008E0033">
              <w:rPr>
                <w:rFonts w:ascii="Calibri" w:hAnsi="Calibri"/>
                <w:b/>
                <w:bCs/>
                <w:color w:val="000000"/>
                <w:sz w:val="16"/>
                <w:szCs w:val="16"/>
                <w:lang w:eastAsia="en-AU"/>
              </w:rPr>
              <w:t xml:space="preserve"> Supp. Rates Required to Neutralise Effect on Rates per Head</w:t>
            </w:r>
          </w:p>
        </w:tc>
        <w:tc>
          <w:tcPr>
            <w:tcW w:w="0" w:type="auto"/>
            <w:tcBorders>
              <w:top w:val="nil"/>
              <w:left w:val="nil"/>
              <w:bottom w:val="single" w:sz="4" w:space="0" w:color="auto"/>
              <w:right w:val="single" w:sz="4" w:space="0" w:color="auto"/>
            </w:tcBorders>
            <w:shd w:val="clear" w:color="000000" w:fill="B7DEE8"/>
            <w:textDirection w:val="tbRl"/>
            <w:vAlign w:val="center"/>
            <w:hideMark/>
          </w:tcPr>
          <w:p w14:paraId="7E90BFEA" w14:textId="77777777" w:rsidR="00F20114" w:rsidRPr="008E0033" w:rsidRDefault="00F20114" w:rsidP="00F20114">
            <w:pPr>
              <w:jc w:val="center"/>
              <w:rPr>
                <w:rFonts w:ascii="Calibri" w:hAnsi="Calibri"/>
                <w:b/>
                <w:bCs/>
                <w:color w:val="000000"/>
                <w:sz w:val="16"/>
                <w:szCs w:val="16"/>
                <w:lang w:eastAsia="en-AU"/>
              </w:rPr>
            </w:pPr>
            <w:r w:rsidRPr="008E0033">
              <w:rPr>
                <w:rFonts w:ascii="Calibri" w:hAnsi="Calibri"/>
                <w:b/>
                <w:bCs/>
                <w:color w:val="000000"/>
                <w:sz w:val="16"/>
                <w:szCs w:val="16"/>
                <w:lang w:eastAsia="en-AU"/>
              </w:rPr>
              <w:t>Supp. Rates Experience</w:t>
            </w:r>
          </w:p>
        </w:tc>
        <w:tc>
          <w:tcPr>
            <w:tcW w:w="0" w:type="auto"/>
            <w:tcBorders>
              <w:top w:val="nil"/>
              <w:left w:val="nil"/>
              <w:bottom w:val="single" w:sz="4" w:space="0" w:color="auto"/>
              <w:right w:val="single" w:sz="4" w:space="0" w:color="auto"/>
            </w:tcBorders>
            <w:shd w:val="clear" w:color="000000" w:fill="DAEEF3"/>
            <w:textDirection w:val="tbRl"/>
            <w:vAlign w:val="center"/>
            <w:hideMark/>
          </w:tcPr>
          <w:p w14:paraId="121F5EEF" w14:textId="77777777" w:rsidR="00F20114" w:rsidRPr="008E0033" w:rsidRDefault="00F20114" w:rsidP="00F20114">
            <w:pPr>
              <w:jc w:val="center"/>
              <w:rPr>
                <w:rFonts w:ascii="Calibri" w:hAnsi="Calibri"/>
                <w:b/>
                <w:bCs/>
                <w:color w:val="000000"/>
                <w:sz w:val="16"/>
                <w:szCs w:val="16"/>
                <w:lang w:eastAsia="en-AU"/>
              </w:rPr>
            </w:pPr>
            <w:r w:rsidRPr="008E0033">
              <w:rPr>
                <w:rFonts w:ascii="Calibri" w:hAnsi="Calibri"/>
                <w:b/>
                <w:bCs/>
                <w:color w:val="000000"/>
                <w:sz w:val="16"/>
                <w:szCs w:val="16"/>
                <w:lang w:eastAsia="en-AU"/>
              </w:rPr>
              <w:t>Change in Rates Per A</w:t>
            </w:r>
            <w:r>
              <w:rPr>
                <w:rFonts w:ascii="Calibri" w:hAnsi="Calibri"/>
                <w:b/>
                <w:bCs/>
                <w:color w:val="000000"/>
                <w:sz w:val="16"/>
                <w:szCs w:val="16"/>
                <w:lang w:eastAsia="en-AU"/>
              </w:rPr>
              <w:t>ssessment</w:t>
            </w:r>
          </w:p>
        </w:tc>
      </w:tr>
      <w:tr w:rsidR="00F20114" w:rsidRPr="008E0033" w14:paraId="16DA90B5"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821032"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Alpine (S)</w:t>
            </w:r>
          </w:p>
        </w:tc>
        <w:tc>
          <w:tcPr>
            <w:tcW w:w="0" w:type="auto"/>
            <w:tcBorders>
              <w:top w:val="nil"/>
              <w:left w:val="nil"/>
              <w:bottom w:val="single" w:sz="4" w:space="0" w:color="auto"/>
              <w:right w:val="single" w:sz="4" w:space="0" w:color="auto"/>
            </w:tcBorders>
            <w:shd w:val="clear" w:color="000000" w:fill="FDE9D9"/>
            <w:noWrap/>
            <w:vAlign w:val="bottom"/>
            <w:hideMark/>
          </w:tcPr>
          <w:p w14:paraId="59B420F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0.72%</w:t>
            </w:r>
          </w:p>
        </w:tc>
        <w:tc>
          <w:tcPr>
            <w:tcW w:w="0" w:type="auto"/>
            <w:tcBorders>
              <w:top w:val="nil"/>
              <w:left w:val="nil"/>
              <w:bottom w:val="single" w:sz="4" w:space="0" w:color="auto"/>
              <w:right w:val="single" w:sz="4" w:space="0" w:color="auto"/>
            </w:tcBorders>
            <w:shd w:val="clear" w:color="000000" w:fill="FDE9D9"/>
            <w:noWrap/>
            <w:vAlign w:val="bottom"/>
            <w:hideMark/>
          </w:tcPr>
          <w:p w14:paraId="6E614C3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-0.07%</w:t>
            </w:r>
          </w:p>
        </w:tc>
        <w:tc>
          <w:tcPr>
            <w:tcW w:w="0" w:type="auto"/>
            <w:tcBorders>
              <w:top w:val="nil"/>
              <w:left w:val="nil"/>
              <w:bottom w:val="single" w:sz="4" w:space="0" w:color="auto"/>
              <w:right w:val="single" w:sz="4" w:space="0" w:color="auto"/>
            </w:tcBorders>
            <w:shd w:val="clear" w:color="000000" w:fill="FDE9D9"/>
            <w:noWrap/>
            <w:vAlign w:val="bottom"/>
            <w:hideMark/>
          </w:tcPr>
          <w:p w14:paraId="25B4D0F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0.79%</w:t>
            </w:r>
          </w:p>
        </w:tc>
        <w:tc>
          <w:tcPr>
            <w:tcW w:w="0" w:type="auto"/>
            <w:tcBorders>
              <w:top w:val="nil"/>
              <w:left w:val="nil"/>
              <w:bottom w:val="single" w:sz="4" w:space="0" w:color="auto"/>
              <w:right w:val="single" w:sz="4" w:space="0" w:color="auto"/>
            </w:tcBorders>
            <w:shd w:val="clear" w:color="000000" w:fill="FDE9D9"/>
            <w:noWrap/>
            <w:vAlign w:val="bottom"/>
            <w:hideMark/>
          </w:tcPr>
          <w:p w14:paraId="24C058A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-0.34%</w:t>
            </w:r>
          </w:p>
        </w:tc>
        <w:tc>
          <w:tcPr>
            <w:tcW w:w="0" w:type="auto"/>
            <w:tcBorders>
              <w:top w:val="nil"/>
              <w:left w:val="nil"/>
              <w:bottom w:val="single" w:sz="4" w:space="0" w:color="auto"/>
              <w:right w:val="single" w:sz="4" w:space="0" w:color="auto"/>
            </w:tcBorders>
            <w:shd w:val="clear" w:color="000000" w:fill="FDE9D9"/>
            <w:noWrap/>
            <w:vAlign w:val="bottom"/>
            <w:hideMark/>
          </w:tcPr>
          <w:p w14:paraId="021529B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0.61%</w:t>
            </w:r>
          </w:p>
        </w:tc>
        <w:tc>
          <w:tcPr>
            <w:tcW w:w="0" w:type="auto"/>
            <w:tcBorders>
              <w:top w:val="nil"/>
              <w:left w:val="nil"/>
              <w:bottom w:val="single" w:sz="4" w:space="0" w:color="auto"/>
              <w:right w:val="single" w:sz="4" w:space="0" w:color="auto"/>
            </w:tcBorders>
            <w:shd w:val="clear" w:color="000000" w:fill="FDE9D9"/>
            <w:noWrap/>
            <w:vAlign w:val="bottom"/>
            <w:hideMark/>
          </w:tcPr>
          <w:p w14:paraId="00ED929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-0.95%</w:t>
            </w:r>
          </w:p>
        </w:tc>
        <w:tc>
          <w:tcPr>
            <w:tcW w:w="0" w:type="auto"/>
            <w:tcBorders>
              <w:top w:val="nil"/>
              <w:left w:val="nil"/>
              <w:bottom w:val="single" w:sz="4" w:space="0" w:color="auto"/>
              <w:right w:val="single" w:sz="4" w:space="0" w:color="auto"/>
            </w:tcBorders>
            <w:shd w:val="clear" w:color="000000" w:fill="B7DEE8"/>
            <w:noWrap/>
            <w:vAlign w:val="bottom"/>
            <w:hideMark/>
          </w:tcPr>
          <w:p w14:paraId="351E820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3.86%</w:t>
            </w:r>
          </w:p>
        </w:tc>
        <w:tc>
          <w:tcPr>
            <w:tcW w:w="0" w:type="auto"/>
            <w:tcBorders>
              <w:top w:val="nil"/>
              <w:left w:val="nil"/>
              <w:bottom w:val="single" w:sz="4" w:space="0" w:color="auto"/>
              <w:right w:val="single" w:sz="4" w:space="0" w:color="auto"/>
            </w:tcBorders>
            <w:shd w:val="clear" w:color="000000" w:fill="B7DEE8"/>
            <w:noWrap/>
            <w:vAlign w:val="bottom"/>
            <w:hideMark/>
          </w:tcPr>
          <w:p w14:paraId="6E6F341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-0.78%</w:t>
            </w:r>
          </w:p>
        </w:tc>
        <w:tc>
          <w:tcPr>
            <w:tcW w:w="0" w:type="auto"/>
            <w:tcBorders>
              <w:top w:val="nil"/>
              <w:left w:val="nil"/>
              <w:bottom w:val="single" w:sz="4" w:space="0" w:color="auto"/>
              <w:right w:val="single" w:sz="4" w:space="0" w:color="auto"/>
            </w:tcBorders>
            <w:shd w:val="clear" w:color="000000" w:fill="B7DEE8"/>
            <w:noWrap/>
            <w:vAlign w:val="bottom"/>
            <w:hideMark/>
          </w:tcPr>
          <w:p w14:paraId="3B2DE5C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w:t>
            </w:r>
          </w:p>
        </w:tc>
        <w:tc>
          <w:tcPr>
            <w:tcW w:w="0" w:type="auto"/>
            <w:tcBorders>
              <w:top w:val="nil"/>
              <w:left w:val="nil"/>
              <w:bottom w:val="single" w:sz="4" w:space="0" w:color="auto"/>
              <w:right w:val="single" w:sz="4" w:space="0" w:color="auto"/>
            </w:tcBorders>
            <w:shd w:val="clear" w:color="000000" w:fill="DAEEF3"/>
            <w:noWrap/>
            <w:vAlign w:val="bottom"/>
            <w:hideMark/>
          </w:tcPr>
          <w:p w14:paraId="6AD5604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2.25%</w:t>
            </w:r>
          </w:p>
        </w:tc>
      </w:tr>
      <w:tr w:rsidR="00F20114" w:rsidRPr="008E0033" w14:paraId="456A5C08"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EE233A"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Ararat (RC)</w:t>
            </w:r>
          </w:p>
        </w:tc>
        <w:tc>
          <w:tcPr>
            <w:tcW w:w="0" w:type="auto"/>
            <w:tcBorders>
              <w:top w:val="nil"/>
              <w:left w:val="nil"/>
              <w:bottom w:val="single" w:sz="4" w:space="0" w:color="auto"/>
              <w:right w:val="single" w:sz="4" w:space="0" w:color="auto"/>
            </w:tcBorders>
            <w:shd w:val="clear" w:color="000000" w:fill="FDE9D9"/>
            <w:noWrap/>
            <w:vAlign w:val="bottom"/>
            <w:hideMark/>
          </w:tcPr>
          <w:p w14:paraId="1FCA601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0.40%</w:t>
            </w:r>
          </w:p>
        </w:tc>
        <w:tc>
          <w:tcPr>
            <w:tcW w:w="0" w:type="auto"/>
            <w:tcBorders>
              <w:top w:val="nil"/>
              <w:left w:val="nil"/>
              <w:bottom w:val="single" w:sz="4" w:space="0" w:color="auto"/>
              <w:right w:val="single" w:sz="4" w:space="0" w:color="auto"/>
            </w:tcBorders>
            <w:shd w:val="clear" w:color="000000" w:fill="FDE9D9"/>
            <w:noWrap/>
            <w:vAlign w:val="bottom"/>
            <w:hideMark/>
          </w:tcPr>
          <w:p w14:paraId="31D5C53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-0.34%</w:t>
            </w:r>
          </w:p>
        </w:tc>
        <w:tc>
          <w:tcPr>
            <w:tcW w:w="0" w:type="auto"/>
            <w:tcBorders>
              <w:top w:val="nil"/>
              <w:left w:val="nil"/>
              <w:bottom w:val="single" w:sz="4" w:space="0" w:color="auto"/>
              <w:right w:val="single" w:sz="4" w:space="0" w:color="auto"/>
            </w:tcBorders>
            <w:shd w:val="clear" w:color="000000" w:fill="FDE9D9"/>
            <w:noWrap/>
            <w:vAlign w:val="bottom"/>
            <w:hideMark/>
          </w:tcPr>
          <w:p w14:paraId="70FB03C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0.74%</w:t>
            </w:r>
          </w:p>
        </w:tc>
        <w:tc>
          <w:tcPr>
            <w:tcW w:w="0" w:type="auto"/>
            <w:tcBorders>
              <w:top w:val="nil"/>
              <w:left w:val="nil"/>
              <w:bottom w:val="single" w:sz="4" w:space="0" w:color="auto"/>
              <w:right w:val="single" w:sz="4" w:space="0" w:color="auto"/>
            </w:tcBorders>
            <w:shd w:val="clear" w:color="000000" w:fill="FDE9D9"/>
            <w:noWrap/>
            <w:vAlign w:val="bottom"/>
            <w:hideMark/>
          </w:tcPr>
          <w:p w14:paraId="68CBCED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-0.67%</w:t>
            </w:r>
          </w:p>
        </w:tc>
        <w:tc>
          <w:tcPr>
            <w:tcW w:w="0" w:type="auto"/>
            <w:tcBorders>
              <w:top w:val="nil"/>
              <w:left w:val="nil"/>
              <w:bottom w:val="single" w:sz="4" w:space="0" w:color="auto"/>
              <w:right w:val="single" w:sz="4" w:space="0" w:color="auto"/>
            </w:tcBorders>
            <w:shd w:val="clear" w:color="000000" w:fill="FDE9D9"/>
            <w:noWrap/>
            <w:vAlign w:val="bottom"/>
            <w:hideMark/>
          </w:tcPr>
          <w:p w14:paraId="6DCBE6B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0.71%</w:t>
            </w:r>
          </w:p>
        </w:tc>
        <w:tc>
          <w:tcPr>
            <w:tcW w:w="0" w:type="auto"/>
            <w:tcBorders>
              <w:top w:val="nil"/>
              <w:left w:val="nil"/>
              <w:bottom w:val="single" w:sz="4" w:space="0" w:color="auto"/>
              <w:right w:val="single" w:sz="4" w:space="0" w:color="auto"/>
            </w:tcBorders>
            <w:shd w:val="clear" w:color="000000" w:fill="FDE9D9"/>
            <w:noWrap/>
            <w:vAlign w:val="bottom"/>
            <w:hideMark/>
          </w:tcPr>
          <w:p w14:paraId="425E48E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-1.38%</w:t>
            </w:r>
          </w:p>
        </w:tc>
        <w:tc>
          <w:tcPr>
            <w:tcW w:w="0" w:type="auto"/>
            <w:tcBorders>
              <w:top w:val="nil"/>
              <w:left w:val="nil"/>
              <w:bottom w:val="single" w:sz="4" w:space="0" w:color="auto"/>
              <w:right w:val="single" w:sz="4" w:space="0" w:color="auto"/>
            </w:tcBorders>
            <w:shd w:val="clear" w:color="000000" w:fill="B7DEE8"/>
            <w:noWrap/>
            <w:vAlign w:val="bottom"/>
            <w:hideMark/>
          </w:tcPr>
          <w:p w14:paraId="361EB02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3.81%</w:t>
            </w:r>
          </w:p>
        </w:tc>
        <w:tc>
          <w:tcPr>
            <w:tcW w:w="0" w:type="auto"/>
            <w:tcBorders>
              <w:top w:val="nil"/>
              <w:left w:val="nil"/>
              <w:bottom w:val="single" w:sz="4" w:space="0" w:color="auto"/>
              <w:right w:val="single" w:sz="4" w:space="0" w:color="auto"/>
            </w:tcBorders>
            <w:shd w:val="clear" w:color="000000" w:fill="B7DEE8"/>
            <w:noWrap/>
            <w:vAlign w:val="bottom"/>
            <w:hideMark/>
          </w:tcPr>
          <w:p w14:paraId="525804B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-0.73%</w:t>
            </w:r>
          </w:p>
        </w:tc>
        <w:tc>
          <w:tcPr>
            <w:tcW w:w="0" w:type="auto"/>
            <w:tcBorders>
              <w:top w:val="nil"/>
              <w:left w:val="nil"/>
              <w:bottom w:val="single" w:sz="4" w:space="0" w:color="auto"/>
              <w:right w:val="single" w:sz="4" w:space="0" w:color="auto"/>
            </w:tcBorders>
            <w:shd w:val="clear" w:color="000000" w:fill="B7DEE8"/>
            <w:noWrap/>
            <w:vAlign w:val="bottom"/>
            <w:hideMark/>
          </w:tcPr>
          <w:p w14:paraId="15BA67D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w:t>
            </w:r>
          </w:p>
        </w:tc>
        <w:tc>
          <w:tcPr>
            <w:tcW w:w="0" w:type="auto"/>
            <w:tcBorders>
              <w:top w:val="nil"/>
              <w:left w:val="nil"/>
              <w:bottom w:val="single" w:sz="4" w:space="0" w:color="auto"/>
              <w:right w:val="single" w:sz="4" w:space="0" w:color="auto"/>
            </w:tcBorders>
            <w:shd w:val="clear" w:color="000000" w:fill="DAEEF3"/>
            <w:noWrap/>
            <w:vAlign w:val="bottom"/>
            <w:hideMark/>
          </w:tcPr>
          <w:p w14:paraId="2B2F01F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2.29%</w:t>
            </w:r>
          </w:p>
        </w:tc>
      </w:tr>
      <w:tr w:rsidR="00F20114" w:rsidRPr="008E0033" w14:paraId="0C8CA222"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5984D0"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Ballarat (C)</w:t>
            </w:r>
          </w:p>
        </w:tc>
        <w:tc>
          <w:tcPr>
            <w:tcW w:w="0" w:type="auto"/>
            <w:tcBorders>
              <w:top w:val="nil"/>
              <w:left w:val="nil"/>
              <w:bottom w:val="single" w:sz="4" w:space="0" w:color="auto"/>
              <w:right w:val="single" w:sz="4" w:space="0" w:color="auto"/>
            </w:tcBorders>
            <w:shd w:val="clear" w:color="000000" w:fill="FDE9D9"/>
            <w:noWrap/>
            <w:vAlign w:val="bottom"/>
            <w:hideMark/>
          </w:tcPr>
          <w:p w14:paraId="3148D43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1.66%</w:t>
            </w:r>
          </w:p>
        </w:tc>
        <w:tc>
          <w:tcPr>
            <w:tcW w:w="0" w:type="auto"/>
            <w:tcBorders>
              <w:top w:val="nil"/>
              <w:left w:val="nil"/>
              <w:bottom w:val="single" w:sz="4" w:space="0" w:color="auto"/>
              <w:right w:val="single" w:sz="4" w:space="0" w:color="auto"/>
            </w:tcBorders>
            <w:shd w:val="clear" w:color="000000" w:fill="FDE9D9"/>
            <w:noWrap/>
            <w:vAlign w:val="bottom"/>
            <w:hideMark/>
          </w:tcPr>
          <w:p w14:paraId="5202F63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1.72%</w:t>
            </w:r>
          </w:p>
        </w:tc>
        <w:tc>
          <w:tcPr>
            <w:tcW w:w="0" w:type="auto"/>
            <w:tcBorders>
              <w:top w:val="nil"/>
              <w:left w:val="nil"/>
              <w:bottom w:val="single" w:sz="4" w:space="0" w:color="auto"/>
              <w:right w:val="single" w:sz="4" w:space="0" w:color="auto"/>
            </w:tcBorders>
            <w:shd w:val="clear" w:color="000000" w:fill="FDE9D9"/>
            <w:noWrap/>
            <w:vAlign w:val="bottom"/>
            <w:hideMark/>
          </w:tcPr>
          <w:p w14:paraId="56AD3FF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-0.06%</w:t>
            </w:r>
          </w:p>
        </w:tc>
        <w:tc>
          <w:tcPr>
            <w:tcW w:w="0" w:type="auto"/>
            <w:tcBorders>
              <w:top w:val="nil"/>
              <w:left w:val="nil"/>
              <w:bottom w:val="single" w:sz="4" w:space="0" w:color="auto"/>
              <w:right w:val="single" w:sz="4" w:space="0" w:color="auto"/>
            </w:tcBorders>
            <w:shd w:val="clear" w:color="000000" w:fill="FDE9D9"/>
            <w:noWrap/>
            <w:vAlign w:val="bottom"/>
            <w:hideMark/>
          </w:tcPr>
          <w:p w14:paraId="4F7C2E0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1.71%</w:t>
            </w:r>
          </w:p>
        </w:tc>
        <w:tc>
          <w:tcPr>
            <w:tcW w:w="0" w:type="auto"/>
            <w:tcBorders>
              <w:top w:val="nil"/>
              <w:left w:val="nil"/>
              <w:bottom w:val="single" w:sz="4" w:space="0" w:color="auto"/>
              <w:right w:val="single" w:sz="4" w:space="0" w:color="auto"/>
            </w:tcBorders>
            <w:shd w:val="clear" w:color="000000" w:fill="FDE9D9"/>
            <w:noWrap/>
            <w:vAlign w:val="bottom"/>
            <w:hideMark/>
          </w:tcPr>
          <w:p w14:paraId="69FF15C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1.77%</w:t>
            </w:r>
          </w:p>
        </w:tc>
        <w:tc>
          <w:tcPr>
            <w:tcW w:w="0" w:type="auto"/>
            <w:tcBorders>
              <w:top w:val="nil"/>
              <w:left w:val="nil"/>
              <w:bottom w:val="single" w:sz="4" w:space="0" w:color="auto"/>
              <w:right w:val="single" w:sz="4" w:space="0" w:color="auto"/>
            </w:tcBorders>
            <w:shd w:val="clear" w:color="000000" w:fill="FDE9D9"/>
            <w:noWrap/>
            <w:vAlign w:val="bottom"/>
            <w:hideMark/>
          </w:tcPr>
          <w:p w14:paraId="79F2DBC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-0.05%</w:t>
            </w:r>
          </w:p>
        </w:tc>
        <w:tc>
          <w:tcPr>
            <w:tcW w:w="0" w:type="auto"/>
            <w:tcBorders>
              <w:top w:val="nil"/>
              <w:left w:val="nil"/>
              <w:bottom w:val="single" w:sz="4" w:space="0" w:color="auto"/>
              <w:right w:val="single" w:sz="4" w:space="0" w:color="auto"/>
            </w:tcBorders>
            <w:shd w:val="clear" w:color="000000" w:fill="B7DEE8"/>
            <w:noWrap/>
            <w:vAlign w:val="bottom"/>
            <w:hideMark/>
          </w:tcPr>
          <w:p w14:paraId="74E5C6B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2.99%</w:t>
            </w:r>
          </w:p>
        </w:tc>
        <w:tc>
          <w:tcPr>
            <w:tcW w:w="0" w:type="auto"/>
            <w:tcBorders>
              <w:top w:val="nil"/>
              <w:left w:val="nil"/>
              <w:bottom w:val="single" w:sz="4" w:space="0" w:color="auto"/>
              <w:right w:val="single" w:sz="4" w:space="0" w:color="auto"/>
            </w:tcBorders>
            <w:shd w:val="clear" w:color="000000" w:fill="B7DEE8"/>
            <w:noWrap/>
            <w:vAlign w:val="bottom"/>
            <w:hideMark/>
          </w:tcPr>
          <w:p w14:paraId="2E04621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0.06%</w:t>
            </w:r>
          </w:p>
        </w:tc>
        <w:tc>
          <w:tcPr>
            <w:tcW w:w="0" w:type="auto"/>
            <w:tcBorders>
              <w:top w:val="nil"/>
              <w:left w:val="nil"/>
              <w:bottom w:val="single" w:sz="4" w:space="0" w:color="auto"/>
              <w:right w:val="single" w:sz="4" w:space="0" w:color="auto"/>
            </w:tcBorders>
            <w:shd w:val="clear" w:color="000000" w:fill="B7DEE8"/>
            <w:noWrap/>
            <w:vAlign w:val="bottom"/>
            <w:hideMark/>
          </w:tcPr>
          <w:p w14:paraId="79332A6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w:t>
            </w:r>
          </w:p>
        </w:tc>
        <w:tc>
          <w:tcPr>
            <w:tcW w:w="0" w:type="auto"/>
            <w:tcBorders>
              <w:top w:val="nil"/>
              <w:left w:val="nil"/>
              <w:bottom w:val="single" w:sz="4" w:space="0" w:color="auto"/>
              <w:right w:val="single" w:sz="4" w:space="0" w:color="auto"/>
            </w:tcBorders>
            <w:shd w:val="clear" w:color="000000" w:fill="DAEEF3"/>
            <w:noWrap/>
            <w:vAlign w:val="bottom"/>
            <w:hideMark/>
          </w:tcPr>
          <w:p w14:paraId="3AEF61E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3.11%</w:t>
            </w:r>
          </w:p>
        </w:tc>
      </w:tr>
      <w:tr w:rsidR="00F20114" w:rsidRPr="008E0033" w14:paraId="13F88E7B"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34AE73"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Banyule (C)</w:t>
            </w:r>
          </w:p>
        </w:tc>
        <w:tc>
          <w:tcPr>
            <w:tcW w:w="0" w:type="auto"/>
            <w:tcBorders>
              <w:top w:val="nil"/>
              <w:left w:val="nil"/>
              <w:bottom w:val="single" w:sz="4" w:space="0" w:color="auto"/>
              <w:right w:val="single" w:sz="4" w:space="0" w:color="auto"/>
            </w:tcBorders>
            <w:shd w:val="clear" w:color="000000" w:fill="FDE9D9"/>
            <w:noWrap/>
            <w:vAlign w:val="bottom"/>
            <w:hideMark/>
          </w:tcPr>
          <w:p w14:paraId="221518D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0.40%</w:t>
            </w:r>
          </w:p>
        </w:tc>
        <w:tc>
          <w:tcPr>
            <w:tcW w:w="0" w:type="auto"/>
            <w:tcBorders>
              <w:top w:val="nil"/>
              <w:left w:val="nil"/>
              <w:bottom w:val="single" w:sz="4" w:space="0" w:color="auto"/>
              <w:right w:val="single" w:sz="4" w:space="0" w:color="auto"/>
            </w:tcBorders>
            <w:shd w:val="clear" w:color="000000" w:fill="FDE9D9"/>
            <w:noWrap/>
            <w:vAlign w:val="bottom"/>
            <w:hideMark/>
          </w:tcPr>
          <w:p w14:paraId="1E65D5C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0.90%</w:t>
            </w:r>
          </w:p>
        </w:tc>
        <w:tc>
          <w:tcPr>
            <w:tcW w:w="0" w:type="auto"/>
            <w:tcBorders>
              <w:top w:val="nil"/>
              <w:left w:val="nil"/>
              <w:bottom w:val="single" w:sz="4" w:space="0" w:color="auto"/>
              <w:right w:val="single" w:sz="4" w:space="0" w:color="auto"/>
            </w:tcBorders>
            <w:shd w:val="clear" w:color="000000" w:fill="FDE9D9"/>
            <w:noWrap/>
            <w:vAlign w:val="bottom"/>
            <w:hideMark/>
          </w:tcPr>
          <w:p w14:paraId="43C6200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-0.50%</w:t>
            </w:r>
          </w:p>
        </w:tc>
        <w:tc>
          <w:tcPr>
            <w:tcW w:w="0" w:type="auto"/>
            <w:tcBorders>
              <w:top w:val="nil"/>
              <w:left w:val="nil"/>
              <w:bottom w:val="single" w:sz="4" w:space="0" w:color="auto"/>
              <w:right w:val="single" w:sz="4" w:space="0" w:color="auto"/>
            </w:tcBorders>
            <w:shd w:val="clear" w:color="000000" w:fill="FDE9D9"/>
            <w:noWrap/>
            <w:vAlign w:val="bottom"/>
            <w:hideMark/>
          </w:tcPr>
          <w:p w14:paraId="22C8BC3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0.77%</w:t>
            </w:r>
          </w:p>
        </w:tc>
        <w:tc>
          <w:tcPr>
            <w:tcW w:w="0" w:type="auto"/>
            <w:tcBorders>
              <w:top w:val="nil"/>
              <w:left w:val="nil"/>
              <w:bottom w:val="single" w:sz="4" w:space="0" w:color="auto"/>
              <w:right w:val="single" w:sz="4" w:space="0" w:color="auto"/>
            </w:tcBorders>
            <w:shd w:val="clear" w:color="000000" w:fill="FDE9D9"/>
            <w:noWrap/>
            <w:vAlign w:val="bottom"/>
            <w:hideMark/>
          </w:tcPr>
          <w:p w14:paraId="09E9388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0.59%</w:t>
            </w:r>
          </w:p>
        </w:tc>
        <w:tc>
          <w:tcPr>
            <w:tcW w:w="0" w:type="auto"/>
            <w:tcBorders>
              <w:top w:val="nil"/>
              <w:left w:val="nil"/>
              <w:bottom w:val="single" w:sz="4" w:space="0" w:color="auto"/>
              <w:right w:val="single" w:sz="4" w:space="0" w:color="auto"/>
            </w:tcBorders>
            <w:shd w:val="clear" w:color="000000" w:fill="FDE9D9"/>
            <w:noWrap/>
            <w:vAlign w:val="bottom"/>
            <w:hideMark/>
          </w:tcPr>
          <w:p w14:paraId="5329CBB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0.18%</w:t>
            </w:r>
          </w:p>
        </w:tc>
        <w:tc>
          <w:tcPr>
            <w:tcW w:w="0" w:type="auto"/>
            <w:tcBorders>
              <w:top w:val="nil"/>
              <w:left w:val="nil"/>
              <w:bottom w:val="single" w:sz="4" w:space="0" w:color="auto"/>
              <w:right w:val="single" w:sz="4" w:space="0" w:color="auto"/>
            </w:tcBorders>
            <w:shd w:val="clear" w:color="000000" w:fill="B7DEE8"/>
            <w:noWrap/>
            <w:vAlign w:val="bottom"/>
            <w:hideMark/>
          </w:tcPr>
          <w:p w14:paraId="0578E1F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2.54%</w:t>
            </w:r>
          </w:p>
        </w:tc>
        <w:tc>
          <w:tcPr>
            <w:tcW w:w="0" w:type="auto"/>
            <w:tcBorders>
              <w:top w:val="nil"/>
              <w:left w:val="nil"/>
              <w:bottom w:val="single" w:sz="4" w:space="0" w:color="auto"/>
              <w:right w:val="single" w:sz="4" w:space="0" w:color="auto"/>
            </w:tcBorders>
            <w:shd w:val="clear" w:color="000000" w:fill="B7DEE8"/>
            <w:noWrap/>
            <w:vAlign w:val="bottom"/>
            <w:hideMark/>
          </w:tcPr>
          <w:p w14:paraId="0981298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0.50%</w:t>
            </w:r>
          </w:p>
        </w:tc>
        <w:tc>
          <w:tcPr>
            <w:tcW w:w="0" w:type="auto"/>
            <w:tcBorders>
              <w:top w:val="nil"/>
              <w:left w:val="nil"/>
              <w:bottom w:val="single" w:sz="4" w:space="0" w:color="auto"/>
              <w:right w:val="single" w:sz="4" w:space="0" w:color="auto"/>
            </w:tcBorders>
            <w:shd w:val="clear" w:color="000000" w:fill="B7DEE8"/>
            <w:noWrap/>
            <w:vAlign w:val="bottom"/>
            <w:hideMark/>
          </w:tcPr>
          <w:p w14:paraId="3B2207D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w:t>
            </w:r>
          </w:p>
        </w:tc>
        <w:tc>
          <w:tcPr>
            <w:tcW w:w="0" w:type="auto"/>
            <w:tcBorders>
              <w:top w:val="nil"/>
              <w:left w:val="nil"/>
              <w:bottom w:val="single" w:sz="4" w:space="0" w:color="auto"/>
              <w:right w:val="single" w:sz="4" w:space="0" w:color="auto"/>
            </w:tcBorders>
            <w:shd w:val="clear" w:color="000000" w:fill="DAEEF3"/>
            <w:noWrap/>
            <w:vAlign w:val="bottom"/>
            <w:hideMark/>
          </w:tcPr>
          <w:p w14:paraId="2394867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3.56%</w:t>
            </w:r>
          </w:p>
        </w:tc>
      </w:tr>
      <w:tr w:rsidR="00F20114" w:rsidRPr="008E0033" w14:paraId="7DD5C456"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7EBE14"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Bass Coast (S)</w:t>
            </w:r>
          </w:p>
        </w:tc>
        <w:tc>
          <w:tcPr>
            <w:tcW w:w="0" w:type="auto"/>
            <w:tcBorders>
              <w:top w:val="nil"/>
              <w:left w:val="nil"/>
              <w:bottom w:val="single" w:sz="4" w:space="0" w:color="auto"/>
              <w:right w:val="single" w:sz="4" w:space="0" w:color="auto"/>
            </w:tcBorders>
            <w:shd w:val="clear" w:color="000000" w:fill="FDE9D9"/>
            <w:noWrap/>
            <w:vAlign w:val="bottom"/>
            <w:hideMark/>
          </w:tcPr>
          <w:p w14:paraId="364EE45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0.56%</w:t>
            </w:r>
          </w:p>
        </w:tc>
        <w:tc>
          <w:tcPr>
            <w:tcW w:w="0" w:type="auto"/>
            <w:tcBorders>
              <w:top w:val="nil"/>
              <w:left w:val="nil"/>
              <w:bottom w:val="single" w:sz="4" w:space="0" w:color="auto"/>
              <w:right w:val="single" w:sz="4" w:space="0" w:color="auto"/>
            </w:tcBorders>
            <w:shd w:val="clear" w:color="000000" w:fill="FDE9D9"/>
            <w:noWrap/>
            <w:vAlign w:val="bottom"/>
            <w:hideMark/>
          </w:tcPr>
          <w:p w14:paraId="0B9B176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2.08%</w:t>
            </w:r>
          </w:p>
        </w:tc>
        <w:tc>
          <w:tcPr>
            <w:tcW w:w="0" w:type="auto"/>
            <w:tcBorders>
              <w:top w:val="nil"/>
              <w:left w:val="nil"/>
              <w:bottom w:val="single" w:sz="4" w:space="0" w:color="auto"/>
              <w:right w:val="single" w:sz="4" w:space="0" w:color="auto"/>
            </w:tcBorders>
            <w:shd w:val="clear" w:color="000000" w:fill="FDE9D9"/>
            <w:noWrap/>
            <w:vAlign w:val="bottom"/>
            <w:hideMark/>
          </w:tcPr>
          <w:p w14:paraId="57DE9C6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-1.52%</w:t>
            </w:r>
          </w:p>
        </w:tc>
        <w:tc>
          <w:tcPr>
            <w:tcW w:w="0" w:type="auto"/>
            <w:tcBorders>
              <w:top w:val="nil"/>
              <w:left w:val="nil"/>
              <w:bottom w:val="single" w:sz="4" w:space="0" w:color="auto"/>
              <w:right w:val="single" w:sz="4" w:space="0" w:color="auto"/>
            </w:tcBorders>
            <w:shd w:val="clear" w:color="000000" w:fill="FDE9D9"/>
            <w:noWrap/>
            <w:vAlign w:val="bottom"/>
            <w:hideMark/>
          </w:tcPr>
          <w:p w14:paraId="12239D5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1.63%</w:t>
            </w:r>
          </w:p>
        </w:tc>
        <w:tc>
          <w:tcPr>
            <w:tcW w:w="0" w:type="auto"/>
            <w:tcBorders>
              <w:top w:val="nil"/>
              <w:left w:val="nil"/>
              <w:bottom w:val="single" w:sz="4" w:space="0" w:color="auto"/>
              <w:right w:val="single" w:sz="4" w:space="0" w:color="auto"/>
            </w:tcBorders>
            <w:shd w:val="clear" w:color="000000" w:fill="FDE9D9"/>
            <w:noWrap/>
            <w:vAlign w:val="bottom"/>
            <w:hideMark/>
          </w:tcPr>
          <w:p w14:paraId="7B57349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1.19%</w:t>
            </w:r>
          </w:p>
        </w:tc>
        <w:tc>
          <w:tcPr>
            <w:tcW w:w="0" w:type="auto"/>
            <w:tcBorders>
              <w:top w:val="nil"/>
              <w:left w:val="nil"/>
              <w:bottom w:val="single" w:sz="4" w:space="0" w:color="auto"/>
              <w:right w:val="single" w:sz="4" w:space="0" w:color="auto"/>
            </w:tcBorders>
            <w:shd w:val="clear" w:color="000000" w:fill="FDE9D9"/>
            <w:noWrap/>
            <w:vAlign w:val="bottom"/>
            <w:hideMark/>
          </w:tcPr>
          <w:p w14:paraId="5B88A07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0.44%</w:t>
            </w:r>
          </w:p>
        </w:tc>
        <w:tc>
          <w:tcPr>
            <w:tcW w:w="0" w:type="auto"/>
            <w:tcBorders>
              <w:top w:val="nil"/>
              <w:left w:val="nil"/>
              <w:bottom w:val="single" w:sz="4" w:space="0" w:color="auto"/>
              <w:right w:val="single" w:sz="4" w:space="0" w:color="auto"/>
            </w:tcBorders>
            <w:shd w:val="clear" w:color="000000" w:fill="B7DEE8"/>
            <w:noWrap/>
            <w:vAlign w:val="bottom"/>
            <w:hideMark/>
          </w:tcPr>
          <w:p w14:paraId="23804CB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1.52%</w:t>
            </w:r>
          </w:p>
        </w:tc>
        <w:tc>
          <w:tcPr>
            <w:tcW w:w="0" w:type="auto"/>
            <w:tcBorders>
              <w:top w:val="nil"/>
              <w:left w:val="nil"/>
              <w:bottom w:val="single" w:sz="4" w:space="0" w:color="auto"/>
              <w:right w:val="single" w:sz="4" w:space="0" w:color="auto"/>
            </w:tcBorders>
            <w:shd w:val="clear" w:color="000000" w:fill="B7DEE8"/>
            <w:noWrap/>
            <w:vAlign w:val="bottom"/>
            <w:hideMark/>
          </w:tcPr>
          <w:p w14:paraId="0C0B183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1.51%</w:t>
            </w:r>
          </w:p>
        </w:tc>
        <w:tc>
          <w:tcPr>
            <w:tcW w:w="0" w:type="auto"/>
            <w:tcBorders>
              <w:top w:val="nil"/>
              <w:left w:val="nil"/>
              <w:bottom w:val="single" w:sz="4" w:space="0" w:color="auto"/>
              <w:right w:val="single" w:sz="4" w:space="0" w:color="auto"/>
            </w:tcBorders>
            <w:shd w:val="clear" w:color="000000" w:fill="B7DEE8"/>
            <w:noWrap/>
            <w:vAlign w:val="bottom"/>
            <w:hideMark/>
          </w:tcPr>
          <w:p w14:paraId="20ADB24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1.4%</w:t>
            </w:r>
          </w:p>
        </w:tc>
        <w:tc>
          <w:tcPr>
            <w:tcW w:w="0" w:type="auto"/>
            <w:tcBorders>
              <w:top w:val="nil"/>
              <w:left w:val="nil"/>
              <w:bottom w:val="single" w:sz="4" w:space="0" w:color="auto"/>
              <w:right w:val="single" w:sz="4" w:space="0" w:color="auto"/>
            </w:tcBorders>
            <w:shd w:val="clear" w:color="000000" w:fill="DAEEF3"/>
            <w:noWrap/>
            <w:vAlign w:val="bottom"/>
            <w:hideMark/>
          </w:tcPr>
          <w:p w14:paraId="429C362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4.60%</w:t>
            </w:r>
          </w:p>
        </w:tc>
      </w:tr>
      <w:tr w:rsidR="00F20114" w:rsidRPr="008E0033" w14:paraId="3B8C8CC2"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DA1F77"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 xml:space="preserve">Baw </w:t>
            </w:r>
            <w:proofErr w:type="spellStart"/>
            <w:r w:rsidRPr="008E0033">
              <w:rPr>
                <w:rFonts w:ascii="Calibri" w:hAnsi="Calibri"/>
                <w:sz w:val="16"/>
                <w:szCs w:val="16"/>
                <w:lang w:eastAsia="en-AU"/>
              </w:rPr>
              <w:t>Baw</w:t>
            </w:r>
            <w:proofErr w:type="spellEnd"/>
            <w:r w:rsidRPr="008E0033">
              <w:rPr>
                <w:rFonts w:ascii="Calibri" w:hAnsi="Calibri"/>
                <w:sz w:val="16"/>
                <w:szCs w:val="16"/>
                <w:lang w:eastAsia="en-AU"/>
              </w:rPr>
              <w:t xml:space="preserve"> (S)</w:t>
            </w:r>
          </w:p>
        </w:tc>
        <w:tc>
          <w:tcPr>
            <w:tcW w:w="0" w:type="auto"/>
            <w:tcBorders>
              <w:top w:val="nil"/>
              <w:left w:val="nil"/>
              <w:bottom w:val="single" w:sz="4" w:space="0" w:color="auto"/>
              <w:right w:val="single" w:sz="4" w:space="0" w:color="auto"/>
            </w:tcBorders>
            <w:shd w:val="clear" w:color="000000" w:fill="FDE9D9"/>
            <w:noWrap/>
            <w:vAlign w:val="bottom"/>
            <w:hideMark/>
          </w:tcPr>
          <w:p w14:paraId="26F5D44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0.34%</w:t>
            </w:r>
          </w:p>
        </w:tc>
        <w:tc>
          <w:tcPr>
            <w:tcW w:w="0" w:type="auto"/>
            <w:tcBorders>
              <w:top w:val="nil"/>
              <w:left w:val="nil"/>
              <w:bottom w:val="single" w:sz="4" w:space="0" w:color="auto"/>
              <w:right w:val="single" w:sz="4" w:space="0" w:color="auto"/>
            </w:tcBorders>
            <w:shd w:val="clear" w:color="000000" w:fill="FDE9D9"/>
            <w:noWrap/>
            <w:vAlign w:val="bottom"/>
            <w:hideMark/>
          </w:tcPr>
          <w:p w14:paraId="3FDC61A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1.71%</w:t>
            </w:r>
          </w:p>
        </w:tc>
        <w:tc>
          <w:tcPr>
            <w:tcW w:w="0" w:type="auto"/>
            <w:tcBorders>
              <w:top w:val="nil"/>
              <w:left w:val="nil"/>
              <w:bottom w:val="single" w:sz="4" w:space="0" w:color="auto"/>
              <w:right w:val="single" w:sz="4" w:space="0" w:color="auto"/>
            </w:tcBorders>
            <w:shd w:val="clear" w:color="000000" w:fill="FDE9D9"/>
            <w:noWrap/>
            <w:vAlign w:val="bottom"/>
            <w:hideMark/>
          </w:tcPr>
          <w:p w14:paraId="049C468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-1.36%</w:t>
            </w:r>
          </w:p>
        </w:tc>
        <w:tc>
          <w:tcPr>
            <w:tcW w:w="0" w:type="auto"/>
            <w:tcBorders>
              <w:top w:val="nil"/>
              <w:left w:val="nil"/>
              <w:bottom w:val="single" w:sz="4" w:space="0" w:color="auto"/>
              <w:right w:val="single" w:sz="4" w:space="0" w:color="auto"/>
            </w:tcBorders>
            <w:shd w:val="clear" w:color="000000" w:fill="FDE9D9"/>
            <w:noWrap/>
            <w:vAlign w:val="bottom"/>
            <w:hideMark/>
          </w:tcPr>
          <w:p w14:paraId="7A4A553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1.84%</w:t>
            </w:r>
          </w:p>
        </w:tc>
        <w:tc>
          <w:tcPr>
            <w:tcW w:w="0" w:type="auto"/>
            <w:tcBorders>
              <w:top w:val="nil"/>
              <w:left w:val="nil"/>
              <w:bottom w:val="single" w:sz="4" w:space="0" w:color="auto"/>
              <w:right w:val="single" w:sz="4" w:space="0" w:color="auto"/>
            </w:tcBorders>
            <w:shd w:val="clear" w:color="000000" w:fill="FDE9D9"/>
            <w:noWrap/>
            <w:vAlign w:val="bottom"/>
            <w:hideMark/>
          </w:tcPr>
          <w:p w14:paraId="10B5588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1.80%</w:t>
            </w:r>
          </w:p>
        </w:tc>
        <w:tc>
          <w:tcPr>
            <w:tcW w:w="0" w:type="auto"/>
            <w:tcBorders>
              <w:top w:val="nil"/>
              <w:left w:val="nil"/>
              <w:bottom w:val="single" w:sz="4" w:space="0" w:color="auto"/>
              <w:right w:val="single" w:sz="4" w:space="0" w:color="auto"/>
            </w:tcBorders>
            <w:shd w:val="clear" w:color="000000" w:fill="FDE9D9"/>
            <w:noWrap/>
            <w:vAlign w:val="bottom"/>
            <w:hideMark/>
          </w:tcPr>
          <w:p w14:paraId="181242F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0.04%</w:t>
            </w:r>
          </w:p>
        </w:tc>
        <w:tc>
          <w:tcPr>
            <w:tcW w:w="0" w:type="auto"/>
            <w:tcBorders>
              <w:top w:val="nil"/>
              <w:left w:val="nil"/>
              <w:bottom w:val="single" w:sz="4" w:space="0" w:color="auto"/>
              <w:right w:val="single" w:sz="4" w:space="0" w:color="auto"/>
            </w:tcBorders>
            <w:shd w:val="clear" w:color="000000" w:fill="B7DEE8"/>
            <w:noWrap/>
            <w:vAlign w:val="bottom"/>
            <w:hideMark/>
          </w:tcPr>
          <w:p w14:paraId="0FA06E6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1.67%</w:t>
            </w:r>
          </w:p>
        </w:tc>
        <w:tc>
          <w:tcPr>
            <w:tcW w:w="0" w:type="auto"/>
            <w:tcBorders>
              <w:top w:val="nil"/>
              <w:left w:val="nil"/>
              <w:bottom w:val="single" w:sz="4" w:space="0" w:color="auto"/>
              <w:right w:val="single" w:sz="4" w:space="0" w:color="auto"/>
            </w:tcBorders>
            <w:shd w:val="clear" w:color="000000" w:fill="B7DEE8"/>
            <w:noWrap/>
            <w:vAlign w:val="bottom"/>
            <w:hideMark/>
          </w:tcPr>
          <w:p w14:paraId="18B8296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1.36%</w:t>
            </w:r>
          </w:p>
        </w:tc>
        <w:tc>
          <w:tcPr>
            <w:tcW w:w="0" w:type="auto"/>
            <w:tcBorders>
              <w:top w:val="nil"/>
              <w:left w:val="nil"/>
              <w:bottom w:val="single" w:sz="4" w:space="0" w:color="auto"/>
              <w:right w:val="single" w:sz="4" w:space="0" w:color="auto"/>
            </w:tcBorders>
            <w:shd w:val="clear" w:color="000000" w:fill="B7DEE8"/>
            <w:noWrap/>
            <w:vAlign w:val="bottom"/>
            <w:hideMark/>
          </w:tcPr>
          <w:p w14:paraId="6C183E6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w:t>
            </w:r>
          </w:p>
        </w:tc>
        <w:tc>
          <w:tcPr>
            <w:tcW w:w="0" w:type="auto"/>
            <w:tcBorders>
              <w:top w:val="nil"/>
              <w:left w:val="nil"/>
              <w:bottom w:val="single" w:sz="4" w:space="0" w:color="auto"/>
              <w:right w:val="single" w:sz="4" w:space="0" w:color="auto"/>
            </w:tcBorders>
            <w:shd w:val="clear" w:color="000000" w:fill="DAEEF3"/>
            <w:noWrap/>
            <w:vAlign w:val="bottom"/>
            <w:hideMark/>
          </w:tcPr>
          <w:p w14:paraId="791F299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4.45%</w:t>
            </w:r>
          </w:p>
        </w:tc>
      </w:tr>
      <w:tr w:rsidR="00F20114" w:rsidRPr="008E0033" w14:paraId="60A3E444"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00B9C8"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Bayside (C)</w:t>
            </w:r>
          </w:p>
        </w:tc>
        <w:tc>
          <w:tcPr>
            <w:tcW w:w="0" w:type="auto"/>
            <w:tcBorders>
              <w:top w:val="nil"/>
              <w:left w:val="nil"/>
              <w:bottom w:val="single" w:sz="4" w:space="0" w:color="auto"/>
              <w:right w:val="single" w:sz="4" w:space="0" w:color="auto"/>
            </w:tcBorders>
            <w:shd w:val="clear" w:color="000000" w:fill="FDE9D9"/>
            <w:noWrap/>
            <w:vAlign w:val="bottom"/>
            <w:hideMark/>
          </w:tcPr>
          <w:p w14:paraId="28E3F63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1.50%</w:t>
            </w:r>
          </w:p>
        </w:tc>
        <w:tc>
          <w:tcPr>
            <w:tcW w:w="0" w:type="auto"/>
            <w:tcBorders>
              <w:top w:val="nil"/>
              <w:left w:val="nil"/>
              <w:bottom w:val="single" w:sz="4" w:space="0" w:color="auto"/>
              <w:right w:val="single" w:sz="4" w:space="0" w:color="auto"/>
            </w:tcBorders>
            <w:shd w:val="clear" w:color="000000" w:fill="FDE9D9"/>
            <w:noWrap/>
            <w:vAlign w:val="bottom"/>
            <w:hideMark/>
          </w:tcPr>
          <w:p w14:paraId="4C6862A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1.68%</w:t>
            </w:r>
          </w:p>
        </w:tc>
        <w:tc>
          <w:tcPr>
            <w:tcW w:w="0" w:type="auto"/>
            <w:tcBorders>
              <w:top w:val="nil"/>
              <w:left w:val="nil"/>
              <w:bottom w:val="single" w:sz="4" w:space="0" w:color="auto"/>
              <w:right w:val="single" w:sz="4" w:space="0" w:color="auto"/>
            </w:tcBorders>
            <w:shd w:val="clear" w:color="000000" w:fill="FDE9D9"/>
            <w:noWrap/>
            <w:vAlign w:val="bottom"/>
            <w:hideMark/>
          </w:tcPr>
          <w:p w14:paraId="5B9EA5D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-0.18%</w:t>
            </w:r>
          </w:p>
        </w:tc>
        <w:tc>
          <w:tcPr>
            <w:tcW w:w="0" w:type="auto"/>
            <w:tcBorders>
              <w:top w:val="nil"/>
              <w:left w:val="nil"/>
              <w:bottom w:val="single" w:sz="4" w:space="0" w:color="auto"/>
              <w:right w:val="single" w:sz="4" w:space="0" w:color="auto"/>
            </w:tcBorders>
            <w:shd w:val="clear" w:color="000000" w:fill="FDE9D9"/>
            <w:noWrap/>
            <w:vAlign w:val="bottom"/>
            <w:hideMark/>
          </w:tcPr>
          <w:p w14:paraId="704D3A3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1.51%</w:t>
            </w:r>
          </w:p>
        </w:tc>
        <w:tc>
          <w:tcPr>
            <w:tcW w:w="0" w:type="auto"/>
            <w:tcBorders>
              <w:top w:val="nil"/>
              <w:left w:val="nil"/>
              <w:bottom w:val="single" w:sz="4" w:space="0" w:color="auto"/>
              <w:right w:val="single" w:sz="4" w:space="0" w:color="auto"/>
            </w:tcBorders>
            <w:shd w:val="clear" w:color="000000" w:fill="FDE9D9"/>
            <w:noWrap/>
            <w:vAlign w:val="bottom"/>
            <w:hideMark/>
          </w:tcPr>
          <w:p w14:paraId="5DC0302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1.42%</w:t>
            </w:r>
          </w:p>
        </w:tc>
        <w:tc>
          <w:tcPr>
            <w:tcW w:w="0" w:type="auto"/>
            <w:tcBorders>
              <w:top w:val="nil"/>
              <w:left w:val="nil"/>
              <w:bottom w:val="single" w:sz="4" w:space="0" w:color="auto"/>
              <w:right w:val="single" w:sz="4" w:space="0" w:color="auto"/>
            </w:tcBorders>
            <w:shd w:val="clear" w:color="000000" w:fill="FDE9D9"/>
            <w:noWrap/>
            <w:vAlign w:val="bottom"/>
            <w:hideMark/>
          </w:tcPr>
          <w:p w14:paraId="3103CA3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0.10%</w:t>
            </w:r>
          </w:p>
        </w:tc>
        <w:tc>
          <w:tcPr>
            <w:tcW w:w="0" w:type="auto"/>
            <w:tcBorders>
              <w:top w:val="nil"/>
              <w:left w:val="nil"/>
              <w:bottom w:val="single" w:sz="4" w:space="0" w:color="auto"/>
              <w:right w:val="single" w:sz="4" w:space="0" w:color="auto"/>
            </w:tcBorders>
            <w:shd w:val="clear" w:color="000000" w:fill="B7DEE8"/>
            <w:noWrap/>
            <w:vAlign w:val="bottom"/>
            <w:hideMark/>
          </w:tcPr>
          <w:p w14:paraId="79708FF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2.87%</w:t>
            </w:r>
          </w:p>
        </w:tc>
        <w:tc>
          <w:tcPr>
            <w:tcW w:w="0" w:type="auto"/>
            <w:tcBorders>
              <w:top w:val="nil"/>
              <w:left w:val="nil"/>
              <w:bottom w:val="single" w:sz="4" w:space="0" w:color="auto"/>
              <w:right w:val="single" w:sz="4" w:space="0" w:color="auto"/>
            </w:tcBorders>
            <w:shd w:val="clear" w:color="000000" w:fill="B7DEE8"/>
            <w:noWrap/>
            <w:vAlign w:val="bottom"/>
            <w:hideMark/>
          </w:tcPr>
          <w:p w14:paraId="6E4FF29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0.18%</w:t>
            </w:r>
          </w:p>
        </w:tc>
        <w:tc>
          <w:tcPr>
            <w:tcW w:w="0" w:type="auto"/>
            <w:tcBorders>
              <w:top w:val="nil"/>
              <w:left w:val="nil"/>
              <w:bottom w:val="single" w:sz="4" w:space="0" w:color="auto"/>
              <w:right w:val="single" w:sz="4" w:space="0" w:color="auto"/>
            </w:tcBorders>
            <w:shd w:val="clear" w:color="000000" w:fill="B7DEE8"/>
            <w:noWrap/>
            <w:vAlign w:val="bottom"/>
            <w:hideMark/>
          </w:tcPr>
          <w:p w14:paraId="0C1A481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1.0%</w:t>
            </w:r>
          </w:p>
        </w:tc>
        <w:tc>
          <w:tcPr>
            <w:tcW w:w="0" w:type="auto"/>
            <w:tcBorders>
              <w:top w:val="nil"/>
              <w:left w:val="nil"/>
              <w:bottom w:val="single" w:sz="4" w:space="0" w:color="auto"/>
              <w:right w:val="single" w:sz="4" w:space="0" w:color="auto"/>
            </w:tcBorders>
            <w:shd w:val="clear" w:color="000000" w:fill="DAEEF3"/>
            <w:noWrap/>
            <w:vAlign w:val="bottom"/>
            <w:hideMark/>
          </w:tcPr>
          <w:p w14:paraId="674BC3D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3.23%</w:t>
            </w:r>
          </w:p>
        </w:tc>
      </w:tr>
      <w:tr w:rsidR="00F20114" w:rsidRPr="008E0033" w14:paraId="2906620A"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78FF84"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Benalla (RC)</w:t>
            </w:r>
          </w:p>
        </w:tc>
        <w:tc>
          <w:tcPr>
            <w:tcW w:w="0" w:type="auto"/>
            <w:tcBorders>
              <w:top w:val="nil"/>
              <w:left w:val="nil"/>
              <w:bottom w:val="single" w:sz="4" w:space="0" w:color="auto"/>
              <w:right w:val="single" w:sz="4" w:space="0" w:color="auto"/>
            </w:tcBorders>
            <w:shd w:val="clear" w:color="000000" w:fill="FDE9D9"/>
            <w:noWrap/>
            <w:vAlign w:val="bottom"/>
            <w:hideMark/>
          </w:tcPr>
          <w:p w14:paraId="5EEF134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0.64%</w:t>
            </w:r>
          </w:p>
        </w:tc>
        <w:tc>
          <w:tcPr>
            <w:tcW w:w="0" w:type="auto"/>
            <w:tcBorders>
              <w:top w:val="nil"/>
              <w:left w:val="nil"/>
              <w:bottom w:val="single" w:sz="4" w:space="0" w:color="auto"/>
              <w:right w:val="single" w:sz="4" w:space="0" w:color="auto"/>
            </w:tcBorders>
            <w:shd w:val="clear" w:color="000000" w:fill="FDE9D9"/>
            <w:noWrap/>
            <w:vAlign w:val="bottom"/>
            <w:hideMark/>
          </w:tcPr>
          <w:p w14:paraId="14C2E6E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-0.67%</w:t>
            </w:r>
          </w:p>
        </w:tc>
        <w:tc>
          <w:tcPr>
            <w:tcW w:w="0" w:type="auto"/>
            <w:tcBorders>
              <w:top w:val="nil"/>
              <w:left w:val="nil"/>
              <w:bottom w:val="single" w:sz="4" w:space="0" w:color="auto"/>
              <w:right w:val="single" w:sz="4" w:space="0" w:color="auto"/>
            </w:tcBorders>
            <w:shd w:val="clear" w:color="000000" w:fill="FDE9D9"/>
            <w:noWrap/>
            <w:vAlign w:val="bottom"/>
            <w:hideMark/>
          </w:tcPr>
          <w:p w14:paraId="1421058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1.31%</w:t>
            </w:r>
          </w:p>
        </w:tc>
        <w:tc>
          <w:tcPr>
            <w:tcW w:w="0" w:type="auto"/>
            <w:tcBorders>
              <w:top w:val="nil"/>
              <w:left w:val="nil"/>
              <w:bottom w:val="single" w:sz="4" w:space="0" w:color="auto"/>
              <w:right w:val="single" w:sz="4" w:space="0" w:color="auto"/>
            </w:tcBorders>
            <w:shd w:val="clear" w:color="000000" w:fill="FDE9D9"/>
            <w:noWrap/>
            <w:vAlign w:val="bottom"/>
            <w:hideMark/>
          </w:tcPr>
          <w:p w14:paraId="51DE158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-0.49%</w:t>
            </w:r>
          </w:p>
        </w:tc>
        <w:tc>
          <w:tcPr>
            <w:tcW w:w="0" w:type="auto"/>
            <w:tcBorders>
              <w:top w:val="nil"/>
              <w:left w:val="nil"/>
              <w:bottom w:val="single" w:sz="4" w:space="0" w:color="auto"/>
              <w:right w:val="single" w:sz="4" w:space="0" w:color="auto"/>
            </w:tcBorders>
            <w:shd w:val="clear" w:color="000000" w:fill="FDE9D9"/>
            <w:noWrap/>
            <w:vAlign w:val="bottom"/>
            <w:hideMark/>
          </w:tcPr>
          <w:p w14:paraId="4FED0E8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0.50%</w:t>
            </w:r>
          </w:p>
        </w:tc>
        <w:tc>
          <w:tcPr>
            <w:tcW w:w="0" w:type="auto"/>
            <w:tcBorders>
              <w:top w:val="nil"/>
              <w:left w:val="nil"/>
              <w:bottom w:val="single" w:sz="4" w:space="0" w:color="auto"/>
              <w:right w:val="single" w:sz="4" w:space="0" w:color="auto"/>
            </w:tcBorders>
            <w:shd w:val="clear" w:color="000000" w:fill="FDE9D9"/>
            <w:noWrap/>
            <w:vAlign w:val="bottom"/>
            <w:hideMark/>
          </w:tcPr>
          <w:p w14:paraId="5452F7C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-0.99%</w:t>
            </w:r>
          </w:p>
        </w:tc>
        <w:tc>
          <w:tcPr>
            <w:tcW w:w="0" w:type="auto"/>
            <w:tcBorders>
              <w:top w:val="nil"/>
              <w:left w:val="nil"/>
              <w:bottom w:val="single" w:sz="4" w:space="0" w:color="auto"/>
              <w:right w:val="single" w:sz="4" w:space="0" w:color="auto"/>
            </w:tcBorders>
            <w:shd w:val="clear" w:color="000000" w:fill="B7DEE8"/>
            <w:noWrap/>
            <w:vAlign w:val="bottom"/>
            <w:hideMark/>
          </w:tcPr>
          <w:p w14:paraId="0DF889F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4.41%</w:t>
            </w:r>
          </w:p>
        </w:tc>
        <w:tc>
          <w:tcPr>
            <w:tcW w:w="0" w:type="auto"/>
            <w:tcBorders>
              <w:top w:val="nil"/>
              <w:left w:val="nil"/>
              <w:bottom w:val="single" w:sz="4" w:space="0" w:color="auto"/>
              <w:right w:val="single" w:sz="4" w:space="0" w:color="auto"/>
            </w:tcBorders>
            <w:shd w:val="clear" w:color="000000" w:fill="B7DEE8"/>
            <w:noWrap/>
            <w:vAlign w:val="bottom"/>
            <w:hideMark/>
          </w:tcPr>
          <w:p w14:paraId="12D1F8E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-1.30%</w:t>
            </w:r>
          </w:p>
        </w:tc>
        <w:tc>
          <w:tcPr>
            <w:tcW w:w="0" w:type="auto"/>
            <w:tcBorders>
              <w:top w:val="nil"/>
              <w:left w:val="nil"/>
              <w:bottom w:val="single" w:sz="4" w:space="0" w:color="auto"/>
              <w:right w:val="single" w:sz="4" w:space="0" w:color="auto"/>
            </w:tcBorders>
            <w:shd w:val="clear" w:color="000000" w:fill="B7DEE8"/>
            <w:noWrap/>
            <w:vAlign w:val="bottom"/>
            <w:hideMark/>
          </w:tcPr>
          <w:p w14:paraId="1C45F7B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w:t>
            </w:r>
          </w:p>
        </w:tc>
        <w:tc>
          <w:tcPr>
            <w:tcW w:w="0" w:type="auto"/>
            <w:tcBorders>
              <w:top w:val="nil"/>
              <w:left w:val="nil"/>
              <w:bottom w:val="single" w:sz="4" w:space="0" w:color="auto"/>
              <w:right w:val="single" w:sz="4" w:space="0" w:color="auto"/>
            </w:tcBorders>
            <w:shd w:val="clear" w:color="000000" w:fill="DAEEF3"/>
            <w:noWrap/>
            <w:vAlign w:val="bottom"/>
            <w:hideMark/>
          </w:tcPr>
          <w:p w14:paraId="433D7D8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1.71%</w:t>
            </w:r>
          </w:p>
        </w:tc>
      </w:tr>
      <w:tr w:rsidR="00F20114" w:rsidRPr="008E0033" w14:paraId="56C7B8F7"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EBEEF9" w14:textId="77777777" w:rsidR="00F20114" w:rsidRPr="008E0033" w:rsidRDefault="00F20114" w:rsidP="00F20114">
            <w:pPr>
              <w:rPr>
                <w:rFonts w:ascii="Calibri" w:hAnsi="Calibri"/>
                <w:sz w:val="16"/>
                <w:szCs w:val="16"/>
                <w:lang w:eastAsia="en-AU"/>
              </w:rPr>
            </w:pPr>
            <w:proofErr w:type="spellStart"/>
            <w:r w:rsidRPr="008E0033">
              <w:rPr>
                <w:rFonts w:ascii="Calibri" w:hAnsi="Calibri"/>
                <w:sz w:val="16"/>
                <w:szCs w:val="16"/>
                <w:lang w:eastAsia="en-AU"/>
              </w:rPr>
              <w:t>Boroondara</w:t>
            </w:r>
            <w:proofErr w:type="spellEnd"/>
            <w:r w:rsidRPr="008E0033">
              <w:rPr>
                <w:rFonts w:ascii="Calibri" w:hAnsi="Calibri"/>
                <w:sz w:val="16"/>
                <w:szCs w:val="16"/>
                <w:lang w:eastAsia="en-AU"/>
              </w:rPr>
              <w:t xml:space="preserve"> (C)</w:t>
            </w:r>
          </w:p>
        </w:tc>
        <w:tc>
          <w:tcPr>
            <w:tcW w:w="0" w:type="auto"/>
            <w:tcBorders>
              <w:top w:val="nil"/>
              <w:left w:val="nil"/>
              <w:bottom w:val="single" w:sz="4" w:space="0" w:color="auto"/>
              <w:right w:val="single" w:sz="4" w:space="0" w:color="auto"/>
            </w:tcBorders>
            <w:shd w:val="clear" w:color="000000" w:fill="FDE9D9"/>
            <w:noWrap/>
            <w:vAlign w:val="bottom"/>
            <w:hideMark/>
          </w:tcPr>
          <w:p w14:paraId="1A3BC26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0.74%</w:t>
            </w:r>
          </w:p>
        </w:tc>
        <w:tc>
          <w:tcPr>
            <w:tcW w:w="0" w:type="auto"/>
            <w:tcBorders>
              <w:top w:val="nil"/>
              <w:left w:val="nil"/>
              <w:bottom w:val="single" w:sz="4" w:space="0" w:color="auto"/>
              <w:right w:val="single" w:sz="4" w:space="0" w:color="auto"/>
            </w:tcBorders>
            <w:shd w:val="clear" w:color="000000" w:fill="FDE9D9"/>
            <w:noWrap/>
            <w:vAlign w:val="bottom"/>
            <w:hideMark/>
          </w:tcPr>
          <w:p w14:paraId="019D3A7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1.28%</w:t>
            </w:r>
          </w:p>
        </w:tc>
        <w:tc>
          <w:tcPr>
            <w:tcW w:w="0" w:type="auto"/>
            <w:tcBorders>
              <w:top w:val="nil"/>
              <w:left w:val="nil"/>
              <w:bottom w:val="single" w:sz="4" w:space="0" w:color="auto"/>
              <w:right w:val="single" w:sz="4" w:space="0" w:color="auto"/>
            </w:tcBorders>
            <w:shd w:val="clear" w:color="000000" w:fill="FDE9D9"/>
            <w:noWrap/>
            <w:vAlign w:val="bottom"/>
            <w:hideMark/>
          </w:tcPr>
          <w:p w14:paraId="07D7B8C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-0.54%</w:t>
            </w:r>
          </w:p>
        </w:tc>
        <w:tc>
          <w:tcPr>
            <w:tcW w:w="0" w:type="auto"/>
            <w:tcBorders>
              <w:top w:val="nil"/>
              <w:left w:val="nil"/>
              <w:bottom w:val="single" w:sz="4" w:space="0" w:color="auto"/>
              <w:right w:val="single" w:sz="4" w:space="0" w:color="auto"/>
            </w:tcBorders>
            <w:shd w:val="clear" w:color="000000" w:fill="FDE9D9"/>
            <w:noWrap/>
            <w:vAlign w:val="bottom"/>
            <w:hideMark/>
          </w:tcPr>
          <w:p w14:paraId="79D9495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1.23%</w:t>
            </w:r>
          </w:p>
        </w:tc>
        <w:tc>
          <w:tcPr>
            <w:tcW w:w="0" w:type="auto"/>
            <w:tcBorders>
              <w:top w:val="nil"/>
              <w:left w:val="nil"/>
              <w:bottom w:val="single" w:sz="4" w:space="0" w:color="auto"/>
              <w:right w:val="single" w:sz="4" w:space="0" w:color="auto"/>
            </w:tcBorders>
            <w:shd w:val="clear" w:color="000000" w:fill="FDE9D9"/>
            <w:noWrap/>
            <w:vAlign w:val="bottom"/>
            <w:hideMark/>
          </w:tcPr>
          <w:p w14:paraId="1FDF952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0.82%</w:t>
            </w:r>
          </w:p>
        </w:tc>
        <w:tc>
          <w:tcPr>
            <w:tcW w:w="0" w:type="auto"/>
            <w:tcBorders>
              <w:top w:val="nil"/>
              <w:left w:val="nil"/>
              <w:bottom w:val="single" w:sz="4" w:space="0" w:color="auto"/>
              <w:right w:val="single" w:sz="4" w:space="0" w:color="auto"/>
            </w:tcBorders>
            <w:shd w:val="clear" w:color="000000" w:fill="FDE9D9"/>
            <w:noWrap/>
            <w:vAlign w:val="bottom"/>
            <w:hideMark/>
          </w:tcPr>
          <w:p w14:paraId="5F6951F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0.40%</w:t>
            </w:r>
          </w:p>
        </w:tc>
        <w:tc>
          <w:tcPr>
            <w:tcW w:w="0" w:type="auto"/>
            <w:tcBorders>
              <w:top w:val="nil"/>
              <w:left w:val="nil"/>
              <w:bottom w:val="single" w:sz="4" w:space="0" w:color="auto"/>
              <w:right w:val="single" w:sz="4" w:space="0" w:color="auto"/>
            </w:tcBorders>
            <w:shd w:val="clear" w:color="000000" w:fill="B7DEE8"/>
            <w:noWrap/>
            <w:vAlign w:val="bottom"/>
            <w:hideMark/>
          </w:tcPr>
          <w:p w14:paraId="667AE41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2.50%</w:t>
            </w:r>
          </w:p>
        </w:tc>
        <w:tc>
          <w:tcPr>
            <w:tcW w:w="0" w:type="auto"/>
            <w:tcBorders>
              <w:top w:val="nil"/>
              <w:left w:val="nil"/>
              <w:bottom w:val="single" w:sz="4" w:space="0" w:color="auto"/>
              <w:right w:val="single" w:sz="4" w:space="0" w:color="auto"/>
            </w:tcBorders>
            <w:shd w:val="clear" w:color="000000" w:fill="B7DEE8"/>
            <w:noWrap/>
            <w:vAlign w:val="bottom"/>
            <w:hideMark/>
          </w:tcPr>
          <w:p w14:paraId="138D6BB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0.54%</w:t>
            </w:r>
          </w:p>
        </w:tc>
        <w:tc>
          <w:tcPr>
            <w:tcW w:w="0" w:type="auto"/>
            <w:tcBorders>
              <w:top w:val="nil"/>
              <w:left w:val="nil"/>
              <w:bottom w:val="single" w:sz="4" w:space="0" w:color="auto"/>
              <w:right w:val="single" w:sz="4" w:space="0" w:color="auto"/>
            </w:tcBorders>
            <w:shd w:val="clear" w:color="000000" w:fill="B7DEE8"/>
            <w:noWrap/>
            <w:vAlign w:val="bottom"/>
            <w:hideMark/>
          </w:tcPr>
          <w:p w14:paraId="336A6D7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1.0%</w:t>
            </w:r>
          </w:p>
        </w:tc>
        <w:tc>
          <w:tcPr>
            <w:tcW w:w="0" w:type="auto"/>
            <w:tcBorders>
              <w:top w:val="nil"/>
              <w:left w:val="nil"/>
              <w:bottom w:val="single" w:sz="4" w:space="0" w:color="auto"/>
              <w:right w:val="single" w:sz="4" w:space="0" w:color="auto"/>
            </w:tcBorders>
            <w:shd w:val="clear" w:color="000000" w:fill="DAEEF3"/>
            <w:noWrap/>
            <w:vAlign w:val="bottom"/>
            <w:hideMark/>
          </w:tcPr>
          <w:p w14:paraId="14F6AFE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3.60%</w:t>
            </w:r>
          </w:p>
        </w:tc>
      </w:tr>
      <w:tr w:rsidR="00F20114" w:rsidRPr="008E0033" w14:paraId="2AACB5D8"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0FB977"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Brimbank (C)</w:t>
            </w:r>
          </w:p>
        </w:tc>
        <w:tc>
          <w:tcPr>
            <w:tcW w:w="0" w:type="auto"/>
            <w:tcBorders>
              <w:top w:val="nil"/>
              <w:left w:val="nil"/>
              <w:bottom w:val="single" w:sz="4" w:space="0" w:color="auto"/>
              <w:right w:val="single" w:sz="4" w:space="0" w:color="auto"/>
            </w:tcBorders>
            <w:shd w:val="clear" w:color="000000" w:fill="FDE9D9"/>
            <w:noWrap/>
            <w:vAlign w:val="bottom"/>
            <w:hideMark/>
          </w:tcPr>
          <w:p w14:paraId="414AECF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0.57%</w:t>
            </w:r>
          </w:p>
        </w:tc>
        <w:tc>
          <w:tcPr>
            <w:tcW w:w="0" w:type="auto"/>
            <w:tcBorders>
              <w:top w:val="nil"/>
              <w:left w:val="nil"/>
              <w:bottom w:val="single" w:sz="4" w:space="0" w:color="auto"/>
              <w:right w:val="single" w:sz="4" w:space="0" w:color="auto"/>
            </w:tcBorders>
            <w:shd w:val="clear" w:color="000000" w:fill="FDE9D9"/>
            <w:noWrap/>
            <w:vAlign w:val="bottom"/>
            <w:hideMark/>
          </w:tcPr>
          <w:p w14:paraId="727268D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1.22%</w:t>
            </w:r>
          </w:p>
        </w:tc>
        <w:tc>
          <w:tcPr>
            <w:tcW w:w="0" w:type="auto"/>
            <w:tcBorders>
              <w:top w:val="nil"/>
              <w:left w:val="nil"/>
              <w:bottom w:val="single" w:sz="4" w:space="0" w:color="auto"/>
              <w:right w:val="single" w:sz="4" w:space="0" w:color="auto"/>
            </w:tcBorders>
            <w:shd w:val="clear" w:color="000000" w:fill="FDE9D9"/>
            <w:noWrap/>
            <w:vAlign w:val="bottom"/>
            <w:hideMark/>
          </w:tcPr>
          <w:p w14:paraId="2A2C21F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-0.65%</w:t>
            </w:r>
          </w:p>
        </w:tc>
        <w:tc>
          <w:tcPr>
            <w:tcW w:w="0" w:type="auto"/>
            <w:tcBorders>
              <w:top w:val="nil"/>
              <w:left w:val="nil"/>
              <w:bottom w:val="single" w:sz="4" w:space="0" w:color="auto"/>
              <w:right w:val="single" w:sz="4" w:space="0" w:color="auto"/>
            </w:tcBorders>
            <w:shd w:val="clear" w:color="000000" w:fill="FDE9D9"/>
            <w:noWrap/>
            <w:vAlign w:val="bottom"/>
            <w:hideMark/>
          </w:tcPr>
          <w:p w14:paraId="7A21081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1.12%</w:t>
            </w:r>
          </w:p>
        </w:tc>
        <w:tc>
          <w:tcPr>
            <w:tcW w:w="0" w:type="auto"/>
            <w:tcBorders>
              <w:top w:val="nil"/>
              <w:left w:val="nil"/>
              <w:bottom w:val="single" w:sz="4" w:space="0" w:color="auto"/>
              <w:right w:val="single" w:sz="4" w:space="0" w:color="auto"/>
            </w:tcBorders>
            <w:shd w:val="clear" w:color="000000" w:fill="FDE9D9"/>
            <w:noWrap/>
            <w:vAlign w:val="bottom"/>
            <w:hideMark/>
          </w:tcPr>
          <w:p w14:paraId="603FDC4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0.71%</w:t>
            </w:r>
          </w:p>
        </w:tc>
        <w:tc>
          <w:tcPr>
            <w:tcW w:w="0" w:type="auto"/>
            <w:tcBorders>
              <w:top w:val="nil"/>
              <w:left w:val="nil"/>
              <w:bottom w:val="single" w:sz="4" w:space="0" w:color="auto"/>
              <w:right w:val="single" w:sz="4" w:space="0" w:color="auto"/>
            </w:tcBorders>
            <w:shd w:val="clear" w:color="000000" w:fill="FDE9D9"/>
            <w:noWrap/>
            <w:vAlign w:val="bottom"/>
            <w:hideMark/>
          </w:tcPr>
          <w:p w14:paraId="0CF36B8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0.41%</w:t>
            </w:r>
          </w:p>
        </w:tc>
        <w:tc>
          <w:tcPr>
            <w:tcW w:w="0" w:type="auto"/>
            <w:tcBorders>
              <w:top w:val="nil"/>
              <w:left w:val="nil"/>
              <w:bottom w:val="single" w:sz="4" w:space="0" w:color="auto"/>
              <w:right w:val="single" w:sz="4" w:space="0" w:color="auto"/>
            </w:tcBorders>
            <w:shd w:val="clear" w:color="000000" w:fill="B7DEE8"/>
            <w:noWrap/>
            <w:vAlign w:val="bottom"/>
            <w:hideMark/>
          </w:tcPr>
          <w:p w14:paraId="7171406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2.39%</w:t>
            </w:r>
          </w:p>
        </w:tc>
        <w:tc>
          <w:tcPr>
            <w:tcW w:w="0" w:type="auto"/>
            <w:tcBorders>
              <w:top w:val="nil"/>
              <w:left w:val="nil"/>
              <w:bottom w:val="single" w:sz="4" w:space="0" w:color="auto"/>
              <w:right w:val="single" w:sz="4" w:space="0" w:color="auto"/>
            </w:tcBorders>
            <w:shd w:val="clear" w:color="000000" w:fill="B7DEE8"/>
            <w:noWrap/>
            <w:vAlign w:val="bottom"/>
            <w:hideMark/>
          </w:tcPr>
          <w:p w14:paraId="20BFD2B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0.65%</w:t>
            </w:r>
          </w:p>
        </w:tc>
        <w:tc>
          <w:tcPr>
            <w:tcW w:w="0" w:type="auto"/>
            <w:tcBorders>
              <w:top w:val="nil"/>
              <w:left w:val="nil"/>
              <w:bottom w:val="single" w:sz="4" w:space="0" w:color="auto"/>
              <w:right w:val="single" w:sz="4" w:space="0" w:color="auto"/>
            </w:tcBorders>
            <w:shd w:val="clear" w:color="000000" w:fill="B7DEE8"/>
            <w:noWrap/>
            <w:vAlign w:val="bottom"/>
            <w:hideMark/>
          </w:tcPr>
          <w:p w14:paraId="7A0435C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w:t>
            </w:r>
          </w:p>
        </w:tc>
        <w:tc>
          <w:tcPr>
            <w:tcW w:w="0" w:type="auto"/>
            <w:tcBorders>
              <w:top w:val="nil"/>
              <w:left w:val="nil"/>
              <w:bottom w:val="single" w:sz="4" w:space="0" w:color="auto"/>
              <w:right w:val="single" w:sz="4" w:space="0" w:color="auto"/>
            </w:tcBorders>
            <w:shd w:val="clear" w:color="000000" w:fill="DAEEF3"/>
            <w:noWrap/>
            <w:vAlign w:val="bottom"/>
            <w:hideMark/>
          </w:tcPr>
          <w:p w14:paraId="0E8F4DE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3.72%</w:t>
            </w:r>
          </w:p>
        </w:tc>
      </w:tr>
      <w:tr w:rsidR="00F20114" w:rsidRPr="008E0033" w14:paraId="445AA586"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C8DCE9" w14:textId="77777777" w:rsidR="00F20114" w:rsidRPr="008E0033" w:rsidRDefault="00F20114" w:rsidP="00F20114">
            <w:pPr>
              <w:rPr>
                <w:rFonts w:ascii="Calibri" w:hAnsi="Calibri"/>
                <w:sz w:val="16"/>
                <w:szCs w:val="16"/>
                <w:lang w:eastAsia="en-AU"/>
              </w:rPr>
            </w:pPr>
            <w:proofErr w:type="spellStart"/>
            <w:r w:rsidRPr="008E0033">
              <w:rPr>
                <w:rFonts w:ascii="Calibri" w:hAnsi="Calibri"/>
                <w:sz w:val="16"/>
                <w:szCs w:val="16"/>
                <w:lang w:eastAsia="en-AU"/>
              </w:rPr>
              <w:t>Buloke</w:t>
            </w:r>
            <w:proofErr w:type="spellEnd"/>
            <w:r w:rsidRPr="008E0033">
              <w:rPr>
                <w:rFonts w:ascii="Calibri" w:hAnsi="Calibri"/>
                <w:sz w:val="16"/>
                <w:szCs w:val="16"/>
                <w:lang w:eastAsia="en-AU"/>
              </w:rPr>
              <w:t xml:space="preserve"> (S)</w:t>
            </w:r>
          </w:p>
        </w:tc>
        <w:tc>
          <w:tcPr>
            <w:tcW w:w="0" w:type="auto"/>
            <w:tcBorders>
              <w:top w:val="nil"/>
              <w:left w:val="nil"/>
              <w:bottom w:val="single" w:sz="4" w:space="0" w:color="auto"/>
              <w:right w:val="single" w:sz="4" w:space="0" w:color="auto"/>
            </w:tcBorders>
            <w:shd w:val="clear" w:color="000000" w:fill="FDE9D9"/>
            <w:noWrap/>
            <w:vAlign w:val="bottom"/>
            <w:hideMark/>
          </w:tcPr>
          <w:p w14:paraId="3ACFAE6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-0.59%</w:t>
            </w:r>
          </w:p>
        </w:tc>
        <w:tc>
          <w:tcPr>
            <w:tcW w:w="0" w:type="auto"/>
            <w:tcBorders>
              <w:top w:val="nil"/>
              <w:left w:val="nil"/>
              <w:bottom w:val="single" w:sz="4" w:space="0" w:color="auto"/>
              <w:right w:val="single" w:sz="4" w:space="0" w:color="auto"/>
            </w:tcBorders>
            <w:shd w:val="clear" w:color="000000" w:fill="FDE9D9"/>
            <w:noWrap/>
            <w:vAlign w:val="bottom"/>
            <w:hideMark/>
          </w:tcPr>
          <w:p w14:paraId="4C61DA5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-2.09%</w:t>
            </w:r>
          </w:p>
        </w:tc>
        <w:tc>
          <w:tcPr>
            <w:tcW w:w="0" w:type="auto"/>
            <w:tcBorders>
              <w:top w:val="nil"/>
              <w:left w:val="nil"/>
              <w:bottom w:val="single" w:sz="4" w:space="0" w:color="auto"/>
              <w:right w:val="single" w:sz="4" w:space="0" w:color="auto"/>
            </w:tcBorders>
            <w:shd w:val="clear" w:color="000000" w:fill="FDE9D9"/>
            <w:noWrap/>
            <w:vAlign w:val="bottom"/>
            <w:hideMark/>
          </w:tcPr>
          <w:p w14:paraId="6102154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1.50%</w:t>
            </w:r>
          </w:p>
        </w:tc>
        <w:tc>
          <w:tcPr>
            <w:tcW w:w="0" w:type="auto"/>
            <w:tcBorders>
              <w:top w:val="nil"/>
              <w:left w:val="nil"/>
              <w:bottom w:val="single" w:sz="4" w:space="0" w:color="auto"/>
              <w:right w:val="single" w:sz="4" w:space="0" w:color="auto"/>
            </w:tcBorders>
            <w:shd w:val="clear" w:color="000000" w:fill="FDE9D9"/>
            <w:noWrap/>
            <w:vAlign w:val="bottom"/>
            <w:hideMark/>
          </w:tcPr>
          <w:p w14:paraId="27F7C85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-2.14%</w:t>
            </w:r>
          </w:p>
        </w:tc>
        <w:tc>
          <w:tcPr>
            <w:tcW w:w="0" w:type="auto"/>
            <w:tcBorders>
              <w:top w:val="nil"/>
              <w:left w:val="nil"/>
              <w:bottom w:val="single" w:sz="4" w:space="0" w:color="auto"/>
              <w:right w:val="single" w:sz="4" w:space="0" w:color="auto"/>
            </w:tcBorders>
            <w:shd w:val="clear" w:color="000000" w:fill="FDE9D9"/>
            <w:noWrap/>
            <w:vAlign w:val="bottom"/>
            <w:hideMark/>
          </w:tcPr>
          <w:p w14:paraId="67CDB99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-0.08%</w:t>
            </w:r>
          </w:p>
        </w:tc>
        <w:tc>
          <w:tcPr>
            <w:tcW w:w="0" w:type="auto"/>
            <w:tcBorders>
              <w:top w:val="nil"/>
              <w:left w:val="nil"/>
              <w:bottom w:val="single" w:sz="4" w:space="0" w:color="auto"/>
              <w:right w:val="single" w:sz="4" w:space="0" w:color="auto"/>
            </w:tcBorders>
            <w:shd w:val="clear" w:color="000000" w:fill="FDE9D9"/>
            <w:noWrap/>
            <w:vAlign w:val="bottom"/>
            <w:hideMark/>
          </w:tcPr>
          <w:p w14:paraId="5A56166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-2.06%</w:t>
            </w:r>
          </w:p>
        </w:tc>
        <w:tc>
          <w:tcPr>
            <w:tcW w:w="0" w:type="auto"/>
            <w:tcBorders>
              <w:top w:val="nil"/>
              <w:left w:val="nil"/>
              <w:bottom w:val="single" w:sz="4" w:space="0" w:color="auto"/>
              <w:right w:val="single" w:sz="4" w:space="0" w:color="auto"/>
            </w:tcBorders>
            <w:shd w:val="clear" w:color="000000" w:fill="B7DEE8"/>
            <w:noWrap/>
            <w:vAlign w:val="bottom"/>
            <w:hideMark/>
          </w:tcPr>
          <w:p w14:paraId="33A7000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4.62%</w:t>
            </w:r>
          </w:p>
        </w:tc>
        <w:tc>
          <w:tcPr>
            <w:tcW w:w="0" w:type="auto"/>
            <w:tcBorders>
              <w:top w:val="nil"/>
              <w:left w:val="nil"/>
              <w:bottom w:val="single" w:sz="4" w:space="0" w:color="auto"/>
              <w:right w:val="single" w:sz="4" w:space="0" w:color="auto"/>
            </w:tcBorders>
            <w:shd w:val="clear" w:color="000000" w:fill="B7DEE8"/>
            <w:noWrap/>
            <w:vAlign w:val="bottom"/>
            <w:hideMark/>
          </w:tcPr>
          <w:p w14:paraId="28B901B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-1.50%</w:t>
            </w:r>
          </w:p>
        </w:tc>
        <w:tc>
          <w:tcPr>
            <w:tcW w:w="0" w:type="auto"/>
            <w:tcBorders>
              <w:top w:val="nil"/>
              <w:left w:val="nil"/>
              <w:bottom w:val="single" w:sz="4" w:space="0" w:color="auto"/>
              <w:right w:val="single" w:sz="4" w:space="0" w:color="auto"/>
            </w:tcBorders>
            <w:shd w:val="clear" w:color="000000" w:fill="B7DEE8"/>
            <w:noWrap/>
            <w:vAlign w:val="bottom"/>
            <w:hideMark/>
          </w:tcPr>
          <w:p w14:paraId="5C84401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w:t>
            </w:r>
          </w:p>
        </w:tc>
        <w:tc>
          <w:tcPr>
            <w:tcW w:w="0" w:type="auto"/>
            <w:tcBorders>
              <w:top w:val="nil"/>
              <w:left w:val="nil"/>
              <w:bottom w:val="single" w:sz="4" w:space="0" w:color="auto"/>
              <w:right w:val="single" w:sz="4" w:space="0" w:color="auto"/>
            </w:tcBorders>
            <w:shd w:val="clear" w:color="000000" w:fill="DAEEF3"/>
            <w:noWrap/>
            <w:vAlign w:val="bottom"/>
            <w:hideMark/>
          </w:tcPr>
          <w:p w14:paraId="589AC3E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1.51%</w:t>
            </w:r>
          </w:p>
        </w:tc>
      </w:tr>
      <w:tr w:rsidR="00F20114" w:rsidRPr="008E0033" w14:paraId="2B319633"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8CE463"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Campaspe (S)</w:t>
            </w:r>
          </w:p>
        </w:tc>
        <w:tc>
          <w:tcPr>
            <w:tcW w:w="0" w:type="auto"/>
            <w:tcBorders>
              <w:top w:val="nil"/>
              <w:left w:val="nil"/>
              <w:bottom w:val="single" w:sz="4" w:space="0" w:color="auto"/>
              <w:right w:val="single" w:sz="4" w:space="0" w:color="auto"/>
            </w:tcBorders>
            <w:shd w:val="clear" w:color="000000" w:fill="FDE9D9"/>
            <w:noWrap/>
            <w:vAlign w:val="bottom"/>
            <w:hideMark/>
          </w:tcPr>
          <w:p w14:paraId="0C229A9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0.11%</w:t>
            </w:r>
          </w:p>
        </w:tc>
        <w:tc>
          <w:tcPr>
            <w:tcW w:w="0" w:type="auto"/>
            <w:tcBorders>
              <w:top w:val="nil"/>
              <w:left w:val="nil"/>
              <w:bottom w:val="single" w:sz="4" w:space="0" w:color="auto"/>
              <w:right w:val="single" w:sz="4" w:space="0" w:color="auto"/>
            </w:tcBorders>
            <w:shd w:val="clear" w:color="000000" w:fill="FDE9D9"/>
            <w:noWrap/>
            <w:vAlign w:val="bottom"/>
            <w:hideMark/>
          </w:tcPr>
          <w:p w14:paraId="2691203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-0.02%</w:t>
            </w:r>
          </w:p>
        </w:tc>
        <w:tc>
          <w:tcPr>
            <w:tcW w:w="0" w:type="auto"/>
            <w:tcBorders>
              <w:top w:val="nil"/>
              <w:left w:val="nil"/>
              <w:bottom w:val="single" w:sz="4" w:space="0" w:color="auto"/>
              <w:right w:val="single" w:sz="4" w:space="0" w:color="auto"/>
            </w:tcBorders>
            <w:shd w:val="clear" w:color="000000" w:fill="FDE9D9"/>
            <w:noWrap/>
            <w:vAlign w:val="bottom"/>
            <w:hideMark/>
          </w:tcPr>
          <w:p w14:paraId="288CDE6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0.14%</w:t>
            </w:r>
          </w:p>
        </w:tc>
        <w:tc>
          <w:tcPr>
            <w:tcW w:w="0" w:type="auto"/>
            <w:tcBorders>
              <w:top w:val="nil"/>
              <w:left w:val="nil"/>
              <w:bottom w:val="single" w:sz="4" w:space="0" w:color="auto"/>
              <w:right w:val="single" w:sz="4" w:space="0" w:color="auto"/>
            </w:tcBorders>
            <w:shd w:val="clear" w:color="000000" w:fill="FDE9D9"/>
            <w:noWrap/>
            <w:vAlign w:val="bottom"/>
            <w:hideMark/>
          </w:tcPr>
          <w:p w14:paraId="3F3BFC4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-0.12%</w:t>
            </w:r>
          </w:p>
        </w:tc>
        <w:tc>
          <w:tcPr>
            <w:tcW w:w="0" w:type="auto"/>
            <w:tcBorders>
              <w:top w:val="nil"/>
              <w:left w:val="nil"/>
              <w:bottom w:val="single" w:sz="4" w:space="0" w:color="auto"/>
              <w:right w:val="single" w:sz="4" w:space="0" w:color="auto"/>
            </w:tcBorders>
            <w:shd w:val="clear" w:color="000000" w:fill="FDE9D9"/>
            <w:noWrap/>
            <w:vAlign w:val="bottom"/>
            <w:hideMark/>
          </w:tcPr>
          <w:p w14:paraId="7B498C0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0.20%</w:t>
            </w:r>
          </w:p>
        </w:tc>
        <w:tc>
          <w:tcPr>
            <w:tcW w:w="0" w:type="auto"/>
            <w:tcBorders>
              <w:top w:val="nil"/>
              <w:left w:val="nil"/>
              <w:bottom w:val="single" w:sz="4" w:space="0" w:color="auto"/>
              <w:right w:val="single" w:sz="4" w:space="0" w:color="auto"/>
            </w:tcBorders>
            <w:shd w:val="clear" w:color="000000" w:fill="FDE9D9"/>
            <w:noWrap/>
            <w:vAlign w:val="bottom"/>
            <w:hideMark/>
          </w:tcPr>
          <w:p w14:paraId="4F8EB64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-0.32%</w:t>
            </w:r>
          </w:p>
        </w:tc>
        <w:tc>
          <w:tcPr>
            <w:tcW w:w="0" w:type="auto"/>
            <w:tcBorders>
              <w:top w:val="nil"/>
              <w:left w:val="nil"/>
              <w:bottom w:val="single" w:sz="4" w:space="0" w:color="auto"/>
              <w:right w:val="single" w:sz="4" w:space="0" w:color="auto"/>
            </w:tcBorders>
            <w:shd w:val="clear" w:color="000000" w:fill="B7DEE8"/>
            <w:noWrap/>
            <w:vAlign w:val="bottom"/>
            <w:hideMark/>
          </w:tcPr>
          <w:p w14:paraId="30F3765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3.19%</w:t>
            </w:r>
          </w:p>
        </w:tc>
        <w:tc>
          <w:tcPr>
            <w:tcW w:w="0" w:type="auto"/>
            <w:tcBorders>
              <w:top w:val="nil"/>
              <w:left w:val="nil"/>
              <w:bottom w:val="single" w:sz="4" w:space="0" w:color="auto"/>
              <w:right w:val="single" w:sz="4" w:space="0" w:color="auto"/>
            </w:tcBorders>
            <w:shd w:val="clear" w:color="000000" w:fill="B7DEE8"/>
            <w:noWrap/>
            <w:vAlign w:val="bottom"/>
            <w:hideMark/>
          </w:tcPr>
          <w:p w14:paraId="070EE7E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-0.14%</w:t>
            </w:r>
          </w:p>
        </w:tc>
        <w:tc>
          <w:tcPr>
            <w:tcW w:w="0" w:type="auto"/>
            <w:tcBorders>
              <w:top w:val="nil"/>
              <w:left w:val="nil"/>
              <w:bottom w:val="single" w:sz="4" w:space="0" w:color="auto"/>
              <w:right w:val="single" w:sz="4" w:space="0" w:color="auto"/>
            </w:tcBorders>
            <w:shd w:val="clear" w:color="000000" w:fill="B7DEE8"/>
            <w:noWrap/>
            <w:vAlign w:val="bottom"/>
            <w:hideMark/>
          </w:tcPr>
          <w:p w14:paraId="61E45B8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w:t>
            </w:r>
          </w:p>
        </w:tc>
        <w:tc>
          <w:tcPr>
            <w:tcW w:w="0" w:type="auto"/>
            <w:tcBorders>
              <w:top w:val="nil"/>
              <w:left w:val="nil"/>
              <w:bottom w:val="single" w:sz="4" w:space="0" w:color="auto"/>
              <w:right w:val="single" w:sz="4" w:space="0" w:color="auto"/>
            </w:tcBorders>
            <w:shd w:val="clear" w:color="000000" w:fill="DAEEF3"/>
            <w:noWrap/>
            <w:vAlign w:val="bottom"/>
            <w:hideMark/>
          </w:tcPr>
          <w:p w14:paraId="1097D0C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2.91%</w:t>
            </w:r>
          </w:p>
        </w:tc>
      </w:tr>
      <w:tr w:rsidR="00F20114" w:rsidRPr="008E0033" w14:paraId="0426A7C2"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5BDA93"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Cardinia (S)</w:t>
            </w:r>
          </w:p>
        </w:tc>
        <w:tc>
          <w:tcPr>
            <w:tcW w:w="0" w:type="auto"/>
            <w:tcBorders>
              <w:top w:val="nil"/>
              <w:left w:val="nil"/>
              <w:bottom w:val="single" w:sz="4" w:space="0" w:color="auto"/>
              <w:right w:val="single" w:sz="4" w:space="0" w:color="auto"/>
            </w:tcBorders>
            <w:shd w:val="clear" w:color="000000" w:fill="FDE9D9"/>
            <w:noWrap/>
            <w:vAlign w:val="bottom"/>
            <w:hideMark/>
          </w:tcPr>
          <w:p w14:paraId="66DD0E2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3.03%</w:t>
            </w:r>
          </w:p>
        </w:tc>
        <w:tc>
          <w:tcPr>
            <w:tcW w:w="0" w:type="auto"/>
            <w:tcBorders>
              <w:top w:val="nil"/>
              <w:left w:val="nil"/>
              <w:bottom w:val="single" w:sz="4" w:space="0" w:color="auto"/>
              <w:right w:val="single" w:sz="4" w:space="0" w:color="auto"/>
            </w:tcBorders>
            <w:shd w:val="clear" w:color="000000" w:fill="FDE9D9"/>
            <w:noWrap/>
            <w:vAlign w:val="bottom"/>
            <w:hideMark/>
          </w:tcPr>
          <w:p w14:paraId="49748BF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3.58%</w:t>
            </w:r>
          </w:p>
        </w:tc>
        <w:tc>
          <w:tcPr>
            <w:tcW w:w="0" w:type="auto"/>
            <w:tcBorders>
              <w:top w:val="nil"/>
              <w:left w:val="nil"/>
              <w:bottom w:val="single" w:sz="4" w:space="0" w:color="auto"/>
              <w:right w:val="single" w:sz="4" w:space="0" w:color="auto"/>
            </w:tcBorders>
            <w:shd w:val="clear" w:color="000000" w:fill="FDE9D9"/>
            <w:noWrap/>
            <w:vAlign w:val="bottom"/>
            <w:hideMark/>
          </w:tcPr>
          <w:p w14:paraId="172B4DF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-0.55%</w:t>
            </w:r>
          </w:p>
        </w:tc>
        <w:tc>
          <w:tcPr>
            <w:tcW w:w="0" w:type="auto"/>
            <w:tcBorders>
              <w:top w:val="nil"/>
              <w:left w:val="nil"/>
              <w:bottom w:val="single" w:sz="4" w:space="0" w:color="auto"/>
              <w:right w:val="single" w:sz="4" w:space="0" w:color="auto"/>
            </w:tcBorders>
            <w:shd w:val="clear" w:color="000000" w:fill="FDE9D9"/>
            <w:noWrap/>
            <w:vAlign w:val="bottom"/>
            <w:hideMark/>
          </w:tcPr>
          <w:p w14:paraId="735BBE0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4.17%</w:t>
            </w:r>
          </w:p>
        </w:tc>
        <w:tc>
          <w:tcPr>
            <w:tcW w:w="0" w:type="auto"/>
            <w:tcBorders>
              <w:top w:val="nil"/>
              <w:left w:val="nil"/>
              <w:bottom w:val="single" w:sz="4" w:space="0" w:color="auto"/>
              <w:right w:val="single" w:sz="4" w:space="0" w:color="auto"/>
            </w:tcBorders>
            <w:shd w:val="clear" w:color="000000" w:fill="FDE9D9"/>
            <w:noWrap/>
            <w:vAlign w:val="bottom"/>
            <w:hideMark/>
          </w:tcPr>
          <w:p w14:paraId="2195C13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4.47%</w:t>
            </w:r>
          </w:p>
        </w:tc>
        <w:tc>
          <w:tcPr>
            <w:tcW w:w="0" w:type="auto"/>
            <w:tcBorders>
              <w:top w:val="nil"/>
              <w:left w:val="nil"/>
              <w:bottom w:val="single" w:sz="4" w:space="0" w:color="auto"/>
              <w:right w:val="single" w:sz="4" w:space="0" w:color="auto"/>
            </w:tcBorders>
            <w:shd w:val="clear" w:color="000000" w:fill="FDE9D9"/>
            <w:noWrap/>
            <w:vAlign w:val="bottom"/>
            <w:hideMark/>
          </w:tcPr>
          <w:p w14:paraId="092287D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-0.30%</w:t>
            </w:r>
          </w:p>
        </w:tc>
        <w:tc>
          <w:tcPr>
            <w:tcW w:w="0" w:type="auto"/>
            <w:tcBorders>
              <w:top w:val="nil"/>
              <w:left w:val="nil"/>
              <w:bottom w:val="single" w:sz="4" w:space="0" w:color="auto"/>
              <w:right w:val="single" w:sz="4" w:space="0" w:color="auto"/>
            </w:tcBorders>
            <w:shd w:val="clear" w:color="000000" w:fill="B7DEE8"/>
            <w:noWrap/>
            <w:vAlign w:val="bottom"/>
            <w:hideMark/>
          </w:tcPr>
          <w:p w14:paraId="0CC21EA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2.50%</w:t>
            </w:r>
          </w:p>
        </w:tc>
        <w:tc>
          <w:tcPr>
            <w:tcW w:w="0" w:type="auto"/>
            <w:tcBorders>
              <w:top w:val="nil"/>
              <w:left w:val="nil"/>
              <w:bottom w:val="single" w:sz="4" w:space="0" w:color="auto"/>
              <w:right w:val="single" w:sz="4" w:space="0" w:color="auto"/>
            </w:tcBorders>
            <w:shd w:val="clear" w:color="000000" w:fill="B7DEE8"/>
            <w:noWrap/>
            <w:vAlign w:val="bottom"/>
            <w:hideMark/>
          </w:tcPr>
          <w:p w14:paraId="0E1F5E9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0.54%</w:t>
            </w:r>
          </w:p>
        </w:tc>
        <w:tc>
          <w:tcPr>
            <w:tcW w:w="0" w:type="auto"/>
            <w:tcBorders>
              <w:top w:val="nil"/>
              <w:left w:val="nil"/>
              <w:bottom w:val="single" w:sz="4" w:space="0" w:color="auto"/>
              <w:right w:val="single" w:sz="4" w:space="0" w:color="auto"/>
            </w:tcBorders>
            <w:shd w:val="clear" w:color="000000" w:fill="B7DEE8"/>
            <w:noWrap/>
            <w:vAlign w:val="bottom"/>
            <w:hideMark/>
          </w:tcPr>
          <w:p w14:paraId="647D745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2.3%</w:t>
            </w:r>
          </w:p>
        </w:tc>
        <w:tc>
          <w:tcPr>
            <w:tcW w:w="0" w:type="auto"/>
            <w:tcBorders>
              <w:top w:val="nil"/>
              <w:left w:val="nil"/>
              <w:bottom w:val="single" w:sz="4" w:space="0" w:color="auto"/>
              <w:right w:val="single" w:sz="4" w:space="0" w:color="auto"/>
            </w:tcBorders>
            <w:shd w:val="clear" w:color="000000" w:fill="DAEEF3"/>
            <w:noWrap/>
            <w:vAlign w:val="bottom"/>
            <w:hideMark/>
          </w:tcPr>
          <w:p w14:paraId="3BE610F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3.60%</w:t>
            </w:r>
          </w:p>
        </w:tc>
      </w:tr>
      <w:tr w:rsidR="00F20114" w:rsidRPr="008E0033" w14:paraId="730CBF3D"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FE7BE4"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Casey (C)</w:t>
            </w:r>
          </w:p>
        </w:tc>
        <w:tc>
          <w:tcPr>
            <w:tcW w:w="0" w:type="auto"/>
            <w:tcBorders>
              <w:top w:val="nil"/>
              <w:left w:val="nil"/>
              <w:bottom w:val="single" w:sz="4" w:space="0" w:color="auto"/>
              <w:right w:val="single" w:sz="4" w:space="0" w:color="auto"/>
            </w:tcBorders>
            <w:shd w:val="clear" w:color="000000" w:fill="FDE9D9"/>
            <w:noWrap/>
            <w:vAlign w:val="bottom"/>
            <w:hideMark/>
          </w:tcPr>
          <w:p w14:paraId="12E3BF6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2.62%</w:t>
            </w:r>
          </w:p>
        </w:tc>
        <w:tc>
          <w:tcPr>
            <w:tcW w:w="0" w:type="auto"/>
            <w:tcBorders>
              <w:top w:val="nil"/>
              <w:left w:val="nil"/>
              <w:bottom w:val="single" w:sz="4" w:space="0" w:color="auto"/>
              <w:right w:val="single" w:sz="4" w:space="0" w:color="auto"/>
            </w:tcBorders>
            <w:shd w:val="clear" w:color="000000" w:fill="FDE9D9"/>
            <w:noWrap/>
            <w:vAlign w:val="bottom"/>
            <w:hideMark/>
          </w:tcPr>
          <w:p w14:paraId="4633C47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3.09%</w:t>
            </w:r>
          </w:p>
        </w:tc>
        <w:tc>
          <w:tcPr>
            <w:tcW w:w="0" w:type="auto"/>
            <w:tcBorders>
              <w:top w:val="nil"/>
              <w:left w:val="nil"/>
              <w:bottom w:val="single" w:sz="4" w:space="0" w:color="auto"/>
              <w:right w:val="single" w:sz="4" w:space="0" w:color="auto"/>
            </w:tcBorders>
            <w:shd w:val="clear" w:color="000000" w:fill="FDE9D9"/>
            <w:noWrap/>
            <w:vAlign w:val="bottom"/>
            <w:hideMark/>
          </w:tcPr>
          <w:p w14:paraId="4B05CDF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-0.48%</w:t>
            </w:r>
          </w:p>
        </w:tc>
        <w:tc>
          <w:tcPr>
            <w:tcW w:w="0" w:type="auto"/>
            <w:tcBorders>
              <w:top w:val="nil"/>
              <w:left w:val="nil"/>
              <w:bottom w:val="single" w:sz="4" w:space="0" w:color="auto"/>
              <w:right w:val="single" w:sz="4" w:space="0" w:color="auto"/>
            </w:tcBorders>
            <w:shd w:val="clear" w:color="000000" w:fill="FDE9D9"/>
            <w:noWrap/>
            <w:vAlign w:val="bottom"/>
            <w:hideMark/>
          </w:tcPr>
          <w:p w14:paraId="38BB85C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2.90%</w:t>
            </w:r>
          </w:p>
        </w:tc>
        <w:tc>
          <w:tcPr>
            <w:tcW w:w="0" w:type="auto"/>
            <w:tcBorders>
              <w:top w:val="nil"/>
              <w:left w:val="nil"/>
              <w:bottom w:val="single" w:sz="4" w:space="0" w:color="auto"/>
              <w:right w:val="single" w:sz="4" w:space="0" w:color="auto"/>
            </w:tcBorders>
            <w:shd w:val="clear" w:color="000000" w:fill="FDE9D9"/>
            <w:noWrap/>
            <w:vAlign w:val="bottom"/>
            <w:hideMark/>
          </w:tcPr>
          <w:p w14:paraId="0D07DF3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2.45%</w:t>
            </w:r>
          </w:p>
        </w:tc>
        <w:tc>
          <w:tcPr>
            <w:tcW w:w="0" w:type="auto"/>
            <w:tcBorders>
              <w:top w:val="nil"/>
              <w:left w:val="nil"/>
              <w:bottom w:val="single" w:sz="4" w:space="0" w:color="auto"/>
              <w:right w:val="single" w:sz="4" w:space="0" w:color="auto"/>
            </w:tcBorders>
            <w:shd w:val="clear" w:color="000000" w:fill="FDE9D9"/>
            <w:noWrap/>
            <w:vAlign w:val="bottom"/>
            <w:hideMark/>
          </w:tcPr>
          <w:p w14:paraId="020BE6A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0.45%</w:t>
            </w:r>
          </w:p>
        </w:tc>
        <w:tc>
          <w:tcPr>
            <w:tcW w:w="0" w:type="auto"/>
            <w:tcBorders>
              <w:top w:val="nil"/>
              <w:left w:val="nil"/>
              <w:bottom w:val="single" w:sz="4" w:space="0" w:color="auto"/>
              <w:right w:val="single" w:sz="4" w:space="0" w:color="auto"/>
            </w:tcBorders>
            <w:shd w:val="clear" w:color="000000" w:fill="B7DEE8"/>
            <w:noWrap/>
            <w:vAlign w:val="bottom"/>
            <w:hideMark/>
          </w:tcPr>
          <w:p w14:paraId="1D9B5C3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2.57%</w:t>
            </w:r>
          </w:p>
        </w:tc>
        <w:tc>
          <w:tcPr>
            <w:tcW w:w="0" w:type="auto"/>
            <w:tcBorders>
              <w:top w:val="nil"/>
              <w:left w:val="nil"/>
              <w:bottom w:val="single" w:sz="4" w:space="0" w:color="auto"/>
              <w:right w:val="single" w:sz="4" w:space="0" w:color="auto"/>
            </w:tcBorders>
            <w:shd w:val="clear" w:color="000000" w:fill="B7DEE8"/>
            <w:noWrap/>
            <w:vAlign w:val="bottom"/>
            <w:hideMark/>
          </w:tcPr>
          <w:p w14:paraId="6C2CBC5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0.47%</w:t>
            </w:r>
          </w:p>
        </w:tc>
        <w:tc>
          <w:tcPr>
            <w:tcW w:w="0" w:type="auto"/>
            <w:tcBorders>
              <w:top w:val="nil"/>
              <w:left w:val="nil"/>
              <w:bottom w:val="single" w:sz="4" w:space="0" w:color="auto"/>
              <w:right w:val="single" w:sz="4" w:space="0" w:color="auto"/>
            </w:tcBorders>
            <w:shd w:val="clear" w:color="000000" w:fill="B7DEE8"/>
            <w:noWrap/>
            <w:vAlign w:val="bottom"/>
            <w:hideMark/>
          </w:tcPr>
          <w:p w14:paraId="0B43103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1.9%</w:t>
            </w:r>
          </w:p>
        </w:tc>
        <w:tc>
          <w:tcPr>
            <w:tcW w:w="0" w:type="auto"/>
            <w:tcBorders>
              <w:top w:val="nil"/>
              <w:left w:val="nil"/>
              <w:bottom w:val="single" w:sz="4" w:space="0" w:color="auto"/>
              <w:right w:val="single" w:sz="4" w:space="0" w:color="auto"/>
            </w:tcBorders>
            <w:shd w:val="clear" w:color="000000" w:fill="DAEEF3"/>
            <w:noWrap/>
            <w:vAlign w:val="bottom"/>
            <w:hideMark/>
          </w:tcPr>
          <w:p w14:paraId="26D2762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3.53%</w:t>
            </w:r>
          </w:p>
        </w:tc>
      </w:tr>
      <w:tr w:rsidR="00F20114" w:rsidRPr="008E0033" w14:paraId="5743E765"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118304"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Central Goldfields (S)</w:t>
            </w:r>
          </w:p>
        </w:tc>
        <w:tc>
          <w:tcPr>
            <w:tcW w:w="0" w:type="auto"/>
            <w:tcBorders>
              <w:top w:val="nil"/>
              <w:left w:val="nil"/>
              <w:bottom w:val="single" w:sz="4" w:space="0" w:color="auto"/>
              <w:right w:val="single" w:sz="4" w:space="0" w:color="auto"/>
            </w:tcBorders>
            <w:shd w:val="clear" w:color="000000" w:fill="FDE9D9"/>
            <w:noWrap/>
            <w:vAlign w:val="bottom"/>
            <w:hideMark/>
          </w:tcPr>
          <w:p w14:paraId="79DC140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0.20%</w:t>
            </w:r>
          </w:p>
        </w:tc>
        <w:tc>
          <w:tcPr>
            <w:tcW w:w="0" w:type="auto"/>
            <w:tcBorders>
              <w:top w:val="nil"/>
              <w:left w:val="nil"/>
              <w:bottom w:val="single" w:sz="4" w:space="0" w:color="auto"/>
              <w:right w:val="single" w:sz="4" w:space="0" w:color="auto"/>
            </w:tcBorders>
            <w:shd w:val="clear" w:color="000000" w:fill="FDE9D9"/>
            <w:noWrap/>
            <w:vAlign w:val="bottom"/>
            <w:hideMark/>
          </w:tcPr>
          <w:p w14:paraId="0AF9601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-0.09%</w:t>
            </w:r>
          </w:p>
        </w:tc>
        <w:tc>
          <w:tcPr>
            <w:tcW w:w="0" w:type="auto"/>
            <w:tcBorders>
              <w:top w:val="nil"/>
              <w:left w:val="nil"/>
              <w:bottom w:val="single" w:sz="4" w:space="0" w:color="auto"/>
              <w:right w:val="single" w:sz="4" w:space="0" w:color="auto"/>
            </w:tcBorders>
            <w:shd w:val="clear" w:color="000000" w:fill="FDE9D9"/>
            <w:noWrap/>
            <w:vAlign w:val="bottom"/>
            <w:hideMark/>
          </w:tcPr>
          <w:p w14:paraId="1BE8C68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0.28%</w:t>
            </w:r>
          </w:p>
        </w:tc>
        <w:tc>
          <w:tcPr>
            <w:tcW w:w="0" w:type="auto"/>
            <w:tcBorders>
              <w:top w:val="nil"/>
              <w:left w:val="nil"/>
              <w:bottom w:val="single" w:sz="4" w:space="0" w:color="auto"/>
              <w:right w:val="single" w:sz="4" w:space="0" w:color="auto"/>
            </w:tcBorders>
            <w:shd w:val="clear" w:color="000000" w:fill="FDE9D9"/>
            <w:noWrap/>
            <w:vAlign w:val="bottom"/>
            <w:hideMark/>
          </w:tcPr>
          <w:p w14:paraId="4C15C16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0.10%</w:t>
            </w:r>
          </w:p>
        </w:tc>
        <w:tc>
          <w:tcPr>
            <w:tcW w:w="0" w:type="auto"/>
            <w:tcBorders>
              <w:top w:val="nil"/>
              <w:left w:val="nil"/>
              <w:bottom w:val="single" w:sz="4" w:space="0" w:color="auto"/>
              <w:right w:val="single" w:sz="4" w:space="0" w:color="auto"/>
            </w:tcBorders>
            <w:shd w:val="clear" w:color="000000" w:fill="FDE9D9"/>
            <w:noWrap/>
            <w:vAlign w:val="bottom"/>
            <w:hideMark/>
          </w:tcPr>
          <w:p w14:paraId="79AA40E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0.91%</w:t>
            </w:r>
          </w:p>
        </w:tc>
        <w:tc>
          <w:tcPr>
            <w:tcW w:w="0" w:type="auto"/>
            <w:tcBorders>
              <w:top w:val="nil"/>
              <w:left w:val="nil"/>
              <w:bottom w:val="single" w:sz="4" w:space="0" w:color="auto"/>
              <w:right w:val="single" w:sz="4" w:space="0" w:color="auto"/>
            </w:tcBorders>
            <w:shd w:val="clear" w:color="000000" w:fill="FDE9D9"/>
            <w:noWrap/>
            <w:vAlign w:val="bottom"/>
            <w:hideMark/>
          </w:tcPr>
          <w:p w14:paraId="13888A4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-0.81%</w:t>
            </w:r>
          </w:p>
        </w:tc>
        <w:tc>
          <w:tcPr>
            <w:tcW w:w="0" w:type="auto"/>
            <w:tcBorders>
              <w:top w:val="nil"/>
              <w:left w:val="nil"/>
              <w:bottom w:val="single" w:sz="4" w:space="0" w:color="auto"/>
              <w:right w:val="single" w:sz="4" w:space="0" w:color="auto"/>
            </w:tcBorders>
            <w:shd w:val="clear" w:color="000000" w:fill="B7DEE8"/>
            <w:noWrap/>
            <w:vAlign w:val="bottom"/>
            <w:hideMark/>
          </w:tcPr>
          <w:p w14:paraId="782D8DA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3.34%</w:t>
            </w:r>
          </w:p>
        </w:tc>
        <w:tc>
          <w:tcPr>
            <w:tcW w:w="0" w:type="auto"/>
            <w:tcBorders>
              <w:top w:val="nil"/>
              <w:left w:val="nil"/>
              <w:bottom w:val="single" w:sz="4" w:space="0" w:color="auto"/>
              <w:right w:val="single" w:sz="4" w:space="0" w:color="auto"/>
            </w:tcBorders>
            <w:shd w:val="clear" w:color="000000" w:fill="B7DEE8"/>
            <w:noWrap/>
            <w:vAlign w:val="bottom"/>
            <w:hideMark/>
          </w:tcPr>
          <w:p w14:paraId="069FFA9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-0.28%</w:t>
            </w:r>
          </w:p>
        </w:tc>
        <w:tc>
          <w:tcPr>
            <w:tcW w:w="0" w:type="auto"/>
            <w:tcBorders>
              <w:top w:val="nil"/>
              <w:left w:val="nil"/>
              <w:bottom w:val="single" w:sz="4" w:space="0" w:color="auto"/>
              <w:right w:val="single" w:sz="4" w:space="0" w:color="auto"/>
            </w:tcBorders>
            <w:shd w:val="clear" w:color="000000" w:fill="B7DEE8"/>
            <w:noWrap/>
            <w:vAlign w:val="bottom"/>
            <w:hideMark/>
          </w:tcPr>
          <w:p w14:paraId="425C374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w:t>
            </w:r>
          </w:p>
        </w:tc>
        <w:tc>
          <w:tcPr>
            <w:tcW w:w="0" w:type="auto"/>
            <w:tcBorders>
              <w:top w:val="nil"/>
              <w:left w:val="nil"/>
              <w:bottom w:val="single" w:sz="4" w:space="0" w:color="auto"/>
              <w:right w:val="single" w:sz="4" w:space="0" w:color="auto"/>
            </w:tcBorders>
            <w:shd w:val="clear" w:color="000000" w:fill="DAEEF3"/>
            <w:noWrap/>
            <w:vAlign w:val="bottom"/>
            <w:hideMark/>
          </w:tcPr>
          <w:p w14:paraId="66C2B91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2.76%</w:t>
            </w:r>
          </w:p>
        </w:tc>
      </w:tr>
      <w:tr w:rsidR="00F20114" w:rsidRPr="008E0033" w14:paraId="2E12846F"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10FC6F"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Colac Otway (S)</w:t>
            </w:r>
          </w:p>
        </w:tc>
        <w:tc>
          <w:tcPr>
            <w:tcW w:w="0" w:type="auto"/>
            <w:tcBorders>
              <w:top w:val="nil"/>
              <w:left w:val="nil"/>
              <w:bottom w:val="single" w:sz="4" w:space="0" w:color="auto"/>
              <w:right w:val="single" w:sz="4" w:space="0" w:color="auto"/>
            </w:tcBorders>
            <w:shd w:val="clear" w:color="000000" w:fill="FDE9D9"/>
            <w:noWrap/>
            <w:vAlign w:val="bottom"/>
            <w:hideMark/>
          </w:tcPr>
          <w:p w14:paraId="1DB11A0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2.43%</w:t>
            </w:r>
          </w:p>
        </w:tc>
        <w:tc>
          <w:tcPr>
            <w:tcW w:w="0" w:type="auto"/>
            <w:tcBorders>
              <w:top w:val="nil"/>
              <w:left w:val="nil"/>
              <w:bottom w:val="single" w:sz="4" w:space="0" w:color="auto"/>
              <w:right w:val="single" w:sz="4" w:space="0" w:color="auto"/>
            </w:tcBorders>
            <w:shd w:val="clear" w:color="000000" w:fill="FDE9D9"/>
            <w:noWrap/>
            <w:vAlign w:val="bottom"/>
            <w:hideMark/>
          </w:tcPr>
          <w:p w14:paraId="2E3F262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-0.78%</w:t>
            </w:r>
          </w:p>
        </w:tc>
        <w:tc>
          <w:tcPr>
            <w:tcW w:w="0" w:type="auto"/>
            <w:tcBorders>
              <w:top w:val="nil"/>
              <w:left w:val="nil"/>
              <w:bottom w:val="single" w:sz="4" w:space="0" w:color="auto"/>
              <w:right w:val="single" w:sz="4" w:space="0" w:color="auto"/>
            </w:tcBorders>
            <w:shd w:val="clear" w:color="000000" w:fill="FDE9D9"/>
            <w:noWrap/>
            <w:vAlign w:val="bottom"/>
            <w:hideMark/>
          </w:tcPr>
          <w:p w14:paraId="47A769D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3.21%</w:t>
            </w:r>
          </w:p>
        </w:tc>
        <w:tc>
          <w:tcPr>
            <w:tcW w:w="0" w:type="auto"/>
            <w:tcBorders>
              <w:top w:val="nil"/>
              <w:left w:val="nil"/>
              <w:bottom w:val="single" w:sz="4" w:space="0" w:color="auto"/>
              <w:right w:val="single" w:sz="4" w:space="0" w:color="auto"/>
            </w:tcBorders>
            <w:shd w:val="clear" w:color="000000" w:fill="FDE9D9"/>
            <w:noWrap/>
            <w:vAlign w:val="bottom"/>
            <w:hideMark/>
          </w:tcPr>
          <w:p w14:paraId="7C93C4A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-0.64%</w:t>
            </w:r>
          </w:p>
        </w:tc>
        <w:tc>
          <w:tcPr>
            <w:tcW w:w="0" w:type="auto"/>
            <w:tcBorders>
              <w:top w:val="nil"/>
              <w:left w:val="nil"/>
              <w:bottom w:val="single" w:sz="4" w:space="0" w:color="auto"/>
              <w:right w:val="single" w:sz="4" w:space="0" w:color="auto"/>
            </w:tcBorders>
            <w:shd w:val="clear" w:color="000000" w:fill="FDE9D9"/>
            <w:noWrap/>
            <w:vAlign w:val="bottom"/>
            <w:hideMark/>
          </w:tcPr>
          <w:p w14:paraId="4BED18C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1.14%</w:t>
            </w:r>
          </w:p>
        </w:tc>
        <w:tc>
          <w:tcPr>
            <w:tcW w:w="0" w:type="auto"/>
            <w:tcBorders>
              <w:top w:val="nil"/>
              <w:left w:val="nil"/>
              <w:bottom w:val="single" w:sz="4" w:space="0" w:color="auto"/>
              <w:right w:val="single" w:sz="4" w:space="0" w:color="auto"/>
            </w:tcBorders>
            <w:shd w:val="clear" w:color="000000" w:fill="FDE9D9"/>
            <w:noWrap/>
            <w:vAlign w:val="bottom"/>
            <w:hideMark/>
          </w:tcPr>
          <w:p w14:paraId="61DD8FB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-1.79%</w:t>
            </w:r>
          </w:p>
        </w:tc>
        <w:tc>
          <w:tcPr>
            <w:tcW w:w="0" w:type="auto"/>
            <w:tcBorders>
              <w:top w:val="nil"/>
              <w:left w:val="nil"/>
              <w:bottom w:val="single" w:sz="4" w:space="0" w:color="auto"/>
              <w:right w:val="single" w:sz="4" w:space="0" w:color="auto"/>
            </w:tcBorders>
            <w:shd w:val="clear" w:color="000000" w:fill="B7DEE8"/>
            <w:noWrap/>
            <w:vAlign w:val="bottom"/>
            <w:hideMark/>
          </w:tcPr>
          <w:p w14:paraId="0BDE78F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6.38%</w:t>
            </w:r>
          </w:p>
        </w:tc>
        <w:tc>
          <w:tcPr>
            <w:tcW w:w="0" w:type="auto"/>
            <w:tcBorders>
              <w:top w:val="nil"/>
              <w:left w:val="nil"/>
              <w:bottom w:val="single" w:sz="4" w:space="0" w:color="auto"/>
              <w:right w:val="single" w:sz="4" w:space="0" w:color="auto"/>
            </w:tcBorders>
            <w:shd w:val="clear" w:color="000000" w:fill="B7DEE8"/>
            <w:noWrap/>
            <w:vAlign w:val="bottom"/>
            <w:hideMark/>
          </w:tcPr>
          <w:p w14:paraId="70D3FC7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-3.13%</w:t>
            </w:r>
          </w:p>
        </w:tc>
        <w:tc>
          <w:tcPr>
            <w:tcW w:w="0" w:type="auto"/>
            <w:tcBorders>
              <w:top w:val="nil"/>
              <w:left w:val="nil"/>
              <w:bottom w:val="single" w:sz="4" w:space="0" w:color="auto"/>
              <w:right w:val="single" w:sz="4" w:space="0" w:color="auto"/>
            </w:tcBorders>
            <w:shd w:val="clear" w:color="000000" w:fill="B7DEE8"/>
            <w:noWrap/>
            <w:vAlign w:val="bottom"/>
            <w:hideMark/>
          </w:tcPr>
          <w:p w14:paraId="0F884AE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w:t>
            </w:r>
          </w:p>
        </w:tc>
        <w:tc>
          <w:tcPr>
            <w:tcW w:w="0" w:type="auto"/>
            <w:tcBorders>
              <w:top w:val="nil"/>
              <w:left w:val="nil"/>
              <w:bottom w:val="single" w:sz="4" w:space="0" w:color="auto"/>
              <w:right w:val="single" w:sz="4" w:space="0" w:color="auto"/>
            </w:tcBorders>
            <w:shd w:val="clear" w:color="000000" w:fill="DAEEF3"/>
            <w:noWrap/>
            <w:vAlign w:val="bottom"/>
            <w:hideMark/>
          </w:tcPr>
          <w:p w14:paraId="7AAF31B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-0.18%</w:t>
            </w:r>
          </w:p>
        </w:tc>
      </w:tr>
      <w:tr w:rsidR="00F20114" w:rsidRPr="008E0033" w14:paraId="2F87B1C7"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6F5917"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Corangamite (S)</w:t>
            </w:r>
          </w:p>
        </w:tc>
        <w:tc>
          <w:tcPr>
            <w:tcW w:w="0" w:type="auto"/>
            <w:tcBorders>
              <w:top w:val="nil"/>
              <w:left w:val="nil"/>
              <w:bottom w:val="single" w:sz="4" w:space="0" w:color="auto"/>
              <w:right w:val="single" w:sz="4" w:space="0" w:color="auto"/>
            </w:tcBorders>
            <w:shd w:val="clear" w:color="000000" w:fill="FDE9D9"/>
            <w:noWrap/>
            <w:vAlign w:val="bottom"/>
            <w:hideMark/>
          </w:tcPr>
          <w:p w14:paraId="25B974C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0.57%</w:t>
            </w:r>
          </w:p>
        </w:tc>
        <w:tc>
          <w:tcPr>
            <w:tcW w:w="0" w:type="auto"/>
            <w:tcBorders>
              <w:top w:val="nil"/>
              <w:left w:val="nil"/>
              <w:bottom w:val="single" w:sz="4" w:space="0" w:color="auto"/>
              <w:right w:val="single" w:sz="4" w:space="0" w:color="auto"/>
            </w:tcBorders>
            <w:shd w:val="clear" w:color="000000" w:fill="FDE9D9"/>
            <w:noWrap/>
            <w:vAlign w:val="bottom"/>
            <w:hideMark/>
          </w:tcPr>
          <w:p w14:paraId="56C1398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-0.73%</w:t>
            </w:r>
          </w:p>
        </w:tc>
        <w:tc>
          <w:tcPr>
            <w:tcW w:w="0" w:type="auto"/>
            <w:tcBorders>
              <w:top w:val="nil"/>
              <w:left w:val="nil"/>
              <w:bottom w:val="single" w:sz="4" w:space="0" w:color="auto"/>
              <w:right w:val="single" w:sz="4" w:space="0" w:color="auto"/>
            </w:tcBorders>
            <w:shd w:val="clear" w:color="000000" w:fill="FDE9D9"/>
            <w:noWrap/>
            <w:vAlign w:val="bottom"/>
            <w:hideMark/>
          </w:tcPr>
          <w:p w14:paraId="4DC8BDF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1.29%</w:t>
            </w:r>
          </w:p>
        </w:tc>
        <w:tc>
          <w:tcPr>
            <w:tcW w:w="0" w:type="auto"/>
            <w:tcBorders>
              <w:top w:val="nil"/>
              <w:left w:val="nil"/>
              <w:bottom w:val="single" w:sz="4" w:space="0" w:color="auto"/>
              <w:right w:val="single" w:sz="4" w:space="0" w:color="auto"/>
            </w:tcBorders>
            <w:shd w:val="clear" w:color="000000" w:fill="FDE9D9"/>
            <w:noWrap/>
            <w:vAlign w:val="bottom"/>
            <w:hideMark/>
          </w:tcPr>
          <w:p w14:paraId="292CA95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-1.20%</w:t>
            </w:r>
          </w:p>
        </w:tc>
        <w:tc>
          <w:tcPr>
            <w:tcW w:w="0" w:type="auto"/>
            <w:tcBorders>
              <w:top w:val="nil"/>
              <w:left w:val="nil"/>
              <w:bottom w:val="single" w:sz="4" w:space="0" w:color="auto"/>
              <w:right w:val="single" w:sz="4" w:space="0" w:color="auto"/>
            </w:tcBorders>
            <w:shd w:val="clear" w:color="000000" w:fill="FDE9D9"/>
            <w:noWrap/>
            <w:vAlign w:val="bottom"/>
            <w:hideMark/>
          </w:tcPr>
          <w:p w14:paraId="316924B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0.29%</w:t>
            </w:r>
          </w:p>
        </w:tc>
        <w:tc>
          <w:tcPr>
            <w:tcW w:w="0" w:type="auto"/>
            <w:tcBorders>
              <w:top w:val="nil"/>
              <w:left w:val="nil"/>
              <w:bottom w:val="single" w:sz="4" w:space="0" w:color="auto"/>
              <w:right w:val="single" w:sz="4" w:space="0" w:color="auto"/>
            </w:tcBorders>
            <w:shd w:val="clear" w:color="000000" w:fill="FDE9D9"/>
            <w:noWrap/>
            <w:vAlign w:val="bottom"/>
            <w:hideMark/>
          </w:tcPr>
          <w:p w14:paraId="29B1ECC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-1.49%</w:t>
            </w:r>
          </w:p>
        </w:tc>
        <w:tc>
          <w:tcPr>
            <w:tcW w:w="0" w:type="auto"/>
            <w:tcBorders>
              <w:top w:val="nil"/>
              <w:left w:val="nil"/>
              <w:bottom w:val="single" w:sz="4" w:space="0" w:color="auto"/>
              <w:right w:val="single" w:sz="4" w:space="0" w:color="auto"/>
            </w:tcBorders>
            <w:shd w:val="clear" w:color="000000" w:fill="B7DEE8"/>
            <w:noWrap/>
            <w:vAlign w:val="bottom"/>
            <w:hideMark/>
          </w:tcPr>
          <w:p w14:paraId="29D54A8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4.39%</w:t>
            </w:r>
          </w:p>
        </w:tc>
        <w:tc>
          <w:tcPr>
            <w:tcW w:w="0" w:type="auto"/>
            <w:tcBorders>
              <w:top w:val="nil"/>
              <w:left w:val="nil"/>
              <w:bottom w:val="single" w:sz="4" w:space="0" w:color="auto"/>
              <w:right w:val="single" w:sz="4" w:space="0" w:color="auto"/>
            </w:tcBorders>
            <w:shd w:val="clear" w:color="000000" w:fill="B7DEE8"/>
            <w:noWrap/>
            <w:vAlign w:val="bottom"/>
            <w:hideMark/>
          </w:tcPr>
          <w:p w14:paraId="7699451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-1.28%</w:t>
            </w:r>
          </w:p>
        </w:tc>
        <w:tc>
          <w:tcPr>
            <w:tcW w:w="0" w:type="auto"/>
            <w:tcBorders>
              <w:top w:val="nil"/>
              <w:left w:val="nil"/>
              <w:bottom w:val="single" w:sz="4" w:space="0" w:color="auto"/>
              <w:right w:val="single" w:sz="4" w:space="0" w:color="auto"/>
            </w:tcBorders>
            <w:shd w:val="clear" w:color="000000" w:fill="B7DEE8"/>
            <w:noWrap/>
            <w:vAlign w:val="bottom"/>
            <w:hideMark/>
          </w:tcPr>
          <w:p w14:paraId="70FD06C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w:t>
            </w:r>
          </w:p>
        </w:tc>
        <w:tc>
          <w:tcPr>
            <w:tcW w:w="0" w:type="auto"/>
            <w:tcBorders>
              <w:top w:val="nil"/>
              <w:left w:val="nil"/>
              <w:bottom w:val="single" w:sz="4" w:space="0" w:color="auto"/>
              <w:right w:val="single" w:sz="4" w:space="0" w:color="auto"/>
            </w:tcBorders>
            <w:shd w:val="clear" w:color="000000" w:fill="DAEEF3"/>
            <w:noWrap/>
            <w:vAlign w:val="bottom"/>
            <w:hideMark/>
          </w:tcPr>
          <w:p w14:paraId="35F9142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1.73%</w:t>
            </w:r>
          </w:p>
        </w:tc>
      </w:tr>
      <w:tr w:rsidR="00F20114" w:rsidRPr="008E0033" w14:paraId="3A7F67C8"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BBF850"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Darebin (C)</w:t>
            </w:r>
          </w:p>
        </w:tc>
        <w:tc>
          <w:tcPr>
            <w:tcW w:w="0" w:type="auto"/>
            <w:tcBorders>
              <w:top w:val="nil"/>
              <w:left w:val="nil"/>
              <w:bottom w:val="single" w:sz="4" w:space="0" w:color="auto"/>
              <w:right w:val="single" w:sz="4" w:space="0" w:color="auto"/>
            </w:tcBorders>
            <w:shd w:val="clear" w:color="000000" w:fill="FDE9D9"/>
            <w:noWrap/>
            <w:vAlign w:val="bottom"/>
            <w:hideMark/>
          </w:tcPr>
          <w:p w14:paraId="5D31C07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1.21%</w:t>
            </w:r>
          </w:p>
        </w:tc>
        <w:tc>
          <w:tcPr>
            <w:tcW w:w="0" w:type="auto"/>
            <w:tcBorders>
              <w:top w:val="nil"/>
              <w:left w:val="nil"/>
              <w:bottom w:val="single" w:sz="4" w:space="0" w:color="auto"/>
              <w:right w:val="single" w:sz="4" w:space="0" w:color="auto"/>
            </w:tcBorders>
            <w:shd w:val="clear" w:color="000000" w:fill="FDE9D9"/>
            <w:noWrap/>
            <w:vAlign w:val="bottom"/>
            <w:hideMark/>
          </w:tcPr>
          <w:p w14:paraId="58B0B5C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1.39%</w:t>
            </w:r>
          </w:p>
        </w:tc>
        <w:tc>
          <w:tcPr>
            <w:tcW w:w="0" w:type="auto"/>
            <w:tcBorders>
              <w:top w:val="nil"/>
              <w:left w:val="nil"/>
              <w:bottom w:val="single" w:sz="4" w:space="0" w:color="auto"/>
              <w:right w:val="single" w:sz="4" w:space="0" w:color="auto"/>
            </w:tcBorders>
            <w:shd w:val="clear" w:color="000000" w:fill="FDE9D9"/>
            <w:noWrap/>
            <w:vAlign w:val="bottom"/>
            <w:hideMark/>
          </w:tcPr>
          <w:p w14:paraId="0E3A370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-0.18%</w:t>
            </w:r>
          </w:p>
        </w:tc>
        <w:tc>
          <w:tcPr>
            <w:tcW w:w="0" w:type="auto"/>
            <w:tcBorders>
              <w:top w:val="nil"/>
              <w:left w:val="nil"/>
              <w:bottom w:val="single" w:sz="4" w:space="0" w:color="auto"/>
              <w:right w:val="single" w:sz="4" w:space="0" w:color="auto"/>
            </w:tcBorders>
            <w:shd w:val="clear" w:color="000000" w:fill="FDE9D9"/>
            <w:noWrap/>
            <w:vAlign w:val="bottom"/>
            <w:hideMark/>
          </w:tcPr>
          <w:p w14:paraId="6A5E206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1.40%</w:t>
            </w:r>
          </w:p>
        </w:tc>
        <w:tc>
          <w:tcPr>
            <w:tcW w:w="0" w:type="auto"/>
            <w:tcBorders>
              <w:top w:val="nil"/>
              <w:left w:val="nil"/>
              <w:bottom w:val="single" w:sz="4" w:space="0" w:color="auto"/>
              <w:right w:val="single" w:sz="4" w:space="0" w:color="auto"/>
            </w:tcBorders>
            <w:shd w:val="clear" w:color="000000" w:fill="FDE9D9"/>
            <w:noWrap/>
            <w:vAlign w:val="bottom"/>
            <w:hideMark/>
          </w:tcPr>
          <w:p w14:paraId="380DB18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1.75%</w:t>
            </w:r>
          </w:p>
        </w:tc>
        <w:tc>
          <w:tcPr>
            <w:tcW w:w="0" w:type="auto"/>
            <w:tcBorders>
              <w:top w:val="nil"/>
              <w:left w:val="nil"/>
              <w:bottom w:val="single" w:sz="4" w:space="0" w:color="auto"/>
              <w:right w:val="single" w:sz="4" w:space="0" w:color="auto"/>
            </w:tcBorders>
            <w:shd w:val="clear" w:color="000000" w:fill="FDE9D9"/>
            <w:noWrap/>
            <w:vAlign w:val="bottom"/>
            <w:hideMark/>
          </w:tcPr>
          <w:p w14:paraId="005FBAD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-0.35%</w:t>
            </w:r>
          </w:p>
        </w:tc>
        <w:tc>
          <w:tcPr>
            <w:tcW w:w="0" w:type="auto"/>
            <w:tcBorders>
              <w:top w:val="nil"/>
              <w:left w:val="nil"/>
              <w:bottom w:val="single" w:sz="4" w:space="0" w:color="auto"/>
              <w:right w:val="single" w:sz="4" w:space="0" w:color="auto"/>
            </w:tcBorders>
            <w:shd w:val="clear" w:color="000000" w:fill="B7DEE8"/>
            <w:noWrap/>
            <w:vAlign w:val="bottom"/>
            <w:hideMark/>
          </w:tcPr>
          <w:p w14:paraId="7390AD0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2.87%</w:t>
            </w:r>
          </w:p>
        </w:tc>
        <w:tc>
          <w:tcPr>
            <w:tcW w:w="0" w:type="auto"/>
            <w:tcBorders>
              <w:top w:val="nil"/>
              <w:left w:val="nil"/>
              <w:bottom w:val="single" w:sz="4" w:space="0" w:color="auto"/>
              <w:right w:val="single" w:sz="4" w:space="0" w:color="auto"/>
            </w:tcBorders>
            <w:shd w:val="clear" w:color="000000" w:fill="B7DEE8"/>
            <w:noWrap/>
            <w:vAlign w:val="bottom"/>
            <w:hideMark/>
          </w:tcPr>
          <w:p w14:paraId="104B430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0.18%</w:t>
            </w:r>
          </w:p>
        </w:tc>
        <w:tc>
          <w:tcPr>
            <w:tcW w:w="0" w:type="auto"/>
            <w:tcBorders>
              <w:top w:val="nil"/>
              <w:left w:val="nil"/>
              <w:bottom w:val="single" w:sz="4" w:space="0" w:color="auto"/>
              <w:right w:val="single" w:sz="4" w:space="0" w:color="auto"/>
            </w:tcBorders>
            <w:shd w:val="clear" w:color="000000" w:fill="B7DEE8"/>
            <w:noWrap/>
            <w:vAlign w:val="bottom"/>
            <w:hideMark/>
          </w:tcPr>
          <w:p w14:paraId="32576F6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w:t>
            </w:r>
          </w:p>
        </w:tc>
        <w:tc>
          <w:tcPr>
            <w:tcW w:w="0" w:type="auto"/>
            <w:tcBorders>
              <w:top w:val="nil"/>
              <w:left w:val="nil"/>
              <w:bottom w:val="single" w:sz="4" w:space="0" w:color="auto"/>
              <w:right w:val="single" w:sz="4" w:space="0" w:color="auto"/>
            </w:tcBorders>
            <w:shd w:val="clear" w:color="000000" w:fill="DAEEF3"/>
            <w:noWrap/>
            <w:vAlign w:val="bottom"/>
            <w:hideMark/>
          </w:tcPr>
          <w:p w14:paraId="5F5AD3E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3.23%</w:t>
            </w:r>
          </w:p>
        </w:tc>
      </w:tr>
      <w:tr w:rsidR="00F20114" w:rsidRPr="008E0033" w14:paraId="00A85890"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BD45F6"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East Gippsland (S)</w:t>
            </w:r>
          </w:p>
        </w:tc>
        <w:tc>
          <w:tcPr>
            <w:tcW w:w="0" w:type="auto"/>
            <w:tcBorders>
              <w:top w:val="nil"/>
              <w:left w:val="nil"/>
              <w:bottom w:val="single" w:sz="4" w:space="0" w:color="auto"/>
              <w:right w:val="single" w:sz="4" w:space="0" w:color="auto"/>
            </w:tcBorders>
            <w:shd w:val="clear" w:color="000000" w:fill="FDE9D9"/>
            <w:noWrap/>
            <w:vAlign w:val="bottom"/>
            <w:hideMark/>
          </w:tcPr>
          <w:p w14:paraId="2C31D43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1.25%</w:t>
            </w:r>
          </w:p>
        </w:tc>
        <w:tc>
          <w:tcPr>
            <w:tcW w:w="0" w:type="auto"/>
            <w:tcBorders>
              <w:top w:val="nil"/>
              <w:left w:val="nil"/>
              <w:bottom w:val="single" w:sz="4" w:space="0" w:color="auto"/>
              <w:right w:val="single" w:sz="4" w:space="0" w:color="auto"/>
            </w:tcBorders>
            <w:shd w:val="clear" w:color="000000" w:fill="FDE9D9"/>
            <w:noWrap/>
            <w:vAlign w:val="bottom"/>
            <w:hideMark/>
          </w:tcPr>
          <w:p w14:paraId="0EA6563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0.88%</w:t>
            </w:r>
          </w:p>
        </w:tc>
        <w:tc>
          <w:tcPr>
            <w:tcW w:w="0" w:type="auto"/>
            <w:tcBorders>
              <w:top w:val="nil"/>
              <w:left w:val="nil"/>
              <w:bottom w:val="single" w:sz="4" w:space="0" w:color="auto"/>
              <w:right w:val="single" w:sz="4" w:space="0" w:color="auto"/>
            </w:tcBorders>
            <w:shd w:val="clear" w:color="000000" w:fill="FDE9D9"/>
            <w:noWrap/>
            <w:vAlign w:val="bottom"/>
            <w:hideMark/>
          </w:tcPr>
          <w:p w14:paraId="1E470DF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0.37%</w:t>
            </w:r>
          </w:p>
        </w:tc>
        <w:tc>
          <w:tcPr>
            <w:tcW w:w="0" w:type="auto"/>
            <w:tcBorders>
              <w:top w:val="nil"/>
              <w:left w:val="nil"/>
              <w:bottom w:val="single" w:sz="4" w:space="0" w:color="auto"/>
              <w:right w:val="single" w:sz="4" w:space="0" w:color="auto"/>
            </w:tcBorders>
            <w:shd w:val="clear" w:color="000000" w:fill="FDE9D9"/>
            <w:noWrap/>
            <w:vAlign w:val="bottom"/>
            <w:hideMark/>
          </w:tcPr>
          <w:p w14:paraId="26F0AD1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0.71%</w:t>
            </w:r>
          </w:p>
        </w:tc>
        <w:tc>
          <w:tcPr>
            <w:tcW w:w="0" w:type="auto"/>
            <w:tcBorders>
              <w:top w:val="nil"/>
              <w:left w:val="nil"/>
              <w:bottom w:val="single" w:sz="4" w:space="0" w:color="auto"/>
              <w:right w:val="single" w:sz="4" w:space="0" w:color="auto"/>
            </w:tcBorders>
            <w:shd w:val="clear" w:color="000000" w:fill="FDE9D9"/>
            <w:noWrap/>
            <w:vAlign w:val="bottom"/>
            <w:hideMark/>
          </w:tcPr>
          <w:p w14:paraId="7A2CB00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0.98%</w:t>
            </w:r>
          </w:p>
        </w:tc>
        <w:tc>
          <w:tcPr>
            <w:tcW w:w="0" w:type="auto"/>
            <w:tcBorders>
              <w:top w:val="nil"/>
              <w:left w:val="nil"/>
              <w:bottom w:val="single" w:sz="4" w:space="0" w:color="auto"/>
              <w:right w:val="single" w:sz="4" w:space="0" w:color="auto"/>
            </w:tcBorders>
            <w:shd w:val="clear" w:color="000000" w:fill="FDE9D9"/>
            <w:noWrap/>
            <w:vAlign w:val="bottom"/>
            <w:hideMark/>
          </w:tcPr>
          <w:p w14:paraId="1F690B1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-0.27%</w:t>
            </w:r>
          </w:p>
        </w:tc>
        <w:tc>
          <w:tcPr>
            <w:tcW w:w="0" w:type="auto"/>
            <w:tcBorders>
              <w:top w:val="nil"/>
              <w:left w:val="nil"/>
              <w:bottom w:val="single" w:sz="4" w:space="0" w:color="auto"/>
              <w:right w:val="single" w:sz="4" w:space="0" w:color="auto"/>
            </w:tcBorders>
            <w:shd w:val="clear" w:color="000000" w:fill="B7DEE8"/>
            <w:noWrap/>
            <w:vAlign w:val="bottom"/>
            <w:hideMark/>
          </w:tcPr>
          <w:p w14:paraId="1BDBBE2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3.43%</w:t>
            </w:r>
          </w:p>
        </w:tc>
        <w:tc>
          <w:tcPr>
            <w:tcW w:w="0" w:type="auto"/>
            <w:tcBorders>
              <w:top w:val="nil"/>
              <w:left w:val="nil"/>
              <w:bottom w:val="single" w:sz="4" w:space="0" w:color="auto"/>
              <w:right w:val="single" w:sz="4" w:space="0" w:color="auto"/>
            </w:tcBorders>
            <w:shd w:val="clear" w:color="000000" w:fill="B7DEE8"/>
            <w:noWrap/>
            <w:vAlign w:val="bottom"/>
            <w:hideMark/>
          </w:tcPr>
          <w:p w14:paraId="581A087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-0.36%</w:t>
            </w:r>
          </w:p>
        </w:tc>
        <w:tc>
          <w:tcPr>
            <w:tcW w:w="0" w:type="auto"/>
            <w:tcBorders>
              <w:top w:val="nil"/>
              <w:left w:val="nil"/>
              <w:bottom w:val="single" w:sz="4" w:space="0" w:color="auto"/>
              <w:right w:val="single" w:sz="4" w:space="0" w:color="auto"/>
            </w:tcBorders>
            <w:shd w:val="clear" w:color="000000" w:fill="B7DEE8"/>
            <w:noWrap/>
            <w:vAlign w:val="bottom"/>
            <w:hideMark/>
          </w:tcPr>
          <w:p w14:paraId="79C3056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w:t>
            </w:r>
          </w:p>
        </w:tc>
        <w:tc>
          <w:tcPr>
            <w:tcW w:w="0" w:type="auto"/>
            <w:tcBorders>
              <w:top w:val="nil"/>
              <w:left w:val="nil"/>
              <w:bottom w:val="single" w:sz="4" w:space="0" w:color="auto"/>
              <w:right w:val="single" w:sz="4" w:space="0" w:color="auto"/>
            </w:tcBorders>
            <w:shd w:val="clear" w:color="000000" w:fill="DAEEF3"/>
            <w:noWrap/>
            <w:vAlign w:val="bottom"/>
            <w:hideMark/>
          </w:tcPr>
          <w:p w14:paraId="49B35A9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2.68%</w:t>
            </w:r>
          </w:p>
        </w:tc>
      </w:tr>
      <w:tr w:rsidR="00F20114" w:rsidRPr="008E0033" w14:paraId="1B12C807"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5A34C6"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Frankston (C)</w:t>
            </w:r>
          </w:p>
        </w:tc>
        <w:tc>
          <w:tcPr>
            <w:tcW w:w="0" w:type="auto"/>
            <w:tcBorders>
              <w:top w:val="nil"/>
              <w:left w:val="nil"/>
              <w:bottom w:val="single" w:sz="4" w:space="0" w:color="auto"/>
              <w:right w:val="single" w:sz="4" w:space="0" w:color="auto"/>
            </w:tcBorders>
            <w:shd w:val="clear" w:color="000000" w:fill="FDE9D9"/>
            <w:noWrap/>
            <w:vAlign w:val="bottom"/>
            <w:hideMark/>
          </w:tcPr>
          <w:p w14:paraId="00A76D1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3.26%</w:t>
            </w:r>
          </w:p>
        </w:tc>
        <w:tc>
          <w:tcPr>
            <w:tcW w:w="0" w:type="auto"/>
            <w:tcBorders>
              <w:top w:val="nil"/>
              <w:left w:val="nil"/>
              <w:bottom w:val="single" w:sz="4" w:space="0" w:color="auto"/>
              <w:right w:val="single" w:sz="4" w:space="0" w:color="auto"/>
            </w:tcBorders>
            <w:shd w:val="clear" w:color="000000" w:fill="FDE9D9"/>
            <w:noWrap/>
            <w:vAlign w:val="bottom"/>
            <w:hideMark/>
          </w:tcPr>
          <w:p w14:paraId="3210020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1.34%</w:t>
            </w:r>
          </w:p>
        </w:tc>
        <w:tc>
          <w:tcPr>
            <w:tcW w:w="0" w:type="auto"/>
            <w:tcBorders>
              <w:top w:val="nil"/>
              <w:left w:val="nil"/>
              <w:bottom w:val="single" w:sz="4" w:space="0" w:color="auto"/>
              <w:right w:val="single" w:sz="4" w:space="0" w:color="auto"/>
            </w:tcBorders>
            <w:shd w:val="clear" w:color="000000" w:fill="FDE9D9"/>
            <w:noWrap/>
            <w:vAlign w:val="bottom"/>
            <w:hideMark/>
          </w:tcPr>
          <w:p w14:paraId="2B2A08F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1.93%</w:t>
            </w:r>
          </w:p>
        </w:tc>
        <w:tc>
          <w:tcPr>
            <w:tcW w:w="0" w:type="auto"/>
            <w:tcBorders>
              <w:top w:val="nil"/>
              <w:left w:val="nil"/>
              <w:bottom w:val="single" w:sz="4" w:space="0" w:color="auto"/>
              <w:right w:val="single" w:sz="4" w:space="0" w:color="auto"/>
            </w:tcBorders>
            <w:shd w:val="clear" w:color="000000" w:fill="FDE9D9"/>
            <w:noWrap/>
            <w:vAlign w:val="bottom"/>
            <w:hideMark/>
          </w:tcPr>
          <w:p w14:paraId="06A6522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1.32%</w:t>
            </w:r>
          </w:p>
        </w:tc>
        <w:tc>
          <w:tcPr>
            <w:tcW w:w="0" w:type="auto"/>
            <w:tcBorders>
              <w:top w:val="nil"/>
              <w:left w:val="nil"/>
              <w:bottom w:val="single" w:sz="4" w:space="0" w:color="auto"/>
              <w:right w:val="single" w:sz="4" w:space="0" w:color="auto"/>
            </w:tcBorders>
            <w:shd w:val="clear" w:color="000000" w:fill="FDE9D9"/>
            <w:noWrap/>
            <w:vAlign w:val="bottom"/>
            <w:hideMark/>
          </w:tcPr>
          <w:p w14:paraId="35AA1AF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1.43%</w:t>
            </w:r>
          </w:p>
        </w:tc>
        <w:tc>
          <w:tcPr>
            <w:tcW w:w="0" w:type="auto"/>
            <w:tcBorders>
              <w:top w:val="nil"/>
              <w:left w:val="nil"/>
              <w:bottom w:val="single" w:sz="4" w:space="0" w:color="auto"/>
              <w:right w:val="single" w:sz="4" w:space="0" w:color="auto"/>
            </w:tcBorders>
            <w:shd w:val="clear" w:color="000000" w:fill="FDE9D9"/>
            <w:noWrap/>
            <w:vAlign w:val="bottom"/>
            <w:hideMark/>
          </w:tcPr>
          <w:p w14:paraId="59D841F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-0.11%</w:t>
            </w:r>
          </w:p>
        </w:tc>
        <w:tc>
          <w:tcPr>
            <w:tcW w:w="0" w:type="auto"/>
            <w:tcBorders>
              <w:top w:val="nil"/>
              <w:left w:val="nil"/>
              <w:bottom w:val="single" w:sz="4" w:space="0" w:color="auto"/>
              <w:right w:val="single" w:sz="4" w:space="0" w:color="auto"/>
            </w:tcBorders>
            <w:shd w:val="clear" w:color="000000" w:fill="B7DEE8"/>
            <w:noWrap/>
            <w:vAlign w:val="bottom"/>
            <w:hideMark/>
          </w:tcPr>
          <w:p w14:paraId="5866872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5.01%</w:t>
            </w:r>
          </w:p>
        </w:tc>
        <w:tc>
          <w:tcPr>
            <w:tcW w:w="0" w:type="auto"/>
            <w:tcBorders>
              <w:top w:val="nil"/>
              <w:left w:val="nil"/>
              <w:bottom w:val="single" w:sz="4" w:space="0" w:color="auto"/>
              <w:right w:val="single" w:sz="4" w:space="0" w:color="auto"/>
            </w:tcBorders>
            <w:shd w:val="clear" w:color="000000" w:fill="B7DEE8"/>
            <w:noWrap/>
            <w:vAlign w:val="bottom"/>
            <w:hideMark/>
          </w:tcPr>
          <w:p w14:paraId="705AC8E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-1.87%</w:t>
            </w:r>
          </w:p>
        </w:tc>
        <w:tc>
          <w:tcPr>
            <w:tcW w:w="0" w:type="auto"/>
            <w:tcBorders>
              <w:top w:val="nil"/>
              <w:left w:val="nil"/>
              <w:bottom w:val="single" w:sz="4" w:space="0" w:color="auto"/>
              <w:right w:val="single" w:sz="4" w:space="0" w:color="auto"/>
            </w:tcBorders>
            <w:shd w:val="clear" w:color="000000" w:fill="B7DEE8"/>
            <w:noWrap/>
            <w:vAlign w:val="bottom"/>
            <w:hideMark/>
          </w:tcPr>
          <w:p w14:paraId="65D9ACB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1.3%</w:t>
            </w:r>
          </w:p>
        </w:tc>
        <w:tc>
          <w:tcPr>
            <w:tcW w:w="0" w:type="auto"/>
            <w:tcBorders>
              <w:top w:val="nil"/>
              <w:left w:val="nil"/>
              <w:bottom w:val="single" w:sz="4" w:space="0" w:color="auto"/>
              <w:right w:val="single" w:sz="4" w:space="0" w:color="auto"/>
            </w:tcBorders>
            <w:shd w:val="clear" w:color="000000" w:fill="DAEEF3"/>
            <w:noWrap/>
            <w:vAlign w:val="bottom"/>
            <w:hideMark/>
          </w:tcPr>
          <w:p w14:paraId="6AC4CDA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1.13%</w:t>
            </w:r>
          </w:p>
        </w:tc>
      </w:tr>
      <w:tr w:rsidR="00F20114" w:rsidRPr="008E0033" w14:paraId="45702814"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908325" w14:textId="77777777" w:rsidR="00F20114" w:rsidRPr="008E0033" w:rsidRDefault="00F20114" w:rsidP="00F20114">
            <w:pPr>
              <w:rPr>
                <w:rFonts w:ascii="Calibri" w:hAnsi="Calibri"/>
                <w:sz w:val="16"/>
                <w:szCs w:val="16"/>
                <w:lang w:eastAsia="en-AU"/>
              </w:rPr>
            </w:pPr>
            <w:proofErr w:type="spellStart"/>
            <w:r w:rsidRPr="008E0033">
              <w:rPr>
                <w:rFonts w:ascii="Calibri" w:hAnsi="Calibri"/>
                <w:sz w:val="16"/>
                <w:szCs w:val="16"/>
                <w:lang w:eastAsia="en-AU"/>
              </w:rPr>
              <w:t>Gannawarra</w:t>
            </w:r>
            <w:proofErr w:type="spellEnd"/>
            <w:r w:rsidRPr="008E0033">
              <w:rPr>
                <w:rFonts w:ascii="Calibri" w:hAnsi="Calibri"/>
                <w:sz w:val="16"/>
                <w:szCs w:val="16"/>
                <w:lang w:eastAsia="en-AU"/>
              </w:rPr>
              <w:t xml:space="preserve"> (S)</w:t>
            </w:r>
          </w:p>
        </w:tc>
        <w:tc>
          <w:tcPr>
            <w:tcW w:w="0" w:type="auto"/>
            <w:tcBorders>
              <w:top w:val="nil"/>
              <w:left w:val="nil"/>
              <w:bottom w:val="single" w:sz="4" w:space="0" w:color="auto"/>
              <w:right w:val="single" w:sz="4" w:space="0" w:color="auto"/>
            </w:tcBorders>
            <w:shd w:val="clear" w:color="000000" w:fill="FDE9D9"/>
            <w:noWrap/>
            <w:vAlign w:val="bottom"/>
            <w:hideMark/>
          </w:tcPr>
          <w:p w14:paraId="5503EAA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0.87%</w:t>
            </w:r>
          </w:p>
        </w:tc>
        <w:tc>
          <w:tcPr>
            <w:tcW w:w="0" w:type="auto"/>
            <w:tcBorders>
              <w:top w:val="nil"/>
              <w:left w:val="nil"/>
              <w:bottom w:val="single" w:sz="4" w:space="0" w:color="auto"/>
              <w:right w:val="single" w:sz="4" w:space="0" w:color="auto"/>
            </w:tcBorders>
            <w:shd w:val="clear" w:color="000000" w:fill="FDE9D9"/>
            <w:noWrap/>
            <w:vAlign w:val="bottom"/>
            <w:hideMark/>
          </w:tcPr>
          <w:p w14:paraId="124EA63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-1.64%</w:t>
            </w:r>
          </w:p>
        </w:tc>
        <w:tc>
          <w:tcPr>
            <w:tcW w:w="0" w:type="auto"/>
            <w:tcBorders>
              <w:top w:val="nil"/>
              <w:left w:val="nil"/>
              <w:bottom w:val="single" w:sz="4" w:space="0" w:color="auto"/>
              <w:right w:val="single" w:sz="4" w:space="0" w:color="auto"/>
            </w:tcBorders>
            <w:shd w:val="clear" w:color="000000" w:fill="FDE9D9"/>
            <w:noWrap/>
            <w:vAlign w:val="bottom"/>
            <w:hideMark/>
          </w:tcPr>
          <w:p w14:paraId="6E4B951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2.51%</w:t>
            </w:r>
          </w:p>
        </w:tc>
        <w:tc>
          <w:tcPr>
            <w:tcW w:w="0" w:type="auto"/>
            <w:tcBorders>
              <w:top w:val="nil"/>
              <w:left w:val="nil"/>
              <w:bottom w:val="single" w:sz="4" w:space="0" w:color="auto"/>
              <w:right w:val="single" w:sz="4" w:space="0" w:color="auto"/>
            </w:tcBorders>
            <w:shd w:val="clear" w:color="000000" w:fill="FDE9D9"/>
            <w:noWrap/>
            <w:vAlign w:val="bottom"/>
            <w:hideMark/>
          </w:tcPr>
          <w:p w14:paraId="64A3C95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-1.12%</w:t>
            </w:r>
          </w:p>
        </w:tc>
        <w:tc>
          <w:tcPr>
            <w:tcW w:w="0" w:type="auto"/>
            <w:tcBorders>
              <w:top w:val="nil"/>
              <w:left w:val="nil"/>
              <w:bottom w:val="single" w:sz="4" w:space="0" w:color="auto"/>
              <w:right w:val="single" w:sz="4" w:space="0" w:color="auto"/>
            </w:tcBorders>
            <w:shd w:val="clear" w:color="000000" w:fill="FDE9D9"/>
            <w:noWrap/>
            <w:vAlign w:val="bottom"/>
            <w:hideMark/>
          </w:tcPr>
          <w:p w14:paraId="7A7089D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0.00%</w:t>
            </w:r>
          </w:p>
        </w:tc>
        <w:tc>
          <w:tcPr>
            <w:tcW w:w="0" w:type="auto"/>
            <w:tcBorders>
              <w:top w:val="nil"/>
              <w:left w:val="nil"/>
              <w:bottom w:val="single" w:sz="4" w:space="0" w:color="auto"/>
              <w:right w:val="single" w:sz="4" w:space="0" w:color="auto"/>
            </w:tcBorders>
            <w:shd w:val="clear" w:color="000000" w:fill="FDE9D9"/>
            <w:noWrap/>
            <w:vAlign w:val="bottom"/>
            <w:hideMark/>
          </w:tcPr>
          <w:p w14:paraId="4A64D88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-1.12%</w:t>
            </w:r>
          </w:p>
        </w:tc>
        <w:tc>
          <w:tcPr>
            <w:tcW w:w="0" w:type="auto"/>
            <w:tcBorders>
              <w:top w:val="nil"/>
              <w:left w:val="nil"/>
              <w:bottom w:val="single" w:sz="4" w:space="0" w:color="auto"/>
              <w:right w:val="single" w:sz="4" w:space="0" w:color="auto"/>
            </w:tcBorders>
            <w:shd w:val="clear" w:color="000000" w:fill="B7DEE8"/>
            <w:noWrap/>
            <w:vAlign w:val="bottom"/>
            <w:hideMark/>
          </w:tcPr>
          <w:p w14:paraId="19D330D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5.68%</w:t>
            </w:r>
          </w:p>
        </w:tc>
        <w:tc>
          <w:tcPr>
            <w:tcW w:w="0" w:type="auto"/>
            <w:tcBorders>
              <w:top w:val="nil"/>
              <w:left w:val="nil"/>
              <w:bottom w:val="single" w:sz="4" w:space="0" w:color="auto"/>
              <w:right w:val="single" w:sz="4" w:space="0" w:color="auto"/>
            </w:tcBorders>
            <w:shd w:val="clear" w:color="000000" w:fill="B7DEE8"/>
            <w:noWrap/>
            <w:vAlign w:val="bottom"/>
            <w:hideMark/>
          </w:tcPr>
          <w:p w14:paraId="5606AA9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-2.49%</w:t>
            </w:r>
          </w:p>
        </w:tc>
        <w:tc>
          <w:tcPr>
            <w:tcW w:w="0" w:type="auto"/>
            <w:tcBorders>
              <w:top w:val="nil"/>
              <w:left w:val="nil"/>
              <w:bottom w:val="single" w:sz="4" w:space="0" w:color="auto"/>
              <w:right w:val="single" w:sz="4" w:space="0" w:color="auto"/>
            </w:tcBorders>
            <w:shd w:val="clear" w:color="000000" w:fill="B7DEE8"/>
            <w:noWrap/>
            <w:vAlign w:val="bottom"/>
            <w:hideMark/>
          </w:tcPr>
          <w:p w14:paraId="58CB129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w:t>
            </w:r>
          </w:p>
        </w:tc>
        <w:tc>
          <w:tcPr>
            <w:tcW w:w="0" w:type="auto"/>
            <w:tcBorders>
              <w:top w:val="nil"/>
              <w:left w:val="nil"/>
              <w:bottom w:val="single" w:sz="4" w:space="0" w:color="auto"/>
              <w:right w:val="single" w:sz="4" w:space="0" w:color="auto"/>
            </w:tcBorders>
            <w:shd w:val="clear" w:color="000000" w:fill="DAEEF3"/>
            <w:noWrap/>
            <w:vAlign w:val="bottom"/>
            <w:hideMark/>
          </w:tcPr>
          <w:p w14:paraId="0194D30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0.48%</w:t>
            </w:r>
          </w:p>
        </w:tc>
      </w:tr>
      <w:tr w:rsidR="00F20114" w:rsidRPr="008E0033" w14:paraId="174A3E17"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BE691F"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 xml:space="preserve">Glen </w:t>
            </w:r>
            <w:proofErr w:type="spellStart"/>
            <w:r w:rsidRPr="008E0033">
              <w:rPr>
                <w:rFonts w:ascii="Calibri" w:hAnsi="Calibri"/>
                <w:sz w:val="16"/>
                <w:szCs w:val="16"/>
                <w:lang w:eastAsia="en-AU"/>
              </w:rPr>
              <w:t>Eira</w:t>
            </w:r>
            <w:proofErr w:type="spellEnd"/>
            <w:r w:rsidRPr="008E0033">
              <w:rPr>
                <w:rFonts w:ascii="Calibri" w:hAnsi="Calibri"/>
                <w:sz w:val="16"/>
                <w:szCs w:val="16"/>
                <w:lang w:eastAsia="en-AU"/>
              </w:rPr>
              <w:t xml:space="preserve"> (C)</w:t>
            </w:r>
          </w:p>
        </w:tc>
        <w:tc>
          <w:tcPr>
            <w:tcW w:w="0" w:type="auto"/>
            <w:tcBorders>
              <w:top w:val="nil"/>
              <w:left w:val="nil"/>
              <w:bottom w:val="single" w:sz="4" w:space="0" w:color="auto"/>
              <w:right w:val="single" w:sz="4" w:space="0" w:color="auto"/>
            </w:tcBorders>
            <w:shd w:val="clear" w:color="000000" w:fill="FDE9D9"/>
            <w:noWrap/>
            <w:vAlign w:val="bottom"/>
            <w:hideMark/>
          </w:tcPr>
          <w:p w14:paraId="75D3B81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0.83%</w:t>
            </w:r>
          </w:p>
        </w:tc>
        <w:tc>
          <w:tcPr>
            <w:tcW w:w="0" w:type="auto"/>
            <w:tcBorders>
              <w:top w:val="nil"/>
              <w:left w:val="nil"/>
              <w:bottom w:val="single" w:sz="4" w:space="0" w:color="auto"/>
              <w:right w:val="single" w:sz="4" w:space="0" w:color="auto"/>
            </w:tcBorders>
            <w:shd w:val="clear" w:color="000000" w:fill="FDE9D9"/>
            <w:noWrap/>
            <w:vAlign w:val="bottom"/>
            <w:hideMark/>
          </w:tcPr>
          <w:p w14:paraId="564AC89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1.87%</w:t>
            </w:r>
          </w:p>
        </w:tc>
        <w:tc>
          <w:tcPr>
            <w:tcW w:w="0" w:type="auto"/>
            <w:tcBorders>
              <w:top w:val="nil"/>
              <w:left w:val="nil"/>
              <w:bottom w:val="single" w:sz="4" w:space="0" w:color="auto"/>
              <w:right w:val="single" w:sz="4" w:space="0" w:color="auto"/>
            </w:tcBorders>
            <w:shd w:val="clear" w:color="000000" w:fill="FDE9D9"/>
            <w:noWrap/>
            <w:vAlign w:val="bottom"/>
            <w:hideMark/>
          </w:tcPr>
          <w:p w14:paraId="0DFE082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-1.04%</w:t>
            </w:r>
          </w:p>
        </w:tc>
        <w:tc>
          <w:tcPr>
            <w:tcW w:w="0" w:type="auto"/>
            <w:tcBorders>
              <w:top w:val="nil"/>
              <w:left w:val="nil"/>
              <w:bottom w:val="single" w:sz="4" w:space="0" w:color="auto"/>
              <w:right w:val="single" w:sz="4" w:space="0" w:color="auto"/>
            </w:tcBorders>
            <w:shd w:val="clear" w:color="000000" w:fill="FDE9D9"/>
            <w:noWrap/>
            <w:vAlign w:val="bottom"/>
            <w:hideMark/>
          </w:tcPr>
          <w:p w14:paraId="658C461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1.72%</w:t>
            </w:r>
          </w:p>
        </w:tc>
        <w:tc>
          <w:tcPr>
            <w:tcW w:w="0" w:type="auto"/>
            <w:tcBorders>
              <w:top w:val="nil"/>
              <w:left w:val="nil"/>
              <w:bottom w:val="single" w:sz="4" w:space="0" w:color="auto"/>
              <w:right w:val="single" w:sz="4" w:space="0" w:color="auto"/>
            </w:tcBorders>
            <w:shd w:val="clear" w:color="000000" w:fill="FDE9D9"/>
            <w:noWrap/>
            <w:vAlign w:val="bottom"/>
            <w:hideMark/>
          </w:tcPr>
          <w:p w14:paraId="516AC75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1.10%</w:t>
            </w:r>
          </w:p>
        </w:tc>
        <w:tc>
          <w:tcPr>
            <w:tcW w:w="0" w:type="auto"/>
            <w:tcBorders>
              <w:top w:val="nil"/>
              <w:left w:val="nil"/>
              <w:bottom w:val="single" w:sz="4" w:space="0" w:color="auto"/>
              <w:right w:val="single" w:sz="4" w:space="0" w:color="auto"/>
            </w:tcBorders>
            <w:shd w:val="clear" w:color="000000" w:fill="FDE9D9"/>
            <w:noWrap/>
            <w:vAlign w:val="bottom"/>
            <w:hideMark/>
          </w:tcPr>
          <w:p w14:paraId="086E114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0.61%</w:t>
            </w:r>
          </w:p>
        </w:tc>
        <w:tc>
          <w:tcPr>
            <w:tcW w:w="0" w:type="auto"/>
            <w:tcBorders>
              <w:top w:val="nil"/>
              <w:left w:val="nil"/>
              <w:bottom w:val="single" w:sz="4" w:space="0" w:color="auto"/>
              <w:right w:val="single" w:sz="4" w:space="0" w:color="auto"/>
            </w:tcBorders>
            <w:shd w:val="clear" w:color="000000" w:fill="B7DEE8"/>
            <w:noWrap/>
            <w:vAlign w:val="bottom"/>
            <w:hideMark/>
          </w:tcPr>
          <w:p w14:paraId="019A6F6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2.00%</w:t>
            </w:r>
          </w:p>
        </w:tc>
        <w:tc>
          <w:tcPr>
            <w:tcW w:w="0" w:type="auto"/>
            <w:tcBorders>
              <w:top w:val="nil"/>
              <w:left w:val="nil"/>
              <w:bottom w:val="single" w:sz="4" w:space="0" w:color="auto"/>
              <w:right w:val="single" w:sz="4" w:space="0" w:color="auto"/>
            </w:tcBorders>
            <w:shd w:val="clear" w:color="000000" w:fill="B7DEE8"/>
            <w:noWrap/>
            <w:vAlign w:val="bottom"/>
            <w:hideMark/>
          </w:tcPr>
          <w:p w14:paraId="1CB046E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1.03%</w:t>
            </w:r>
          </w:p>
        </w:tc>
        <w:tc>
          <w:tcPr>
            <w:tcW w:w="0" w:type="auto"/>
            <w:tcBorders>
              <w:top w:val="nil"/>
              <w:left w:val="nil"/>
              <w:bottom w:val="single" w:sz="4" w:space="0" w:color="auto"/>
              <w:right w:val="single" w:sz="4" w:space="0" w:color="auto"/>
            </w:tcBorders>
            <w:shd w:val="clear" w:color="000000" w:fill="B7DEE8"/>
            <w:noWrap/>
            <w:vAlign w:val="bottom"/>
            <w:hideMark/>
          </w:tcPr>
          <w:p w14:paraId="319D54F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w:t>
            </w:r>
          </w:p>
        </w:tc>
        <w:tc>
          <w:tcPr>
            <w:tcW w:w="0" w:type="auto"/>
            <w:tcBorders>
              <w:top w:val="nil"/>
              <w:left w:val="nil"/>
              <w:bottom w:val="single" w:sz="4" w:space="0" w:color="auto"/>
              <w:right w:val="single" w:sz="4" w:space="0" w:color="auto"/>
            </w:tcBorders>
            <w:shd w:val="clear" w:color="000000" w:fill="DAEEF3"/>
            <w:noWrap/>
            <w:vAlign w:val="bottom"/>
            <w:hideMark/>
          </w:tcPr>
          <w:p w14:paraId="7BD0E0B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4.11%</w:t>
            </w:r>
          </w:p>
        </w:tc>
      </w:tr>
      <w:tr w:rsidR="00F20114" w:rsidRPr="008E0033" w14:paraId="44A50E7F"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3CB37A"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Glenelg (S)</w:t>
            </w:r>
          </w:p>
        </w:tc>
        <w:tc>
          <w:tcPr>
            <w:tcW w:w="0" w:type="auto"/>
            <w:tcBorders>
              <w:top w:val="nil"/>
              <w:left w:val="nil"/>
              <w:bottom w:val="single" w:sz="4" w:space="0" w:color="auto"/>
              <w:right w:val="single" w:sz="4" w:space="0" w:color="auto"/>
            </w:tcBorders>
            <w:shd w:val="clear" w:color="000000" w:fill="FDE9D9"/>
            <w:noWrap/>
            <w:vAlign w:val="bottom"/>
            <w:hideMark/>
          </w:tcPr>
          <w:p w14:paraId="31BE0ED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-0.59%</w:t>
            </w:r>
          </w:p>
        </w:tc>
        <w:tc>
          <w:tcPr>
            <w:tcW w:w="0" w:type="auto"/>
            <w:tcBorders>
              <w:top w:val="nil"/>
              <w:left w:val="nil"/>
              <w:bottom w:val="single" w:sz="4" w:space="0" w:color="auto"/>
              <w:right w:val="single" w:sz="4" w:space="0" w:color="auto"/>
            </w:tcBorders>
            <w:shd w:val="clear" w:color="000000" w:fill="FDE9D9"/>
            <w:noWrap/>
            <w:vAlign w:val="bottom"/>
            <w:hideMark/>
          </w:tcPr>
          <w:p w14:paraId="634CE8F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-0.73%</w:t>
            </w:r>
          </w:p>
        </w:tc>
        <w:tc>
          <w:tcPr>
            <w:tcW w:w="0" w:type="auto"/>
            <w:tcBorders>
              <w:top w:val="nil"/>
              <w:left w:val="nil"/>
              <w:bottom w:val="single" w:sz="4" w:space="0" w:color="auto"/>
              <w:right w:val="single" w:sz="4" w:space="0" w:color="auto"/>
            </w:tcBorders>
            <w:shd w:val="clear" w:color="000000" w:fill="FDE9D9"/>
            <w:noWrap/>
            <w:vAlign w:val="bottom"/>
            <w:hideMark/>
          </w:tcPr>
          <w:p w14:paraId="1891F37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0.15%</w:t>
            </w:r>
          </w:p>
        </w:tc>
        <w:tc>
          <w:tcPr>
            <w:tcW w:w="0" w:type="auto"/>
            <w:tcBorders>
              <w:top w:val="nil"/>
              <w:left w:val="nil"/>
              <w:bottom w:val="single" w:sz="4" w:space="0" w:color="auto"/>
              <w:right w:val="single" w:sz="4" w:space="0" w:color="auto"/>
            </w:tcBorders>
            <w:shd w:val="clear" w:color="000000" w:fill="FDE9D9"/>
            <w:noWrap/>
            <w:vAlign w:val="bottom"/>
            <w:hideMark/>
          </w:tcPr>
          <w:p w14:paraId="32351A3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-1.02%</w:t>
            </w:r>
          </w:p>
        </w:tc>
        <w:tc>
          <w:tcPr>
            <w:tcW w:w="0" w:type="auto"/>
            <w:tcBorders>
              <w:top w:val="nil"/>
              <w:left w:val="nil"/>
              <w:bottom w:val="single" w:sz="4" w:space="0" w:color="auto"/>
              <w:right w:val="single" w:sz="4" w:space="0" w:color="auto"/>
            </w:tcBorders>
            <w:shd w:val="clear" w:color="000000" w:fill="FDE9D9"/>
            <w:noWrap/>
            <w:vAlign w:val="bottom"/>
            <w:hideMark/>
          </w:tcPr>
          <w:p w14:paraId="3A3C1DA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-0.38%</w:t>
            </w:r>
          </w:p>
        </w:tc>
        <w:tc>
          <w:tcPr>
            <w:tcW w:w="0" w:type="auto"/>
            <w:tcBorders>
              <w:top w:val="nil"/>
              <w:left w:val="nil"/>
              <w:bottom w:val="single" w:sz="4" w:space="0" w:color="auto"/>
              <w:right w:val="single" w:sz="4" w:space="0" w:color="auto"/>
            </w:tcBorders>
            <w:shd w:val="clear" w:color="000000" w:fill="FDE9D9"/>
            <w:noWrap/>
            <w:vAlign w:val="bottom"/>
            <w:hideMark/>
          </w:tcPr>
          <w:p w14:paraId="2F4A6FC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-0.64%</w:t>
            </w:r>
          </w:p>
        </w:tc>
        <w:tc>
          <w:tcPr>
            <w:tcW w:w="0" w:type="auto"/>
            <w:tcBorders>
              <w:top w:val="nil"/>
              <w:left w:val="nil"/>
              <w:bottom w:val="single" w:sz="4" w:space="0" w:color="auto"/>
              <w:right w:val="single" w:sz="4" w:space="0" w:color="auto"/>
            </w:tcBorders>
            <w:shd w:val="clear" w:color="000000" w:fill="B7DEE8"/>
            <w:noWrap/>
            <w:vAlign w:val="bottom"/>
            <w:hideMark/>
          </w:tcPr>
          <w:p w14:paraId="55AFE70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3.20%</w:t>
            </w:r>
          </w:p>
        </w:tc>
        <w:tc>
          <w:tcPr>
            <w:tcW w:w="0" w:type="auto"/>
            <w:tcBorders>
              <w:top w:val="nil"/>
              <w:left w:val="nil"/>
              <w:bottom w:val="single" w:sz="4" w:space="0" w:color="auto"/>
              <w:right w:val="single" w:sz="4" w:space="0" w:color="auto"/>
            </w:tcBorders>
            <w:shd w:val="clear" w:color="000000" w:fill="B7DEE8"/>
            <w:noWrap/>
            <w:vAlign w:val="bottom"/>
            <w:hideMark/>
          </w:tcPr>
          <w:p w14:paraId="583F1CC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-0.14%</w:t>
            </w:r>
          </w:p>
        </w:tc>
        <w:tc>
          <w:tcPr>
            <w:tcW w:w="0" w:type="auto"/>
            <w:tcBorders>
              <w:top w:val="nil"/>
              <w:left w:val="nil"/>
              <w:bottom w:val="single" w:sz="4" w:space="0" w:color="auto"/>
              <w:right w:val="single" w:sz="4" w:space="0" w:color="auto"/>
            </w:tcBorders>
            <w:shd w:val="clear" w:color="000000" w:fill="B7DEE8"/>
            <w:noWrap/>
            <w:vAlign w:val="bottom"/>
            <w:hideMark/>
          </w:tcPr>
          <w:p w14:paraId="083F2C2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w:t>
            </w:r>
          </w:p>
        </w:tc>
        <w:tc>
          <w:tcPr>
            <w:tcW w:w="0" w:type="auto"/>
            <w:tcBorders>
              <w:top w:val="nil"/>
              <w:left w:val="nil"/>
              <w:bottom w:val="single" w:sz="4" w:space="0" w:color="auto"/>
              <w:right w:val="single" w:sz="4" w:space="0" w:color="auto"/>
            </w:tcBorders>
            <w:shd w:val="clear" w:color="000000" w:fill="DAEEF3"/>
            <w:noWrap/>
            <w:vAlign w:val="bottom"/>
            <w:hideMark/>
          </w:tcPr>
          <w:p w14:paraId="7A8E6AD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2.90%</w:t>
            </w:r>
          </w:p>
        </w:tc>
      </w:tr>
      <w:tr w:rsidR="00F20114" w:rsidRPr="008E0033" w14:paraId="18A478CF"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2A02EB"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Golden Plains (S)</w:t>
            </w:r>
          </w:p>
        </w:tc>
        <w:tc>
          <w:tcPr>
            <w:tcW w:w="0" w:type="auto"/>
            <w:tcBorders>
              <w:top w:val="nil"/>
              <w:left w:val="nil"/>
              <w:bottom w:val="single" w:sz="4" w:space="0" w:color="auto"/>
              <w:right w:val="single" w:sz="4" w:space="0" w:color="auto"/>
            </w:tcBorders>
            <w:shd w:val="clear" w:color="000000" w:fill="FDE9D9"/>
            <w:noWrap/>
            <w:vAlign w:val="bottom"/>
            <w:hideMark/>
          </w:tcPr>
          <w:p w14:paraId="65BEB09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1.58%</w:t>
            </w:r>
          </w:p>
        </w:tc>
        <w:tc>
          <w:tcPr>
            <w:tcW w:w="0" w:type="auto"/>
            <w:tcBorders>
              <w:top w:val="nil"/>
              <w:left w:val="nil"/>
              <w:bottom w:val="single" w:sz="4" w:space="0" w:color="auto"/>
              <w:right w:val="single" w:sz="4" w:space="0" w:color="auto"/>
            </w:tcBorders>
            <w:shd w:val="clear" w:color="000000" w:fill="FDE9D9"/>
            <w:noWrap/>
            <w:vAlign w:val="bottom"/>
            <w:hideMark/>
          </w:tcPr>
          <w:p w14:paraId="5F8A363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2.03%</w:t>
            </w:r>
          </w:p>
        </w:tc>
        <w:tc>
          <w:tcPr>
            <w:tcW w:w="0" w:type="auto"/>
            <w:tcBorders>
              <w:top w:val="nil"/>
              <w:left w:val="nil"/>
              <w:bottom w:val="single" w:sz="4" w:space="0" w:color="auto"/>
              <w:right w:val="single" w:sz="4" w:space="0" w:color="auto"/>
            </w:tcBorders>
            <w:shd w:val="clear" w:color="000000" w:fill="FDE9D9"/>
            <w:noWrap/>
            <w:vAlign w:val="bottom"/>
            <w:hideMark/>
          </w:tcPr>
          <w:p w14:paraId="544E211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-0.44%</w:t>
            </w:r>
          </w:p>
        </w:tc>
        <w:tc>
          <w:tcPr>
            <w:tcW w:w="0" w:type="auto"/>
            <w:tcBorders>
              <w:top w:val="nil"/>
              <w:left w:val="nil"/>
              <w:bottom w:val="single" w:sz="4" w:space="0" w:color="auto"/>
              <w:right w:val="single" w:sz="4" w:space="0" w:color="auto"/>
            </w:tcBorders>
            <w:shd w:val="clear" w:color="000000" w:fill="FDE9D9"/>
            <w:noWrap/>
            <w:vAlign w:val="bottom"/>
            <w:hideMark/>
          </w:tcPr>
          <w:p w14:paraId="54582BA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2.72%</w:t>
            </w:r>
          </w:p>
        </w:tc>
        <w:tc>
          <w:tcPr>
            <w:tcW w:w="0" w:type="auto"/>
            <w:tcBorders>
              <w:top w:val="nil"/>
              <w:left w:val="nil"/>
              <w:bottom w:val="single" w:sz="4" w:space="0" w:color="auto"/>
              <w:right w:val="single" w:sz="4" w:space="0" w:color="auto"/>
            </w:tcBorders>
            <w:shd w:val="clear" w:color="000000" w:fill="FDE9D9"/>
            <w:noWrap/>
            <w:vAlign w:val="bottom"/>
            <w:hideMark/>
          </w:tcPr>
          <w:p w14:paraId="559047C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2.58%</w:t>
            </w:r>
          </w:p>
        </w:tc>
        <w:tc>
          <w:tcPr>
            <w:tcW w:w="0" w:type="auto"/>
            <w:tcBorders>
              <w:top w:val="nil"/>
              <w:left w:val="nil"/>
              <w:bottom w:val="single" w:sz="4" w:space="0" w:color="auto"/>
              <w:right w:val="single" w:sz="4" w:space="0" w:color="auto"/>
            </w:tcBorders>
            <w:shd w:val="clear" w:color="000000" w:fill="FDE9D9"/>
            <w:noWrap/>
            <w:vAlign w:val="bottom"/>
            <w:hideMark/>
          </w:tcPr>
          <w:p w14:paraId="1B1EF63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0.14%</w:t>
            </w:r>
          </w:p>
        </w:tc>
        <w:tc>
          <w:tcPr>
            <w:tcW w:w="0" w:type="auto"/>
            <w:tcBorders>
              <w:top w:val="nil"/>
              <w:left w:val="nil"/>
              <w:bottom w:val="single" w:sz="4" w:space="0" w:color="auto"/>
              <w:right w:val="single" w:sz="4" w:space="0" w:color="auto"/>
            </w:tcBorders>
            <w:shd w:val="clear" w:color="000000" w:fill="B7DEE8"/>
            <w:noWrap/>
            <w:vAlign w:val="bottom"/>
            <w:hideMark/>
          </w:tcPr>
          <w:p w14:paraId="0DD849B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2.61%</w:t>
            </w:r>
          </w:p>
        </w:tc>
        <w:tc>
          <w:tcPr>
            <w:tcW w:w="0" w:type="auto"/>
            <w:tcBorders>
              <w:top w:val="nil"/>
              <w:left w:val="nil"/>
              <w:bottom w:val="single" w:sz="4" w:space="0" w:color="auto"/>
              <w:right w:val="single" w:sz="4" w:space="0" w:color="auto"/>
            </w:tcBorders>
            <w:shd w:val="clear" w:color="000000" w:fill="B7DEE8"/>
            <w:noWrap/>
            <w:vAlign w:val="bottom"/>
            <w:hideMark/>
          </w:tcPr>
          <w:p w14:paraId="3D8FB72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0.43%</w:t>
            </w:r>
          </w:p>
        </w:tc>
        <w:tc>
          <w:tcPr>
            <w:tcW w:w="0" w:type="auto"/>
            <w:tcBorders>
              <w:top w:val="nil"/>
              <w:left w:val="nil"/>
              <w:bottom w:val="single" w:sz="4" w:space="0" w:color="auto"/>
              <w:right w:val="single" w:sz="4" w:space="0" w:color="auto"/>
            </w:tcBorders>
            <w:shd w:val="clear" w:color="000000" w:fill="B7DEE8"/>
            <w:noWrap/>
            <w:vAlign w:val="bottom"/>
            <w:hideMark/>
          </w:tcPr>
          <w:p w14:paraId="4D71772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0.9%</w:t>
            </w:r>
          </w:p>
        </w:tc>
        <w:tc>
          <w:tcPr>
            <w:tcW w:w="0" w:type="auto"/>
            <w:tcBorders>
              <w:top w:val="nil"/>
              <w:left w:val="nil"/>
              <w:bottom w:val="single" w:sz="4" w:space="0" w:color="auto"/>
              <w:right w:val="single" w:sz="4" w:space="0" w:color="auto"/>
            </w:tcBorders>
            <w:shd w:val="clear" w:color="000000" w:fill="DAEEF3"/>
            <w:noWrap/>
            <w:vAlign w:val="bottom"/>
            <w:hideMark/>
          </w:tcPr>
          <w:p w14:paraId="14F5114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3.49%</w:t>
            </w:r>
          </w:p>
        </w:tc>
      </w:tr>
      <w:tr w:rsidR="00F20114" w:rsidRPr="008E0033" w14:paraId="710E60B8"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BB5086"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lastRenderedPageBreak/>
              <w:t>Greater Bendigo (C)</w:t>
            </w:r>
          </w:p>
        </w:tc>
        <w:tc>
          <w:tcPr>
            <w:tcW w:w="0" w:type="auto"/>
            <w:tcBorders>
              <w:top w:val="nil"/>
              <w:left w:val="nil"/>
              <w:bottom w:val="single" w:sz="4" w:space="0" w:color="auto"/>
              <w:right w:val="single" w:sz="4" w:space="0" w:color="auto"/>
            </w:tcBorders>
            <w:shd w:val="clear" w:color="000000" w:fill="FDE9D9"/>
            <w:noWrap/>
            <w:vAlign w:val="bottom"/>
            <w:hideMark/>
          </w:tcPr>
          <w:p w14:paraId="450D0EC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1.74%</w:t>
            </w:r>
          </w:p>
        </w:tc>
        <w:tc>
          <w:tcPr>
            <w:tcW w:w="0" w:type="auto"/>
            <w:tcBorders>
              <w:top w:val="nil"/>
              <w:left w:val="nil"/>
              <w:bottom w:val="single" w:sz="4" w:space="0" w:color="auto"/>
              <w:right w:val="single" w:sz="4" w:space="0" w:color="auto"/>
            </w:tcBorders>
            <w:shd w:val="clear" w:color="000000" w:fill="FDE9D9"/>
            <w:noWrap/>
            <w:vAlign w:val="bottom"/>
            <w:hideMark/>
          </w:tcPr>
          <w:p w14:paraId="20FCC9E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1.64%</w:t>
            </w:r>
          </w:p>
        </w:tc>
        <w:tc>
          <w:tcPr>
            <w:tcW w:w="0" w:type="auto"/>
            <w:tcBorders>
              <w:top w:val="nil"/>
              <w:left w:val="nil"/>
              <w:bottom w:val="single" w:sz="4" w:space="0" w:color="auto"/>
              <w:right w:val="single" w:sz="4" w:space="0" w:color="auto"/>
            </w:tcBorders>
            <w:shd w:val="clear" w:color="000000" w:fill="FDE9D9"/>
            <w:noWrap/>
            <w:vAlign w:val="bottom"/>
            <w:hideMark/>
          </w:tcPr>
          <w:p w14:paraId="1CDB569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0.10%</w:t>
            </w:r>
          </w:p>
        </w:tc>
        <w:tc>
          <w:tcPr>
            <w:tcW w:w="0" w:type="auto"/>
            <w:tcBorders>
              <w:top w:val="nil"/>
              <w:left w:val="nil"/>
              <w:bottom w:val="single" w:sz="4" w:space="0" w:color="auto"/>
              <w:right w:val="single" w:sz="4" w:space="0" w:color="auto"/>
            </w:tcBorders>
            <w:shd w:val="clear" w:color="000000" w:fill="FDE9D9"/>
            <w:noWrap/>
            <w:vAlign w:val="bottom"/>
            <w:hideMark/>
          </w:tcPr>
          <w:p w14:paraId="2595183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1.61%</w:t>
            </w:r>
          </w:p>
        </w:tc>
        <w:tc>
          <w:tcPr>
            <w:tcW w:w="0" w:type="auto"/>
            <w:tcBorders>
              <w:top w:val="nil"/>
              <w:left w:val="nil"/>
              <w:bottom w:val="single" w:sz="4" w:space="0" w:color="auto"/>
              <w:right w:val="single" w:sz="4" w:space="0" w:color="auto"/>
            </w:tcBorders>
            <w:shd w:val="clear" w:color="000000" w:fill="FDE9D9"/>
            <w:noWrap/>
            <w:vAlign w:val="bottom"/>
            <w:hideMark/>
          </w:tcPr>
          <w:p w14:paraId="63CE2B5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2.22%</w:t>
            </w:r>
          </w:p>
        </w:tc>
        <w:tc>
          <w:tcPr>
            <w:tcW w:w="0" w:type="auto"/>
            <w:tcBorders>
              <w:top w:val="nil"/>
              <w:left w:val="nil"/>
              <w:bottom w:val="single" w:sz="4" w:space="0" w:color="auto"/>
              <w:right w:val="single" w:sz="4" w:space="0" w:color="auto"/>
            </w:tcBorders>
            <w:shd w:val="clear" w:color="000000" w:fill="FDE9D9"/>
            <w:noWrap/>
            <w:vAlign w:val="bottom"/>
            <w:hideMark/>
          </w:tcPr>
          <w:p w14:paraId="7761F8D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-0.61%</w:t>
            </w:r>
          </w:p>
        </w:tc>
        <w:tc>
          <w:tcPr>
            <w:tcW w:w="0" w:type="auto"/>
            <w:tcBorders>
              <w:top w:val="nil"/>
              <w:left w:val="nil"/>
              <w:bottom w:val="single" w:sz="4" w:space="0" w:color="auto"/>
              <w:right w:val="single" w:sz="4" w:space="0" w:color="auto"/>
            </w:tcBorders>
            <w:shd w:val="clear" w:color="000000" w:fill="B7DEE8"/>
            <w:noWrap/>
            <w:vAlign w:val="bottom"/>
            <w:hideMark/>
          </w:tcPr>
          <w:p w14:paraId="0493D4C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3.15%</w:t>
            </w:r>
          </w:p>
        </w:tc>
        <w:tc>
          <w:tcPr>
            <w:tcW w:w="0" w:type="auto"/>
            <w:tcBorders>
              <w:top w:val="nil"/>
              <w:left w:val="nil"/>
              <w:bottom w:val="single" w:sz="4" w:space="0" w:color="auto"/>
              <w:right w:val="single" w:sz="4" w:space="0" w:color="auto"/>
            </w:tcBorders>
            <w:shd w:val="clear" w:color="000000" w:fill="B7DEE8"/>
            <w:noWrap/>
            <w:vAlign w:val="bottom"/>
            <w:hideMark/>
          </w:tcPr>
          <w:p w14:paraId="3655ADA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-0.10%</w:t>
            </w:r>
          </w:p>
        </w:tc>
        <w:tc>
          <w:tcPr>
            <w:tcW w:w="0" w:type="auto"/>
            <w:tcBorders>
              <w:top w:val="nil"/>
              <w:left w:val="nil"/>
              <w:bottom w:val="single" w:sz="4" w:space="0" w:color="auto"/>
              <w:right w:val="single" w:sz="4" w:space="0" w:color="auto"/>
            </w:tcBorders>
            <w:shd w:val="clear" w:color="000000" w:fill="B7DEE8"/>
            <w:noWrap/>
            <w:vAlign w:val="bottom"/>
            <w:hideMark/>
          </w:tcPr>
          <w:p w14:paraId="0FF2D83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1.5%</w:t>
            </w:r>
          </w:p>
        </w:tc>
        <w:tc>
          <w:tcPr>
            <w:tcW w:w="0" w:type="auto"/>
            <w:tcBorders>
              <w:top w:val="nil"/>
              <w:left w:val="nil"/>
              <w:bottom w:val="single" w:sz="4" w:space="0" w:color="auto"/>
              <w:right w:val="single" w:sz="4" w:space="0" w:color="auto"/>
            </w:tcBorders>
            <w:shd w:val="clear" w:color="000000" w:fill="DAEEF3"/>
            <w:noWrap/>
            <w:vAlign w:val="bottom"/>
            <w:hideMark/>
          </w:tcPr>
          <w:p w14:paraId="725CE6C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2.95%</w:t>
            </w:r>
          </w:p>
        </w:tc>
      </w:tr>
      <w:tr w:rsidR="00F20114" w:rsidRPr="008E0033" w14:paraId="43B7AE75"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A1596C"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Greater Dandenong (C)</w:t>
            </w:r>
          </w:p>
        </w:tc>
        <w:tc>
          <w:tcPr>
            <w:tcW w:w="0" w:type="auto"/>
            <w:tcBorders>
              <w:top w:val="nil"/>
              <w:left w:val="nil"/>
              <w:bottom w:val="single" w:sz="4" w:space="0" w:color="auto"/>
              <w:right w:val="single" w:sz="4" w:space="0" w:color="auto"/>
            </w:tcBorders>
            <w:shd w:val="clear" w:color="000000" w:fill="FDE9D9"/>
            <w:noWrap/>
            <w:vAlign w:val="bottom"/>
            <w:hideMark/>
          </w:tcPr>
          <w:p w14:paraId="7BF0515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0.88%</w:t>
            </w:r>
          </w:p>
        </w:tc>
        <w:tc>
          <w:tcPr>
            <w:tcW w:w="0" w:type="auto"/>
            <w:tcBorders>
              <w:top w:val="nil"/>
              <w:left w:val="nil"/>
              <w:bottom w:val="single" w:sz="4" w:space="0" w:color="auto"/>
              <w:right w:val="single" w:sz="4" w:space="0" w:color="auto"/>
            </w:tcBorders>
            <w:shd w:val="clear" w:color="000000" w:fill="FDE9D9"/>
            <w:noWrap/>
            <w:vAlign w:val="bottom"/>
            <w:hideMark/>
          </w:tcPr>
          <w:p w14:paraId="4D6D268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1.98%</w:t>
            </w:r>
          </w:p>
        </w:tc>
        <w:tc>
          <w:tcPr>
            <w:tcW w:w="0" w:type="auto"/>
            <w:tcBorders>
              <w:top w:val="nil"/>
              <w:left w:val="nil"/>
              <w:bottom w:val="single" w:sz="4" w:space="0" w:color="auto"/>
              <w:right w:val="single" w:sz="4" w:space="0" w:color="auto"/>
            </w:tcBorders>
            <w:shd w:val="clear" w:color="000000" w:fill="FDE9D9"/>
            <w:noWrap/>
            <w:vAlign w:val="bottom"/>
            <w:hideMark/>
          </w:tcPr>
          <w:p w14:paraId="6F6D1F6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-1.10%</w:t>
            </w:r>
          </w:p>
        </w:tc>
        <w:tc>
          <w:tcPr>
            <w:tcW w:w="0" w:type="auto"/>
            <w:tcBorders>
              <w:top w:val="nil"/>
              <w:left w:val="nil"/>
              <w:bottom w:val="single" w:sz="4" w:space="0" w:color="auto"/>
              <w:right w:val="single" w:sz="4" w:space="0" w:color="auto"/>
            </w:tcBorders>
            <w:shd w:val="clear" w:color="000000" w:fill="FDE9D9"/>
            <w:noWrap/>
            <w:vAlign w:val="bottom"/>
            <w:hideMark/>
          </w:tcPr>
          <w:p w14:paraId="4859A78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1.79%</w:t>
            </w:r>
          </w:p>
        </w:tc>
        <w:tc>
          <w:tcPr>
            <w:tcW w:w="0" w:type="auto"/>
            <w:tcBorders>
              <w:top w:val="nil"/>
              <w:left w:val="nil"/>
              <w:bottom w:val="single" w:sz="4" w:space="0" w:color="auto"/>
              <w:right w:val="single" w:sz="4" w:space="0" w:color="auto"/>
            </w:tcBorders>
            <w:shd w:val="clear" w:color="000000" w:fill="FDE9D9"/>
            <w:noWrap/>
            <w:vAlign w:val="bottom"/>
            <w:hideMark/>
          </w:tcPr>
          <w:p w14:paraId="327BBC7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1.12%</w:t>
            </w:r>
          </w:p>
        </w:tc>
        <w:tc>
          <w:tcPr>
            <w:tcW w:w="0" w:type="auto"/>
            <w:tcBorders>
              <w:top w:val="nil"/>
              <w:left w:val="nil"/>
              <w:bottom w:val="single" w:sz="4" w:space="0" w:color="auto"/>
              <w:right w:val="single" w:sz="4" w:space="0" w:color="auto"/>
            </w:tcBorders>
            <w:shd w:val="clear" w:color="000000" w:fill="FDE9D9"/>
            <w:noWrap/>
            <w:vAlign w:val="bottom"/>
            <w:hideMark/>
          </w:tcPr>
          <w:p w14:paraId="4FFA928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0.67%</w:t>
            </w:r>
          </w:p>
        </w:tc>
        <w:tc>
          <w:tcPr>
            <w:tcW w:w="0" w:type="auto"/>
            <w:tcBorders>
              <w:top w:val="nil"/>
              <w:left w:val="nil"/>
              <w:bottom w:val="single" w:sz="4" w:space="0" w:color="auto"/>
              <w:right w:val="single" w:sz="4" w:space="0" w:color="auto"/>
            </w:tcBorders>
            <w:shd w:val="clear" w:color="000000" w:fill="B7DEE8"/>
            <w:noWrap/>
            <w:vAlign w:val="bottom"/>
            <w:hideMark/>
          </w:tcPr>
          <w:p w14:paraId="5AD30DD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1.94%</w:t>
            </w:r>
          </w:p>
        </w:tc>
        <w:tc>
          <w:tcPr>
            <w:tcW w:w="0" w:type="auto"/>
            <w:tcBorders>
              <w:top w:val="nil"/>
              <w:left w:val="nil"/>
              <w:bottom w:val="single" w:sz="4" w:space="0" w:color="auto"/>
              <w:right w:val="single" w:sz="4" w:space="0" w:color="auto"/>
            </w:tcBorders>
            <w:shd w:val="clear" w:color="000000" w:fill="B7DEE8"/>
            <w:noWrap/>
            <w:vAlign w:val="bottom"/>
            <w:hideMark/>
          </w:tcPr>
          <w:p w14:paraId="6DC6ED0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1.09%</w:t>
            </w:r>
          </w:p>
        </w:tc>
        <w:tc>
          <w:tcPr>
            <w:tcW w:w="0" w:type="auto"/>
            <w:tcBorders>
              <w:top w:val="nil"/>
              <w:left w:val="nil"/>
              <w:bottom w:val="single" w:sz="4" w:space="0" w:color="auto"/>
              <w:right w:val="single" w:sz="4" w:space="0" w:color="auto"/>
            </w:tcBorders>
            <w:shd w:val="clear" w:color="000000" w:fill="B7DEE8"/>
            <w:noWrap/>
            <w:vAlign w:val="bottom"/>
            <w:hideMark/>
          </w:tcPr>
          <w:p w14:paraId="03805CB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1.3%</w:t>
            </w:r>
          </w:p>
        </w:tc>
        <w:tc>
          <w:tcPr>
            <w:tcW w:w="0" w:type="auto"/>
            <w:tcBorders>
              <w:top w:val="nil"/>
              <w:left w:val="nil"/>
              <w:bottom w:val="single" w:sz="4" w:space="0" w:color="auto"/>
              <w:right w:val="single" w:sz="4" w:space="0" w:color="auto"/>
            </w:tcBorders>
            <w:shd w:val="clear" w:color="000000" w:fill="DAEEF3"/>
            <w:noWrap/>
            <w:vAlign w:val="bottom"/>
            <w:hideMark/>
          </w:tcPr>
          <w:p w14:paraId="6E72C33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4.17%</w:t>
            </w:r>
          </w:p>
        </w:tc>
      </w:tr>
      <w:tr w:rsidR="00F20114" w:rsidRPr="008E0033" w14:paraId="6659E69E"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AC8F0C"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Greater Geelong (C)</w:t>
            </w:r>
          </w:p>
        </w:tc>
        <w:tc>
          <w:tcPr>
            <w:tcW w:w="0" w:type="auto"/>
            <w:tcBorders>
              <w:top w:val="nil"/>
              <w:left w:val="nil"/>
              <w:bottom w:val="single" w:sz="4" w:space="0" w:color="auto"/>
              <w:right w:val="single" w:sz="4" w:space="0" w:color="auto"/>
            </w:tcBorders>
            <w:shd w:val="clear" w:color="000000" w:fill="FDE9D9"/>
            <w:noWrap/>
            <w:vAlign w:val="bottom"/>
            <w:hideMark/>
          </w:tcPr>
          <w:p w14:paraId="0EF8C9A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1.57%</w:t>
            </w:r>
          </w:p>
        </w:tc>
        <w:tc>
          <w:tcPr>
            <w:tcW w:w="0" w:type="auto"/>
            <w:tcBorders>
              <w:top w:val="nil"/>
              <w:left w:val="nil"/>
              <w:bottom w:val="single" w:sz="4" w:space="0" w:color="auto"/>
              <w:right w:val="single" w:sz="4" w:space="0" w:color="auto"/>
            </w:tcBorders>
            <w:shd w:val="clear" w:color="000000" w:fill="FDE9D9"/>
            <w:noWrap/>
            <w:vAlign w:val="bottom"/>
            <w:hideMark/>
          </w:tcPr>
          <w:p w14:paraId="795DD78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1.61%</w:t>
            </w:r>
          </w:p>
        </w:tc>
        <w:tc>
          <w:tcPr>
            <w:tcW w:w="0" w:type="auto"/>
            <w:tcBorders>
              <w:top w:val="nil"/>
              <w:left w:val="nil"/>
              <w:bottom w:val="single" w:sz="4" w:space="0" w:color="auto"/>
              <w:right w:val="single" w:sz="4" w:space="0" w:color="auto"/>
            </w:tcBorders>
            <w:shd w:val="clear" w:color="000000" w:fill="FDE9D9"/>
            <w:noWrap/>
            <w:vAlign w:val="bottom"/>
            <w:hideMark/>
          </w:tcPr>
          <w:p w14:paraId="20221C2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-0.05%</w:t>
            </w:r>
          </w:p>
        </w:tc>
        <w:tc>
          <w:tcPr>
            <w:tcW w:w="0" w:type="auto"/>
            <w:tcBorders>
              <w:top w:val="nil"/>
              <w:left w:val="nil"/>
              <w:bottom w:val="single" w:sz="4" w:space="0" w:color="auto"/>
              <w:right w:val="single" w:sz="4" w:space="0" w:color="auto"/>
            </w:tcBorders>
            <w:shd w:val="clear" w:color="000000" w:fill="FDE9D9"/>
            <w:noWrap/>
            <w:vAlign w:val="bottom"/>
            <w:hideMark/>
          </w:tcPr>
          <w:p w14:paraId="579FC4C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1.55%</w:t>
            </w:r>
          </w:p>
        </w:tc>
        <w:tc>
          <w:tcPr>
            <w:tcW w:w="0" w:type="auto"/>
            <w:tcBorders>
              <w:top w:val="nil"/>
              <w:left w:val="nil"/>
              <w:bottom w:val="single" w:sz="4" w:space="0" w:color="auto"/>
              <w:right w:val="single" w:sz="4" w:space="0" w:color="auto"/>
            </w:tcBorders>
            <w:shd w:val="clear" w:color="000000" w:fill="FDE9D9"/>
            <w:noWrap/>
            <w:vAlign w:val="bottom"/>
            <w:hideMark/>
          </w:tcPr>
          <w:p w14:paraId="274D361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1.80%</w:t>
            </w:r>
          </w:p>
        </w:tc>
        <w:tc>
          <w:tcPr>
            <w:tcW w:w="0" w:type="auto"/>
            <w:tcBorders>
              <w:top w:val="nil"/>
              <w:left w:val="nil"/>
              <w:bottom w:val="single" w:sz="4" w:space="0" w:color="auto"/>
              <w:right w:val="single" w:sz="4" w:space="0" w:color="auto"/>
            </w:tcBorders>
            <w:shd w:val="clear" w:color="000000" w:fill="FDE9D9"/>
            <w:noWrap/>
            <w:vAlign w:val="bottom"/>
            <w:hideMark/>
          </w:tcPr>
          <w:p w14:paraId="582055A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-0.25%</w:t>
            </w:r>
          </w:p>
        </w:tc>
        <w:tc>
          <w:tcPr>
            <w:tcW w:w="0" w:type="auto"/>
            <w:tcBorders>
              <w:top w:val="nil"/>
              <w:left w:val="nil"/>
              <w:bottom w:val="single" w:sz="4" w:space="0" w:color="auto"/>
              <w:right w:val="single" w:sz="4" w:space="0" w:color="auto"/>
            </w:tcBorders>
            <w:shd w:val="clear" w:color="000000" w:fill="B7DEE8"/>
            <w:noWrap/>
            <w:vAlign w:val="bottom"/>
            <w:hideMark/>
          </w:tcPr>
          <w:p w14:paraId="6B84122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3.00%</w:t>
            </w:r>
          </w:p>
        </w:tc>
        <w:tc>
          <w:tcPr>
            <w:tcW w:w="0" w:type="auto"/>
            <w:tcBorders>
              <w:top w:val="nil"/>
              <w:left w:val="nil"/>
              <w:bottom w:val="single" w:sz="4" w:space="0" w:color="auto"/>
              <w:right w:val="single" w:sz="4" w:space="0" w:color="auto"/>
            </w:tcBorders>
            <w:shd w:val="clear" w:color="000000" w:fill="B7DEE8"/>
            <w:noWrap/>
            <w:vAlign w:val="bottom"/>
            <w:hideMark/>
          </w:tcPr>
          <w:p w14:paraId="44B984D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0.05%</w:t>
            </w:r>
          </w:p>
        </w:tc>
        <w:tc>
          <w:tcPr>
            <w:tcW w:w="0" w:type="auto"/>
            <w:tcBorders>
              <w:top w:val="nil"/>
              <w:left w:val="nil"/>
              <w:bottom w:val="single" w:sz="4" w:space="0" w:color="auto"/>
              <w:right w:val="single" w:sz="4" w:space="0" w:color="auto"/>
            </w:tcBorders>
            <w:shd w:val="clear" w:color="000000" w:fill="B7DEE8"/>
            <w:noWrap/>
            <w:vAlign w:val="bottom"/>
            <w:hideMark/>
          </w:tcPr>
          <w:p w14:paraId="1C29ECC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w:t>
            </w:r>
          </w:p>
        </w:tc>
        <w:tc>
          <w:tcPr>
            <w:tcW w:w="0" w:type="auto"/>
            <w:tcBorders>
              <w:top w:val="nil"/>
              <w:left w:val="nil"/>
              <w:bottom w:val="single" w:sz="4" w:space="0" w:color="auto"/>
              <w:right w:val="single" w:sz="4" w:space="0" w:color="auto"/>
            </w:tcBorders>
            <w:shd w:val="clear" w:color="000000" w:fill="DAEEF3"/>
            <w:noWrap/>
            <w:vAlign w:val="bottom"/>
            <w:hideMark/>
          </w:tcPr>
          <w:p w14:paraId="0F6D120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3.10%</w:t>
            </w:r>
          </w:p>
        </w:tc>
      </w:tr>
      <w:tr w:rsidR="00F20114" w:rsidRPr="008E0033" w14:paraId="115684C0"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F12533"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Greater Shepparton (C)</w:t>
            </w:r>
          </w:p>
        </w:tc>
        <w:tc>
          <w:tcPr>
            <w:tcW w:w="0" w:type="auto"/>
            <w:tcBorders>
              <w:top w:val="nil"/>
              <w:left w:val="nil"/>
              <w:bottom w:val="single" w:sz="4" w:space="0" w:color="auto"/>
              <w:right w:val="single" w:sz="4" w:space="0" w:color="auto"/>
            </w:tcBorders>
            <w:shd w:val="clear" w:color="000000" w:fill="FDE9D9"/>
            <w:noWrap/>
            <w:vAlign w:val="bottom"/>
            <w:hideMark/>
          </w:tcPr>
          <w:p w14:paraId="3B2CDB4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0.27%</w:t>
            </w:r>
          </w:p>
        </w:tc>
        <w:tc>
          <w:tcPr>
            <w:tcW w:w="0" w:type="auto"/>
            <w:tcBorders>
              <w:top w:val="nil"/>
              <w:left w:val="nil"/>
              <w:bottom w:val="single" w:sz="4" w:space="0" w:color="auto"/>
              <w:right w:val="single" w:sz="4" w:space="0" w:color="auto"/>
            </w:tcBorders>
            <w:shd w:val="clear" w:color="000000" w:fill="FDE9D9"/>
            <w:noWrap/>
            <w:vAlign w:val="bottom"/>
            <w:hideMark/>
          </w:tcPr>
          <w:p w14:paraId="42E55D7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0.83%</w:t>
            </w:r>
          </w:p>
        </w:tc>
        <w:tc>
          <w:tcPr>
            <w:tcW w:w="0" w:type="auto"/>
            <w:tcBorders>
              <w:top w:val="nil"/>
              <w:left w:val="nil"/>
              <w:bottom w:val="single" w:sz="4" w:space="0" w:color="auto"/>
              <w:right w:val="single" w:sz="4" w:space="0" w:color="auto"/>
            </w:tcBorders>
            <w:shd w:val="clear" w:color="000000" w:fill="FDE9D9"/>
            <w:noWrap/>
            <w:vAlign w:val="bottom"/>
            <w:hideMark/>
          </w:tcPr>
          <w:p w14:paraId="744008F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-0.55%</w:t>
            </w:r>
          </w:p>
        </w:tc>
        <w:tc>
          <w:tcPr>
            <w:tcW w:w="0" w:type="auto"/>
            <w:tcBorders>
              <w:top w:val="nil"/>
              <w:left w:val="nil"/>
              <w:bottom w:val="single" w:sz="4" w:space="0" w:color="auto"/>
              <w:right w:val="single" w:sz="4" w:space="0" w:color="auto"/>
            </w:tcBorders>
            <w:shd w:val="clear" w:color="000000" w:fill="FDE9D9"/>
            <w:noWrap/>
            <w:vAlign w:val="bottom"/>
            <w:hideMark/>
          </w:tcPr>
          <w:p w14:paraId="57A5621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0.71%</w:t>
            </w:r>
          </w:p>
        </w:tc>
        <w:tc>
          <w:tcPr>
            <w:tcW w:w="0" w:type="auto"/>
            <w:tcBorders>
              <w:top w:val="nil"/>
              <w:left w:val="nil"/>
              <w:bottom w:val="single" w:sz="4" w:space="0" w:color="auto"/>
              <w:right w:val="single" w:sz="4" w:space="0" w:color="auto"/>
            </w:tcBorders>
            <w:shd w:val="clear" w:color="000000" w:fill="FDE9D9"/>
            <w:noWrap/>
            <w:vAlign w:val="bottom"/>
            <w:hideMark/>
          </w:tcPr>
          <w:p w14:paraId="7EB1158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0.69%</w:t>
            </w:r>
          </w:p>
        </w:tc>
        <w:tc>
          <w:tcPr>
            <w:tcW w:w="0" w:type="auto"/>
            <w:tcBorders>
              <w:top w:val="nil"/>
              <w:left w:val="nil"/>
              <w:bottom w:val="single" w:sz="4" w:space="0" w:color="auto"/>
              <w:right w:val="single" w:sz="4" w:space="0" w:color="auto"/>
            </w:tcBorders>
            <w:shd w:val="clear" w:color="000000" w:fill="FDE9D9"/>
            <w:noWrap/>
            <w:vAlign w:val="bottom"/>
            <w:hideMark/>
          </w:tcPr>
          <w:p w14:paraId="6A948C1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0.02%</w:t>
            </w:r>
          </w:p>
        </w:tc>
        <w:tc>
          <w:tcPr>
            <w:tcW w:w="0" w:type="auto"/>
            <w:tcBorders>
              <w:top w:val="nil"/>
              <w:left w:val="nil"/>
              <w:bottom w:val="single" w:sz="4" w:space="0" w:color="auto"/>
              <w:right w:val="single" w:sz="4" w:space="0" w:color="auto"/>
            </w:tcBorders>
            <w:shd w:val="clear" w:color="000000" w:fill="B7DEE8"/>
            <w:noWrap/>
            <w:vAlign w:val="bottom"/>
            <w:hideMark/>
          </w:tcPr>
          <w:p w14:paraId="5FCF9F0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2.48%</w:t>
            </w:r>
          </w:p>
        </w:tc>
        <w:tc>
          <w:tcPr>
            <w:tcW w:w="0" w:type="auto"/>
            <w:tcBorders>
              <w:top w:val="nil"/>
              <w:left w:val="nil"/>
              <w:bottom w:val="single" w:sz="4" w:space="0" w:color="auto"/>
              <w:right w:val="single" w:sz="4" w:space="0" w:color="auto"/>
            </w:tcBorders>
            <w:shd w:val="clear" w:color="000000" w:fill="B7DEE8"/>
            <w:noWrap/>
            <w:vAlign w:val="bottom"/>
            <w:hideMark/>
          </w:tcPr>
          <w:p w14:paraId="3B14CAB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0.55%</w:t>
            </w:r>
          </w:p>
        </w:tc>
        <w:tc>
          <w:tcPr>
            <w:tcW w:w="0" w:type="auto"/>
            <w:tcBorders>
              <w:top w:val="nil"/>
              <w:left w:val="nil"/>
              <w:bottom w:val="single" w:sz="4" w:space="0" w:color="auto"/>
              <w:right w:val="single" w:sz="4" w:space="0" w:color="auto"/>
            </w:tcBorders>
            <w:shd w:val="clear" w:color="000000" w:fill="B7DEE8"/>
            <w:noWrap/>
            <w:vAlign w:val="bottom"/>
            <w:hideMark/>
          </w:tcPr>
          <w:p w14:paraId="27B20CB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w:t>
            </w:r>
          </w:p>
        </w:tc>
        <w:tc>
          <w:tcPr>
            <w:tcW w:w="0" w:type="auto"/>
            <w:tcBorders>
              <w:top w:val="nil"/>
              <w:left w:val="nil"/>
              <w:bottom w:val="single" w:sz="4" w:space="0" w:color="auto"/>
              <w:right w:val="single" w:sz="4" w:space="0" w:color="auto"/>
            </w:tcBorders>
            <w:shd w:val="clear" w:color="000000" w:fill="DAEEF3"/>
            <w:noWrap/>
            <w:vAlign w:val="bottom"/>
            <w:hideMark/>
          </w:tcPr>
          <w:p w14:paraId="749EF62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3.62%</w:t>
            </w:r>
          </w:p>
        </w:tc>
      </w:tr>
      <w:tr w:rsidR="00F20114" w:rsidRPr="008E0033" w14:paraId="551DEA31"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2F64FC"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Hepburn (S)</w:t>
            </w:r>
          </w:p>
        </w:tc>
        <w:tc>
          <w:tcPr>
            <w:tcW w:w="0" w:type="auto"/>
            <w:tcBorders>
              <w:top w:val="nil"/>
              <w:left w:val="nil"/>
              <w:bottom w:val="single" w:sz="4" w:space="0" w:color="auto"/>
              <w:right w:val="single" w:sz="4" w:space="0" w:color="auto"/>
            </w:tcBorders>
            <w:shd w:val="clear" w:color="000000" w:fill="FDE9D9"/>
            <w:noWrap/>
            <w:vAlign w:val="bottom"/>
            <w:hideMark/>
          </w:tcPr>
          <w:p w14:paraId="1841E9F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0.80%</w:t>
            </w:r>
          </w:p>
        </w:tc>
        <w:tc>
          <w:tcPr>
            <w:tcW w:w="0" w:type="auto"/>
            <w:tcBorders>
              <w:top w:val="nil"/>
              <w:left w:val="nil"/>
              <w:bottom w:val="single" w:sz="4" w:space="0" w:color="auto"/>
              <w:right w:val="single" w:sz="4" w:space="0" w:color="auto"/>
            </w:tcBorders>
            <w:shd w:val="clear" w:color="000000" w:fill="FDE9D9"/>
            <w:noWrap/>
            <w:vAlign w:val="bottom"/>
            <w:hideMark/>
          </w:tcPr>
          <w:p w14:paraId="33B9A17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0.54%</w:t>
            </w:r>
          </w:p>
        </w:tc>
        <w:tc>
          <w:tcPr>
            <w:tcW w:w="0" w:type="auto"/>
            <w:tcBorders>
              <w:top w:val="nil"/>
              <w:left w:val="nil"/>
              <w:bottom w:val="single" w:sz="4" w:space="0" w:color="auto"/>
              <w:right w:val="single" w:sz="4" w:space="0" w:color="auto"/>
            </w:tcBorders>
            <w:shd w:val="clear" w:color="000000" w:fill="FDE9D9"/>
            <w:noWrap/>
            <w:vAlign w:val="bottom"/>
            <w:hideMark/>
          </w:tcPr>
          <w:p w14:paraId="7373376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0.26%</w:t>
            </w:r>
          </w:p>
        </w:tc>
        <w:tc>
          <w:tcPr>
            <w:tcW w:w="0" w:type="auto"/>
            <w:tcBorders>
              <w:top w:val="nil"/>
              <w:left w:val="nil"/>
              <w:bottom w:val="single" w:sz="4" w:space="0" w:color="auto"/>
              <w:right w:val="single" w:sz="4" w:space="0" w:color="auto"/>
            </w:tcBorders>
            <w:shd w:val="clear" w:color="000000" w:fill="FDE9D9"/>
            <w:noWrap/>
            <w:vAlign w:val="bottom"/>
            <w:hideMark/>
          </w:tcPr>
          <w:p w14:paraId="2622467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0.54%</w:t>
            </w:r>
          </w:p>
        </w:tc>
        <w:tc>
          <w:tcPr>
            <w:tcW w:w="0" w:type="auto"/>
            <w:tcBorders>
              <w:top w:val="nil"/>
              <w:left w:val="nil"/>
              <w:bottom w:val="single" w:sz="4" w:space="0" w:color="auto"/>
              <w:right w:val="single" w:sz="4" w:space="0" w:color="auto"/>
            </w:tcBorders>
            <w:shd w:val="clear" w:color="000000" w:fill="FDE9D9"/>
            <w:noWrap/>
            <w:vAlign w:val="bottom"/>
            <w:hideMark/>
          </w:tcPr>
          <w:p w14:paraId="0BF5EC1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0.88%</w:t>
            </w:r>
          </w:p>
        </w:tc>
        <w:tc>
          <w:tcPr>
            <w:tcW w:w="0" w:type="auto"/>
            <w:tcBorders>
              <w:top w:val="nil"/>
              <w:left w:val="nil"/>
              <w:bottom w:val="single" w:sz="4" w:space="0" w:color="auto"/>
              <w:right w:val="single" w:sz="4" w:space="0" w:color="auto"/>
            </w:tcBorders>
            <w:shd w:val="clear" w:color="000000" w:fill="FDE9D9"/>
            <w:noWrap/>
            <w:vAlign w:val="bottom"/>
            <w:hideMark/>
          </w:tcPr>
          <w:p w14:paraId="746E21C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-0.34%</w:t>
            </w:r>
          </w:p>
        </w:tc>
        <w:tc>
          <w:tcPr>
            <w:tcW w:w="0" w:type="auto"/>
            <w:tcBorders>
              <w:top w:val="nil"/>
              <w:left w:val="nil"/>
              <w:bottom w:val="single" w:sz="4" w:space="0" w:color="auto"/>
              <w:right w:val="single" w:sz="4" w:space="0" w:color="auto"/>
            </w:tcBorders>
            <w:shd w:val="clear" w:color="000000" w:fill="B7DEE8"/>
            <w:noWrap/>
            <w:vAlign w:val="bottom"/>
            <w:hideMark/>
          </w:tcPr>
          <w:p w14:paraId="4013258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3.32%</w:t>
            </w:r>
          </w:p>
        </w:tc>
        <w:tc>
          <w:tcPr>
            <w:tcW w:w="0" w:type="auto"/>
            <w:tcBorders>
              <w:top w:val="nil"/>
              <w:left w:val="nil"/>
              <w:bottom w:val="single" w:sz="4" w:space="0" w:color="auto"/>
              <w:right w:val="single" w:sz="4" w:space="0" w:color="auto"/>
            </w:tcBorders>
            <w:shd w:val="clear" w:color="000000" w:fill="B7DEE8"/>
            <w:noWrap/>
            <w:vAlign w:val="bottom"/>
            <w:hideMark/>
          </w:tcPr>
          <w:p w14:paraId="3992F86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-0.26%</w:t>
            </w:r>
          </w:p>
        </w:tc>
        <w:tc>
          <w:tcPr>
            <w:tcW w:w="0" w:type="auto"/>
            <w:tcBorders>
              <w:top w:val="nil"/>
              <w:left w:val="nil"/>
              <w:bottom w:val="single" w:sz="4" w:space="0" w:color="auto"/>
              <w:right w:val="single" w:sz="4" w:space="0" w:color="auto"/>
            </w:tcBorders>
            <w:shd w:val="clear" w:color="000000" w:fill="B7DEE8"/>
            <w:noWrap/>
            <w:vAlign w:val="bottom"/>
            <w:hideMark/>
          </w:tcPr>
          <w:p w14:paraId="5650F4F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0.9%</w:t>
            </w:r>
          </w:p>
        </w:tc>
        <w:tc>
          <w:tcPr>
            <w:tcW w:w="0" w:type="auto"/>
            <w:tcBorders>
              <w:top w:val="nil"/>
              <w:left w:val="nil"/>
              <w:bottom w:val="single" w:sz="4" w:space="0" w:color="auto"/>
              <w:right w:val="single" w:sz="4" w:space="0" w:color="auto"/>
            </w:tcBorders>
            <w:shd w:val="clear" w:color="000000" w:fill="DAEEF3"/>
            <w:noWrap/>
            <w:vAlign w:val="bottom"/>
            <w:hideMark/>
          </w:tcPr>
          <w:p w14:paraId="7AD193B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2.78%</w:t>
            </w:r>
          </w:p>
        </w:tc>
      </w:tr>
      <w:tr w:rsidR="00F20114" w:rsidRPr="008E0033" w14:paraId="09B8872D"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AE318A"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Hindmarsh (S)</w:t>
            </w:r>
          </w:p>
        </w:tc>
        <w:tc>
          <w:tcPr>
            <w:tcW w:w="0" w:type="auto"/>
            <w:tcBorders>
              <w:top w:val="nil"/>
              <w:left w:val="nil"/>
              <w:bottom w:val="single" w:sz="4" w:space="0" w:color="auto"/>
              <w:right w:val="single" w:sz="4" w:space="0" w:color="auto"/>
            </w:tcBorders>
            <w:shd w:val="clear" w:color="000000" w:fill="FDE9D9"/>
            <w:noWrap/>
            <w:vAlign w:val="bottom"/>
            <w:hideMark/>
          </w:tcPr>
          <w:p w14:paraId="70AF6FD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0.34%</w:t>
            </w:r>
          </w:p>
        </w:tc>
        <w:tc>
          <w:tcPr>
            <w:tcW w:w="0" w:type="auto"/>
            <w:tcBorders>
              <w:top w:val="nil"/>
              <w:left w:val="nil"/>
              <w:bottom w:val="single" w:sz="4" w:space="0" w:color="auto"/>
              <w:right w:val="single" w:sz="4" w:space="0" w:color="auto"/>
            </w:tcBorders>
            <w:shd w:val="clear" w:color="000000" w:fill="FDE9D9"/>
            <w:noWrap/>
            <w:vAlign w:val="bottom"/>
            <w:hideMark/>
          </w:tcPr>
          <w:p w14:paraId="156397B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-0.88%</w:t>
            </w:r>
          </w:p>
        </w:tc>
        <w:tc>
          <w:tcPr>
            <w:tcW w:w="0" w:type="auto"/>
            <w:tcBorders>
              <w:top w:val="nil"/>
              <w:left w:val="nil"/>
              <w:bottom w:val="single" w:sz="4" w:space="0" w:color="auto"/>
              <w:right w:val="single" w:sz="4" w:space="0" w:color="auto"/>
            </w:tcBorders>
            <w:shd w:val="clear" w:color="000000" w:fill="FDE9D9"/>
            <w:noWrap/>
            <w:vAlign w:val="bottom"/>
            <w:hideMark/>
          </w:tcPr>
          <w:p w14:paraId="28BF983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1.21%</w:t>
            </w:r>
          </w:p>
        </w:tc>
        <w:tc>
          <w:tcPr>
            <w:tcW w:w="0" w:type="auto"/>
            <w:tcBorders>
              <w:top w:val="nil"/>
              <w:left w:val="nil"/>
              <w:bottom w:val="single" w:sz="4" w:space="0" w:color="auto"/>
              <w:right w:val="single" w:sz="4" w:space="0" w:color="auto"/>
            </w:tcBorders>
            <w:shd w:val="clear" w:color="000000" w:fill="FDE9D9"/>
            <w:noWrap/>
            <w:vAlign w:val="bottom"/>
            <w:hideMark/>
          </w:tcPr>
          <w:p w14:paraId="593EC52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-1.19%</w:t>
            </w:r>
          </w:p>
        </w:tc>
        <w:tc>
          <w:tcPr>
            <w:tcW w:w="0" w:type="auto"/>
            <w:tcBorders>
              <w:top w:val="nil"/>
              <w:left w:val="nil"/>
              <w:bottom w:val="single" w:sz="4" w:space="0" w:color="auto"/>
              <w:right w:val="single" w:sz="4" w:space="0" w:color="auto"/>
            </w:tcBorders>
            <w:shd w:val="clear" w:color="000000" w:fill="FDE9D9"/>
            <w:noWrap/>
            <w:vAlign w:val="bottom"/>
            <w:hideMark/>
          </w:tcPr>
          <w:p w14:paraId="581D4C5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0.05%</w:t>
            </w:r>
          </w:p>
        </w:tc>
        <w:tc>
          <w:tcPr>
            <w:tcW w:w="0" w:type="auto"/>
            <w:tcBorders>
              <w:top w:val="nil"/>
              <w:left w:val="nil"/>
              <w:bottom w:val="single" w:sz="4" w:space="0" w:color="auto"/>
              <w:right w:val="single" w:sz="4" w:space="0" w:color="auto"/>
            </w:tcBorders>
            <w:shd w:val="clear" w:color="000000" w:fill="FDE9D9"/>
            <w:noWrap/>
            <w:vAlign w:val="bottom"/>
            <w:hideMark/>
          </w:tcPr>
          <w:p w14:paraId="77069F2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-1.24%</w:t>
            </w:r>
          </w:p>
        </w:tc>
        <w:tc>
          <w:tcPr>
            <w:tcW w:w="0" w:type="auto"/>
            <w:tcBorders>
              <w:top w:val="nil"/>
              <w:left w:val="nil"/>
              <w:bottom w:val="single" w:sz="4" w:space="0" w:color="auto"/>
              <w:right w:val="single" w:sz="4" w:space="0" w:color="auto"/>
            </w:tcBorders>
            <w:shd w:val="clear" w:color="000000" w:fill="B7DEE8"/>
            <w:noWrap/>
            <w:vAlign w:val="bottom"/>
            <w:hideMark/>
          </w:tcPr>
          <w:p w14:paraId="5413F36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4.32%</w:t>
            </w:r>
          </w:p>
        </w:tc>
        <w:tc>
          <w:tcPr>
            <w:tcW w:w="0" w:type="auto"/>
            <w:tcBorders>
              <w:top w:val="nil"/>
              <w:left w:val="nil"/>
              <w:bottom w:val="single" w:sz="4" w:space="0" w:color="auto"/>
              <w:right w:val="single" w:sz="4" w:space="0" w:color="auto"/>
            </w:tcBorders>
            <w:shd w:val="clear" w:color="000000" w:fill="B7DEE8"/>
            <w:noWrap/>
            <w:vAlign w:val="bottom"/>
            <w:hideMark/>
          </w:tcPr>
          <w:p w14:paraId="1C6CBF3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-1.22%</w:t>
            </w:r>
          </w:p>
        </w:tc>
        <w:tc>
          <w:tcPr>
            <w:tcW w:w="0" w:type="auto"/>
            <w:tcBorders>
              <w:top w:val="nil"/>
              <w:left w:val="nil"/>
              <w:bottom w:val="single" w:sz="4" w:space="0" w:color="auto"/>
              <w:right w:val="single" w:sz="4" w:space="0" w:color="auto"/>
            </w:tcBorders>
            <w:shd w:val="clear" w:color="000000" w:fill="B7DEE8"/>
            <w:noWrap/>
            <w:vAlign w:val="bottom"/>
            <w:hideMark/>
          </w:tcPr>
          <w:p w14:paraId="12F02E7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w:t>
            </w:r>
          </w:p>
        </w:tc>
        <w:tc>
          <w:tcPr>
            <w:tcW w:w="0" w:type="auto"/>
            <w:tcBorders>
              <w:top w:val="nil"/>
              <w:left w:val="nil"/>
              <w:bottom w:val="single" w:sz="4" w:space="0" w:color="auto"/>
              <w:right w:val="single" w:sz="4" w:space="0" w:color="auto"/>
            </w:tcBorders>
            <w:shd w:val="clear" w:color="000000" w:fill="DAEEF3"/>
            <w:noWrap/>
            <w:vAlign w:val="bottom"/>
            <w:hideMark/>
          </w:tcPr>
          <w:p w14:paraId="23337FB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1.80%</w:t>
            </w:r>
          </w:p>
        </w:tc>
      </w:tr>
      <w:tr w:rsidR="00F20114" w:rsidRPr="008E0033" w14:paraId="2FB38B9A"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267316"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Hobsons Bay (C)</w:t>
            </w:r>
          </w:p>
        </w:tc>
        <w:tc>
          <w:tcPr>
            <w:tcW w:w="0" w:type="auto"/>
            <w:tcBorders>
              <w:top w:val="nil"/>
              <w:left w:val="nil"/>
              <w:bottom w:val="single" w:sz="4" w:space="0" w:color="auto"/>
              <w:right w:val="single" w:sz="4" w:space="0" w:color="auto"/>
            </w:tcBorders>
            <w:shd w:val="clear" w:color="000000" w:fill="FDE9D9"/>
            <w:noWrap/>
            <w:vAlign w:val="bottom"/>
            <w:hideMark/>
          </w:tcPr>
          <w:p w14:paraId="6919CD2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0.55%</w:t>
            </w:r>
          </w:p>
        </w:tc>
        <w:tc>
          <w:tcPr>
            <w:tcW w:w="0" w:type="auto"/>
            <w:tcBorders>
              <w:top w:val="nil"/>
              <w:left w:val="nil"/>
              <w:bottom w:val="single" w:sz="4" w:space="0" w:color="auto"/>
              <w:right w:val="single" w:sz="4" w:space="0" w:color="auto"/>
            </w:tcBorders>
            <w:shd w:val="clear" w:color="000000" w:fill="FDE9D9"/>
            <w:noWrap/>
            <w:vAlign w:val="bottom"/>
            <w:hideMark/>
          </w:tcPr>
          <w:p w14:paraId="1DDF8FC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1.95%</w:t>
            </w:r>
          </w:p>
        </w:tc>
        <w:tc>
          <w:tcPr>
            <w:tcW w:w="0" w:type="auto"/>
            <w:tcBorders>
              <w:top w:val="nil"/>
              <w:left w:val="nil"/>
              <w:bottom w:val="single" w:sz="4" w:space="0" w:color="auto"/>
              <w:right w:val="single" w:sz="4" w:space="0" w:color="auto"/>
            </w:tcBorders>
            <w:shd w:val="clear" w:color="000000" w:fill="FDE9D9"/>
            <w:noWrap/>
            <w:vAlign w:val="bottom"/>
            <w:hideMark/>
          </w:tcPr>
          <w:p w14:paraId="249AC95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-1.40%</w:t>
            </w:r>
          </w:p>
        </w:tc>
        <w:tc>
          <w:tcPr>
            <w:tcW w:w="0" w:type="auto"/>
            <w:tcBorders>
              <w:top w:val="nil"/>
              <w:left w:val="nil"/>
              <w:bottom w:val="single" w:sz="4" w:space="0" w:color="auto"/>
              <w:right w:val="single" w:sz="4" w:space="0" w:color="auto"/>
            </w:tcBorders>
            <w:shd w:val="clear" w:color="000000" w:fill="FDE9D9"/>
            <w:noWrap/>
            <w:vAlign w:val="bottom"/>
            <w:hideMark/>
          </w:tcPr>
          <w:p w14:paraId="612BBDF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1.61%</w:t>
            </w:r>
          </w:p>
        </w:tc>
        <w:tc>
          <w:tcPr>
            <w:tcW w:w="0" w:type="auto"/>
            <w:tcBorders>
              <w:top w:val="nil"/>
              <w:left w:val="nil"/>
              <w:bottom w:val="single" w:sz="4" w:space="0" w:color="auto"/>
              <w:right w:val="single" w:sz="4" w:space="0" w:color="auto"/>
            </w:tcBorders>
            <w:shd w:val="clear" w:color="000000" w:fill="FDE9D9"/>
            <w:noWrap/>
            <w:vAlign w:val="bottom"/>
            <w:hideMark/>
          </w:tcPr>
          <w:p w14:paraId="66247E8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0.94%</w:t>
            </w:r>
          </w:p>
        </w:tc>
        <w:tc>
          <w:tcPr>
            <w:tcW w:w="0" w:type="auto"/>
            <w:tcBorders>
              <w:top w:val="nil"/>
              <w:left w:val="nil"/>
              <w:bottom w:val="single" w:sz="4" w:space="0" w:color="auto"/>
              <w:right w:val="single" w:sz="4" w:space="0" w:color="auto"/>
            </w:tcBorders>
            <w:shd w:val="clear" w:color="000000" w:fill="FDE9D9"/>
            <w:noWrap/>
            <w:vAlign w:val="bottom"/>
            <w:hideMark/>
          </w:tcPr>
          <w:p w14:paraId="211614C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0.68%</w:t>
            </w:r>
          </w:p>
        </w:tc>
        <w:tc>
          <w:tcPr>
            <w:tcW w:w="0" w:type="auto"/>
            <w:tcBorders>
              <w:top w:val="nil"/>
              <w:left w:val="nil"/>
              <w:bottom w:val="single" w:sz="4" w:space="0" w:color="auto"/>
              <w:right w:val="single" w:sz="4" w:space="0" w:color="auto"/>
            </w:tcBorders>
            <w:shd w:val="clear" w:color="000000" w:fill="B7DEE8"/>
            <w:noWrap/>
            <w:vAlign w:val="bottom"/>
            <w:hideMark/>
          </w:tcPr>
          <w:p w14:paraId="6727B7B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1.63%</w:t>
            </w:r>
          </w:p>
        </w:tc>
        <w:tc>
          <w:tcPr>
            <w:tcW w:w="0" w:type="auto"/>
            <w:tcBorders>
              <w:top w:val="nil"/>
              <w:left w:val="nil"/>
              <w:bottom w:val="single" w:sz="4" w:space="0" w:color="auto"/>
              <w:right w:val="single" w:sz="4" w:space="0" w:color="auto"/>
            </w:tcBorders>
            <w:shd w:val="clear" w:color="000000" w:fill="B7DEE8"/>
            <w:noWrap/>
            <w:vAlign w:val="bottom"/>
            <w:hideMark/>
          </w:tcPr>
          <w:p w14:paraId="79BF9B6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1.39%</w:t>
            </w:r>
          </w:p>
        </w:tc>
        <w:tc>
          <w:tcPr>
            <w:tcW w:w="0" w:type="auto"/>
            <w:tcBorders>
              <w:top w:val="nil"/>
              <w:left w:val="nil"/>
              <w:bottom w:val="single" w:sz="4" w:space="0" w:color="auto"/>
              <w:right w:val="single" w:sz="4" w:space="0" w:color="auto"/>
            </w:tcBorders>
            <w:shd w:val="clear" w:color="000000" w:fill="B7DEE8"/>
            <w:noWrap/>
            <w:vAlign w:val="bottom"/>
            <w:hideMark/>
          </w:tcPr>
          <w:p w14:paraId="46B9B9E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w:t>
            </w:r>
          </w:p>
        </w:tc>
        <w:tc>
          <w:tcPr>
            <w:tcW w:w="0" w:type="auto"/>
            <w:tcBorders>
              <w:top w:val="nil"/>
              <w:left w:val="nil"/>
              <w:bottom w:val="single" w:sz="4" w:space="0" w:color="auto"/>
              <w:right w:val="single" w:sz="4" w:space="0" w:color="auto"/>
            </w:tcBorders>
            <w:shd w:val="clear" w:color="000000" w:fill="DAEEF3"/>
            <w:noWrap/>
            <w:vAlign w:val="bottom"/>
            <w:hideMark/>
          </w:tcPr>
          <w:p w14:paraId="5E1D939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4.49%</w:t>
            </w:r>
          </w:p>
        </w:tc>
      </w:tr>
      <w:tr w:rsidR="00F20114" w:rsidRPr="008E0033" w14:paraId="1CDF5EC1"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FF6FEF"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Horsham (RC)</w:t>
            </w:r>
          </w:p>
        </w:tc>
        <w:tc>
          <w:tcPr>
            <w:tcW w:w="0" w:type="auto"/>
            <w:tcBorders>
              <w:top w:val="nil"/>
              <w:left w:val="nil"/>
              <w:bottom w:val="single" w:sz="4" w:space="0" w:color="auto"/>
              <w:right w:val="single" w:sz="4" w:space="0" w:color="auto"/>
            </w:tcBorders>
            <w:shd w:val="clear" w:color="000000" w:fill="FDE9D9"/>
            <w:noWrap/>
            <w:vAlign w:val="bottom"/>
            <w:hideMark/>
          </w:tcPr>
          <w:p w14:paraId="0375E74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0.76%</w:t>
            </w:r>
          </w:p>
        </w:tc>
        <w:tc>
          <w:tcPr>
            <w:tcW w:w="0" w:type="auto"/>
            <w:tcBorders>
              <w:top w:val="nil"/>
              <w:left w:val="nil"/>
              <w:bottom w:val="single" w:sz="4" w:space="0" w:color="auto"/>
              <w:right w:val="single" w:sz="4" w:space="0" w:color="auto"/>
            </w:tcBorders>
            <w:shd w:val="clear" w:color="000000" w:fill="FDE9D9"/>
            <w:noWrap/>
            <w:vAlign w:val="bottom"/>
            <w:hideMark/>
          </w:tcPr>
          <w:p w14:paraId="5D35BB1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0.13%</w:t>
            </w:r>
          </w:p>
        </w:tc>
        <w:tc>
          <w:tcPr>
            <w:tcW w:w="0" w:type="auto"/>
            <w:tcBorders>
              <w:top w:val="nil"/>
              <w:left w:val="nil"/>
              <w:bottom w:val="single" w:sz="4" w:space="0" w:color="auto"/>
              <w:right w:val="single" w:sz="4" w:space="0" w:color="auto"/>
            </w:tcBorders>
            <w:shd w:val="clear" w:color="000000" w:fill="FDE9D9"/>
            <w:noWrap/>
            <w:vAlign w:val="bottom"/>
            <w:hideMark/>
          </w:tcPr>
          <w:p w14:paraId="71578C0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0.63%</w:t>
            </w:r>
          </w:p>
        </w:tc>
        <w:tc>
          <w:tcPr>
            <w:tcW w:w="0" w:type="auto"/>
            <w:tcBorders>
              <w:top w:val="nil"/>
              <w:left w:val="nil"/>
              <w:bottom w:val="single" w:sz="4" w:space="0" w:color="auto"/>
              <w:right w:val="single" w:sz="4" w:space="0" w:color="auto"/>
            </w:tcBorders>
            <w:shd w:val="clear" w:color="000000" w:fill="FDE9D9"/>
            <w:noWrap/>
            <w:vAlign w:val="bottom"/>
            <w:hideMark/>
          </w:tcPr>
          <w:p w14:paraId="46A4534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0.15%</w:t>
            </w:r>
          </w:p>
        </w:tc>
        <w:tc>
          <w:tcPr>
            <w:tcW w:w="0" w:type="auto"/>
            <w:tcBorders>
              <w:top w:val="nil"/>
              <w:left w:val="nil"/>
              <w:bottom w:val="single" w:sz="4" w:space="0" w:color="auto"/>
              <w:right w:val="single" w:sz="4" w:space="0" w:color="auto"/>
            </w:tcBorders>
            <w:shd w:val="clear" w:color="000000" w:fill="FDE9D9"/>
            <w:noWrap/>
            <w:vAlign w:val="bottom"/>
            <w:hideMark/>
          </w:tcPr>
          <w:p w14:paraId="291C413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0.87%</w:t>
            </w:r>
          </w:p>
        </w:tc>
        <w:tc>
          <w:tcPr>
            <w:tcW w:w="0" w:type="auto"/>
            <w:tcBorders>
              <w:top w:val="nil"/>
              <w:left w:val="nil"/>
              <w:bottom w:val="single" w:sz="4" w:space="0" w:color="auto"/>
              <w:right w:val="single" w:sz="4" w:space="0" w:color="auto"/>
            </w:tcBorders>
            <w:shd w:val="clear" w:color="000000" w:fill="FDE9D9"/>
            <w:noWrap/>
            <w:vAlign w:val="bottom"/>
            <w:hideMark/>
          </w:tcPr>
          <w:p w14:paraId="3BFF5E3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-0.71%</w:t>
            </w:r>
          </w:p>
        </w:tc>
        <w:tc>
          <w:tcPr>
            <w:tcW w:w="0" w:type="auto"/>
            <w:tcBorders>
              <w:top w:val="nil"/>
              <w:left w:val="nil"/>
              <w:bottom w:val="single" w:sz="4" w:space="0" w:color="auto"/>
              <w:right w:val="single" w:sz="4" w:space="0" w:color="auto"/>
            </w:tcBorders>
            <w:shd w:val="clear" w:color="000000" w:fill="B7DEE8"/>
            <w:noWrap/>
            <w:vAlign w:val="bottom"/>
            <w:hideMark/>
          </w:tcPr>
          <w:p w14:paraId="4ECEE98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3.70%</w:t>
            </w:r>
          </w:p>
        </w:tc>
        <w:tc>
          <w:tcPr>
            <w:tcW w:w="0" w:type="auto"/>
            <w:tcBorders>
              <w:top w:val="nil"/>
              <w:left w:val="nil"/>
              <w:bottom w:val="single" w:sz="4" w:space="0" w:color="auto"/>
              <w:right w:val="single" w:sz="4" w:space="0" w:color="auto"/>
            </w:tcBorders>
            <w:shd w:val="clear" w:color="000000" w:fill="B7DEE8"/>
            <w:noWrap/>
            <w:vAlign w:val="bottom"/>
            <w:hideMark/>
          </w:tcPr>
          <w:p w14:paraId="72E2CA8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-0.63%</w:t>
            </w:r>
          </w:p>
        </w:tc>
        <w:tc>
          <w:tcPr>
            <w:tcW w:w="0" w:type="auto"/>
            <w:tcBorders>
              <w:top w:val="nil"/>
              <w:left w:val="nil"/>
              <w:bottom w:val="single" w:sz="4" w:space="0" w:color="auto"/>
              <w:right w:val="single" w:sz="4" w:space="0" w:color="auto"/>
            </w:tcBorders>
            <w:shd w:val="clear" w:color="000000" w:fill="B7DEE8"/>
            <w:noWrap/>
            <w:vAlign w:val="bottom"/>
            <w:hideMark/>
          </w:tcPr>
          <w:p w14:paraId="01812E2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w:t>
            </w:r>
          </w:p>
        </w:tc>
        <w:tc>
          <w:tcPr>
            <w:tcW w:w="0" w:type="auto"/>
            <w:tcBorders>
              <w:top w:val="nil"/>
              <w:left w:val="nil"/>
              <w:bottom w:val="single" w:sz="4" w:space="0" w:color="auto"/>
              <w:right w:val="single" w:sz="4" w:space="0" w:color="auto"/>
            </w:tcBorders>
            <w:shd w:val="clear" w:color="000000" w:fill="DAEEF3"/>
            <w:noWrap/>
            <w:vAlign w:val="bottom"/>
            <w:hideMark/>
          </w:tcPr>
          <w:p w14:paraId="53D4918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2.41%</w:t>
            </w:r>
          </w:p>
        </w:tc>
      </w:tr>
      <w:tr w:rsidR="00F20114" w:rsidRPr="008E0033" w14:paraId="6D1A2F0D"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42E356"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Hume (C)</w:t>
            </w:r>
          </w:p>
        </w:tc>
        <w:tc>
          <w:tcPr>
            <w:tcW w:w="0" w:type="auto"/>
            <w:tcBorders>
              <w:top w:val="nil"/>
              <w:left w:val="nil"/>
              <w:bottom w:val="single" w:sz="4" w:space="0" w:color="auto"/>
              <w:right w:val="single" w:sz="4" w:space="0" w:color="auto"/>
            </w:tcBorders>
            <w:shd w:val="clear" w:color="000000" w:fill="FDE9D9"/>
            <w:noWrap/>
            <w:vAlign w:val="bottom"/>
            <w:hideMark/>
          </w:tcPr>
          <w:p w14:paraId="6118302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2.74%</w:t>
            </w:r>
          </w:p>
        </w:tc>
        <w:tc>
          <w:tcPr>
            <w:tcW w:w="0" w:type="auto"/>
            <w:tcBorders>
              <w:top w:val="nil"/>
              <w:left w:val="nil"/>
              <w:bottom w:val="single" w:sz="4" w:space="0" w:color="auto"/>
              <w:right w:val="single" w:sz="4" w:space="0" w:color="auto"/>
            </w:tcBorders>
            <w:shd w:val="clear" w:color="000000" w:fill="FDE9D9"/>
            <w:noWrap/>
            <w:vAlign w:val="bottom"/>
            <w:hideMark/>
          </w:tcPr>
          <w:p w14:paraId="77FD620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3.12%</w:t>
            </w:r>
          </w:p>
        </w:tc>
        <w:tc>
          <w:tcPr>
            <w:tcW w:w="0" w:type="auto"/>
            <w:tcBorders>
              <w:top w:val="nil"/>
              <w:left w:val="nil"/>
              <w:bottom w:val="single" w:sz="4" w:space="0" w:color="auto"/>
              <w:right w:val="single" w:sz="4" w:space="0" w:color="auto"/>
            </w:tcBorders>
            <w:shd w:val="clear" w:color="000000" w:fill="FDE9D9"/>
            <w:noWrap/>
            <w:vAlign w:val="bottom"/>
            <w:hideMark/>
          </w:tcPr>
          <w:p w14:paraId="4EA6700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-0.38%</w:t>
            </w:r>
          </w:p>
        </w:tc>
        <w:tc>
          <w:tcPr>
            <w:tcW w:w="0" w:type="auto"/>
            <w:tcBorders>
              <w:top w:val="nil"/>
              <w:left w:val="nil"/>
              <w:bottom w:val="single" w:sz="4" w:space="0" w:color="auto"/>
              <w:right w:val="single" w:sz="4" w:space="0" w:color="auto"/>
            </w:tcBorders>
            <w:shd w:val="clear" w:color="000000" w:fill="FDE9D9"/>
            <w:noWrap/>
            <w:vAlign w:val="bottom"/>
            <w:hideMark/>
          </w:tcPr>
          <w:p w14:paraId="62255D8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2.99%</w:t>
            </w:r>
          </w:p>
        </w:tc>
        <w:tc>
          <w:tcPr>
            <w:tcW w:w="0" w:type="auto"/>
            <w:tcBorders>
              <w:top w:val="nil"/>
              <w:left w:val="nil"/>
              <w:bottom w:val="single" w:sz="4" w:space="0" w:color="auto"/>
              <w:right w:val="single" w:sz="4" w:space="0" w:color="auto"/>
            </w:tcBorders>
            <w:shd w:val="clear" w:color="000000" w:fill="FDE9D9"/>
            <w:noWrap/>
            <w:vAlign w:val="bottom"/>
            <w:hideMark/>
          </w:tcPr>
          <w:p w14:paraId="4E82678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2.85%</w:t>
            </w:r>
          </w:p>
        </w:tc>
        <w:tc>
          <w:tcPr>
            <w:tcW w:w="0" w:type="auto"/>
            <w:tcBorders>
              <w:top w:val="nil"/>
              <w:left w:val="nil"/>
              <w:bottom w:val="single" w:sz="4" w:space="0" w:color="auto"/>
              <w:right w:val="single" w:sz="4" w:space="0" w:color="auto"/>
            </w:tcBorders>
            <w:shd w:val="clear" w:color="000000" w:fill="FDE9D9"/>
            <w:noWrap/>
            <w:vAlign w:val="bottom"/>
            <w:hideMark/>
          </w:tcPr>
          <w:p w14:paraId="7BCA6B3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0.14%</w:t>
            </w:r>
          </w:p>
        </w:tc>
        <w:tc>
          <w:tcPr>
            <w:tcW w:w="0" w:type="auto"/>
            <w:tcBorders>
              <w:top w:val="nil"/>
              <w:left w:val="nil"/>
              <w:bottom w:val="single" w:sz="4" w:space="0" w:color="auto"/>
              <w:right w:val="single" w:sz="4" w:space="0" w:color="auto"/>
            </w:tcBorders>
            <w:shd w:val="clear" w:color="000000" w:fill="B7DEE8"/>
            <w:noWrap/>
            <w:vAlign w:val="bottom"/>
            <w:hideMark/>
          </w:tcPr>
          <w:p w14:paraId="1F7F767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2.67%</w:t>
            </w:r>
          </w:p>
        </w:tc>
        <w:tc>
          <w:tcPr>
            <w:tcW w:w="0" w:type="auto"/>
            <w:tcBorders>
              <w:top w:val="nil"/>
              <w:left w:val="nil"/>
              <w:bottom w:val="single" w:sz="4" w:space="0" w:color="auto"/>
              <w:right w:val="single" w:sz="4" w:space="0" w:color="auto"/>
            </w:tcBorders>
            <w:shd w:val="clear" w:color="000000" w:fill="B7DEE8"/>
            <w:noWrap/>
            <w:vAlign w:val="bottom"/>
            <w:hideMark/>
          </w:tcPr>
          <w:p w14:paraId="77F0A57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0.37%</w:t>
            </w:r>
          </w:p>
        </w:tc>
        <w:tc>
          <w:tcPr>
            <w:tcW w:w="0" w:type="auto"/>
            <w:tcBorders>
              <w:top w:val="nil"/>
              <w:left w:val="nil"/>
              <w:bottom w:val="single" w:sz="4" w:space="0" w:color="auto"/>
              <w:right w:val="single" w:sz="4" w:space="0" w:color="auto"/>
            </w:tcBorders>
            <w:shd w:val="clear" w:color="000000" w:fill="B7DEE8"/>
            <w:noWrap/>
            <w:vAlign w:val="bottom"/>
            <w:hideMark/>
          </w:tcPr>
          <w:p w14:paraId="6609D30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1.9%</w:t>
            </w:r>
          </w:p>
        </w:tc>
        <w:tc>
          <w:tcPr>
            <w:tcW w:w="0" w:type="auto"/>
            <w:tcBorders>
              <w:top w:val="nil"/>
              <w:left w:val="nil"/>
              <w:bottom w:val="single" w:sz="4" w:space="0" w:color="auto"/>
              <w:right w:val="single" w:sz="4" w:space="0" w:color="auto"/>
            </w:tcBorders>
            <w:shd w:val="clear" w:color="000000" w:fill="DAEEF3"/>
            <w:noWrap/>
            <w:vAlign w:val="bottom"/>
            <w:hideMark/>
          </w:tcPr>
          <w:p w14:paraId="21F2725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3.43%</w:t>
            </w:r>
          </w:p>
        </w:tc>
      </w:tr>
      <w:tr w:rsidR="00F20114" w:rsidRPr="008E0033" w14:paraId="21F3A906"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8BFAB0"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Indigo (S)</w:t>
            </w:r>
          </w:p>
        </w:tc>
        <w:tc>
          <w:tcPr>
            <w:tcW w:w="0" w:type="auto"/>
            <w:tcBorders>
              <w:top w:val="nil"/>
              <w:left w:val="nil"/>
              <w:bottom w:val="single" w:sz="4" w:space="0" w:color="auto"/>
              <w:right w:val="single" w:sz="4" w:space="0" w:color="auto"/>
            </w:tcBorders>
            <w:shd w:val="clear" w:color="000000" w:fill="FDE9D9"/>
            <w:noWrap/>
            <w:vAlign w:val="bottom"/>
            <w:hideMark/>
          </w:tcPr>
          <w:p w14:paraId="351CFA3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0.88%</w:t>
            </w:r>
          </w:p>
        </w:tc>
        <w:tc>
          <w:tcPr>
            <w:tcW w:w="0" w:type="auto"/>
            <w:tcBorders>
              <w:top w:val="nil"/>
              <w:left w:val="nil"/>
              <w:bottom w:val="single" w:sz="4" w:space="0" w:color="auto"/>
              <w:right w:val="single" w:sz="4" w:space="0" w:color="auto"/>
            </w:tcBorders>
            <w:shd w:val="clear" w:color="000000" w:fill="FDE9D9"/>
            <w:noWrap/>
            <w:vAlign w:val="bottom"/>
            <w:hideMark/>
          </w:tcPr>
          <w:p w14:paraId="33B9013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0.32%</w:t>
            </w:r>
          </w:p>
        </w:tc>
        <w:tc>
          <w:tcPr>
            <w:tcW w:w="0" w:type="auto"/>
            <w:tcBorders>
              <w:top w:val="nil"/>
              <w:left w:val="nil"/>
              <w:bottom w:val="single" w:sz="4" w:space="0" w:color="auto"/>
              <w:right w:val="single" w:sz="4" w:space="0" w:color="auto"/>
            </w:tcBorders>
            <w:shd w:val="clear" w:color="000000" w:fill="FDE9D9"/>
            <w:noWrap/>
            <w:vAlign w:val="bottom"/>
            <w:hideMark/>
          </w:tcPr>
          <w:p w14:paraId="5B70ECB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0.56%</w:t>
            </w:r>
          </w:p>
        </w:tc>
        <w:tc>
          <w:tcPr>
            <w:tcW w:w="0" w:type="auto"/>
            <w:tcBorders>
              <w:top w:val="nil"/>
              <w:left w:val="nil"/>
              <w:bottom w:val="single" w:sz="4" w:space="0" w:color="auto"/>
              <w:right w:val="single" w:sz="4" w:space="0" w:color="auto"/>
            </w:tcBorders>
            <w:shd w:val="clear" w:color="000000" w:fill="FDE9D9"/>
            <w:noWrap/>
            <w:vAlign w:val="bottom"/>
            <w:hideMark/>
          </w:tcPr>
          <w:p w14:paraId="16359F0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0.12%</w:t>
            </w:r>
          </w:p>
        </w:tc>
        <w:tc>
          <w:tcPr>
            <w:tcW w:w="0" w:type="auto"/>
            <w:tcBorders>
              <w:top w:val="nil"/>
              <w:left w:val="nil"/>
              <w:bottom w:val="single" w:sz="4" w:space="0" w:color="auto"/>
              <w:right w:val="single" w:sz="4" w:space="0" w:color="auto"/>
            </w:tcBorders>
            <w:shd w:val="clear" w:color="000000" w:fill="FDE9D9"/>
            <w:noWrap/>
            <w:vAlign w:val="bottom"/>
            <w:hideMark/>
          </w:tcPr>
          <w:p w14:paraId="222320D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0.49%</w:t>
            </w:r>
          </w:p>
        </w:tc>
        <w:tc>
          <w:tcPr>
            <w:tcW w:w="0" w:type="auto"/>
            <w:tcBorders>
              <w:top w:val="nil"/>
              <w:left w:val="nil"/>
              <w:bottom w:val="single" w:sz="4" w:space="0" w:color="auto"/>
              <w:right w:val="single" w:sz="4" w:space="0" w:color="auto"/>
            </w:tcBorders>
            <w:shd w:val="clear" w:color="000000" w:fill="FDE9D9"/>
            <w:noWrap/>
            <w:vAlign w:val="bottom"/>
            <w:hideMark/>
          </w:tcPr>
          <w:p w14:paraId="38AED82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-0.38%</w:t>
            </w:r>
          </w:p>
        </w:tc>
        <w:tc>
          <w:tcPr>
            <w:tcW w:w="0" w:type="auto"/>
            <w:tcBorders>
              <w:top w:val="nil"/>
              <w:left w:val="nil"/>
              <w:bottom w:val="single" w:sz="4" w:space="0" w:color="auto"/>
              <w:right w:val="single" w:sz="4" w:space="0" w:color="auto"/>
            </w:tcBorders>
            <w:shd w:val="clear" w:color="000000" w:fill="B7DEE8"/>
            <w:noWrap/>
            <w:vAlign w:val="bottom"/>
            <w:hideMark/>
          </w:tcPr>
          <w:p w14:paraId="26A63A8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3.63%</w:t>
            </w:r>
          </w:p>
        </w:tc>
        <w:tc>
          <w:tcPr>
            <w:tcW w:w="0" w:type="auto"/>
            <w:tcBorders>
              <w:top w:val="nil"/>
              <w:left w:val="nil"/>
              <w:bottom w:val="single" w:sz="4" w:space="0" w:color="auto"/>
              <w:right w:val="single" w:sz="4" w:space="0" w:color="auto"/>
            </w:tcBorders>
            <w:shd w:val="clear" w:color="000000" w:fill="B7DEE8"/>
            <w:noWrap/>
            <w:vAlign w:val="bottom"/>
            <w:hideMark/>
          </w:tcPr>
          <w:p w14:paraId="52207DB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-0.56%</w:t>
            </w:r>
          </w:p>
        </w:tc>
        <w:tc>
          <w:tcPr>
            <w:tcW w:w="0" w:type="auto"/>
            <w:tcBorders>
              <w:top w:val="nil"/>
              <w:left w:val="nil"/>
              <w:bottom w:val="single" w:sz="4" w:space="0" w:color="auto"/>
              <w:right w:val="single" w:sz="4" w:space="0" w:color="auto"/>
            </w:tcBorders>
            <w:shd w:val="clear" w:color="000000" w:fill="B7DEE8"/>
            <w:noWrap/>
            <w:vAlign w:val="bottom"/>
            <w:hideMark/>
          </w:tcPr>
          <w:p w14:paraId="438407E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w:t>
            </w:r>
          </w:p>
        </w:tc>
        <w:tc>
          <w:tcPr>
            <w:tcW w:w="0" w:type="auto"/>
            <w:tcBorders>
              <w:top w:val="nil"/>
              <w:left w:val="nil"/>
              <w:bottom w:val="single" w:sz="4" w:space="0" w:color="auto"/>
              <w:right w:val="single" w:sz="4" w:space="0" w:color="auto"/>
            </w:tcBorders>
            <w:shd w:val="clear" w:color="000000" w:fill="DAEEF3"/>
            <w:noWrap/>
            <w:vAlign w:val="bottom"/>
            <w:hideMark/>
          </w:tcPr>
          <w:p w14:paraId="3B2F559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2.47%</w:t>
            </w:r>
          </w:p>
        </w:tc>
      </w:tr>
      <w:tr w:rsidR="00F20114" w:rsidRPr="008E0033" w14:paraId="16036BA9"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A807E0"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Kingston (C)</w:t>
            </w:r>
          </w:p>
        </w:tc>
        <w:tc>
          <w:tcPr>
            <w:tcW w:w="0" w:type="auto"/>
            <w:tcBorders>
              <w:top w:val="nil"/>
              <w:left w:val="nil"/>
              <w:bottom w:val="single" w:sz="4" w:space="0" w:color="auto"/>
              <w:right w:val="single" w:sz="4" w:space="0" w:color="auto"/>
            </w:tcBorders>
            <w:shd w:val="clear" w:color="000000" w:fill="FDE9D9"/>
            <w:noWrap/>
            <w:vAlign w:val="bottom"/>
            <w:hideMark/>
          </w:tcPr>
          <w:p w14:paraId="1842D4C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1.20%</w:t>
            </w:r>
          </w:p>
        </w:tc>
        <w:tc>
          <w:tcPr>
            <w:tcW w:w="0" w:type="auto"/>
            <w:tcBorders>
              <w:top w:val="nil"/>
              <w:left w:val="nil"/>
              <w:bottom w:val="single" w:sz="4" w:space="0" w:color="auto"/>
              <w:right w:val="single" w:sz="4" w:space="0" w:color="auto"/>
            </w:tcBorders>
            <w:shd w:val="clear" w:color="000000" w:fill="FDE9D9"/>
            <w:noWrap/>
            <w:vAlign w:val="bottom"/>
            <w:hideMark/>
          </w:tcPr>
          <w:p w14:paraId="56EA675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0.99%</w:t>
            </w:r>
          </w:p>
        </w:tc>
        <w:tc>
          <w:tcPr>
            <w:tcW w:w="0" w:type="auto"/>
            <w:tcBorders>
              <w:top w:val="nil"/>
              <w:left w:val="nil"/>
              <w:bottom w:val="single" w:sz="4" w:space="0" w:color="auto"/>
              <w:right w:val="single" w:sz="4" w:space="0" w:color="auto"/>
            </w:tcBorders>
            <w:shd w:val="clear" w:color="000000" w:fill="FDE9D9"/>
            <w:noWrap/>
            <w:vAlign w:val="bottom"/>
            <w:hideMark/>
          </w:tcPr>
          <w:p w14:paraId="798AFDD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0.20%</w:t>
            </w:r>
          </w:p>
        </w:tc>
        <w:tc>
          <w:tcPr>
            <w:tcW w:w="0" w:type="auto"/>
            <w:tcBorders>
              <w:top w:val="nil"/>
              <w:left w:val="nil"/>
              <w:bottom w:val="single" w:sz="4" w:space="0" w:color="auto"/>
              <w:right w:val="single" w:sz="4" w:space="0" w:color="auto"/>
            </w:tcBorders>
            <w:shd w:val="clear" w:color="000000" w:fill="FDE9D9"/>
            <w:noWrap/>
            <w:vAlign w:val="bottom"/>
            <w:hideMark/>
          </w:tcPr>
          <w:p w14:paraId="6438483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1.02%</w:t>
            </w:r>
          </w:p>
        </w:tc>
        <w:tc>
          <w:tcPr>
            <w:tcW w:w="0" w:type="auto"/>
            <w:tcBorders>
              <w:top w:val="nil"/>
              <w:left w:val="nil"/>
              <w:bottom w:val="single" w:sz="4" w:space="0" w:color="auto"/>
              <w:right w:val="single" w:sz="4" w:space="0" w:color="auto"/>
            </w:tcBorders>
            <w:shd w:val="clear" w:color="000000" w:fill="FDE9D9"/>
            <w:noWrap/>
            <w:vAlign w:val="bottom"/>
            <w:hideMark/>
          </w:tcPr>
          <w:p w14:paraId="5E383C0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1.26%</w:t>
            </w:r>
          </w:p>
        </w:tc>
        <w:tc>
          <w:tcPr>
            <w:tcW w:w="0" w:type="auto"/>
            <w:tcBorders>
              <w:top w:val="nil"/>
              <w:left w:val="nil"/>
              <w:bottom w:val="single" w:sz="4" w:space="0" w:color="auto"/>
              <w:right w:val="single" w:sz="4" w:space="0" w:color="auto"/>
            </w:tcBorders>
            <w:shd w:val="clear" w:color="000000" w:fill="FDE9D9"/>
            <w:noWrap/>
            <w:vAlign w:val="bottom"/>
            <w:hideMark/>
          </w:tcPr>
          <w:p w14:paraId="2E63B9A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-0.24%</w:t>
            </w:r>
          </w:p>
        </w:tc>
        <w:tc>
          <w:tcPr>
            <w:tcW w:w="0" w:type="auto"/>
            <w:tcBorders>
              <w:top w:val="nil"/>
              <w:left w:val="nil"/>
              <w:bottom w:val="single" w:sz="4" w:space="0" w:color="auto"/>
              <w:right w:val="single" w:sz="4" w:space="0" w:color="auto"/>
            </w:tcBorders>
            <w:shd w:val="clear" w:color="000000" w:fill="B7DEE8"/>
            <w:noWrap/>
            <w:vAlign w:val="bottom"/>
            <w:hideMark/>
          </w:tcPr>
          <w:p w14:paraId="42D5FEB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3.26%</w:t>
            </w:r>
          </w:p>
        </w:tc>
        <w:tc>
          <w:tcPr>
            <w:tcW w:w="0" w:type="auto"/>
            <w:tcBorders>
              <w:top w:val="nil"/>
              <w:left w:val="nil"/>
              <w:bottom w:val="single" w:sz="4" w:space="0" w:color="auto"/>
              <w:right w:val="single" w:sz="4" w:space="0" w:color="auto"/>
            </w:tcBorders>
            <w:shd w:val="clear" w:color="000000" w:fill="B7DEE8"/>
            <w:noWrap/>
            <w:vAlign w:val="bottom"/>
            <w:hideMark/>
          </w:tcPr>
          <w:p w14:paraId="269A153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-0.20%</w:t>
            </w:r>
          </w:p>
        </w:tc>
        <w:tc>
          <w:tcPr>
            <w:tcW w:w="0" w:type="auto"/>
            <w:tcBorders>
              <w:top w:val="nil"/>
              <w:left w:val="nil"/>
              <w:bottom w:val="single" w:sz="4" w:space="0" w:color="auto"/>
              <w:right w:val="single" w:sz="4" w:space="0" w:color="auto"/>
            </w:tcBorders>
            <w:shd w:val="clear" w:color="000000" w:fill="B7DEE8"/>
            <w:noWrap/>
            <w:vAlign w:val="bottom"/>
            <w:hideMark/>
          </w:tcPr>
          <w:p w14:paraId="002CAB3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0.9%</w:t>
            </w:r>
          </w:p>
        </w:tc>
        <w:tc>
          <w:tcPr>
            <w:tcW w:w="0" w:type="auto"/>
            <w:tcBorders>
              <w:top w:val="nil"/>
              <w:left w:val="nil"/>
              <w:bottom w:val="single" w:sz="4" w:space="0" w:color="auto"/>
              <w:right w:val="single" w:sz="4" w:space="0" w:color="auto"/>
            </w:tcBorders>
            <w:shd w:val="clear" w:color="000000" w:fill="DAEEF3"/>
            <w:noWrap/>
            <w:vAlign w:val="bottom"/>
            <w:hideMark/>
          </w:tcPr>
          <w:p w14:paraId="4CAFF97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2.85%</w:t>
            </w:r>
          </w:p>
        </w:tc>
      </w:tr>
      <w:tr w:rsidR="00F20114" w:rsidRPr="008E0033" w14:paraId="6051B0B1"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45F130"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Knox (C)</w:t>
            </w:r>
          </w:p>
        </w:tc>
        <w:tc>
          <w:tcPr>
            <w:tcW w:w="0" w:type="auto"/>
            <w:tcBorders>
              <w:top w:val="nil"/>
              <w:left w:val="nil"/>
              <w:bottom w:val="single" w:sz="4" w:space="0" w:color="auto"/>
              <w:right w:val="single" w:sz="4" w:space="0" w:color="auto"/>
            </w:tcBorders>
            <w:shd w:val="clear" w:color="000000" w:fill="FDE9D9"/>
            <w:noWrap/>
            <w:vAlign w:val="bottom"/>
            <w:hideMark/>
          </w:tcPr>
          <w:p w14:paraId="42427A2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0.79%</w:t>
            </w:r>
          </w:p>
        </w:tc>
        <w:tc>
          <w:tcPr>
            <w:tcW w:w="0" w:type="auto"/>
            <w:tcBorders>
              <w:top w:val="nil"/>
              <w:left w:val="nil"/>
              <w:bottom w:val="single" w:sz="4" w:space="0" w:color="auto"/>
              <w:right w:val="single" w:sz="4" w:space="0" w:color="auto"/>
            </w:tcBorders>
            <w:shd w:val="clear" w:color="000000" w:fill="FDE9D9"/>
            <w:noWrap/>
            <w:vAlign w:val="bottom"/>
            <w:hideMark/>
          </w:tcPr>
          <w:p w14:paraId="0B55217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0.46%</w:t>
            </w:r>
          </w:p>
        </w:tc>
        <w:tc>
          <w:tcPr>
            <w:tcW w:w="0" w:type="auto"/>
            <w:tcBorders>
              <w:top w:val="nil"/>
              <w:left w:val="nil"/>
              <w:bottom w:val="single" w:sz="4" w:space="0" w:color="auto"/>
              <w:right w:val="single" w:sz="4" w:space="0" w:color="auto"/>
            </w:tcBorders>
            <w:shd w:val="clear" w:color="000000" w:fill="FDE9D9"/>
            <w:noWrap/>
            <w:vAlign w:val="bottom"/>
            <w:hideMark/>
          </w:tcPr>
          <w:p w14:paraId="5BF13F9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0.33%</w:t>
            </w:r>
          </w:p>
        </w:tc>
        <w:tc>
          <w:tcPr>
            <w:tcW w:w="0" w:type="auto"/>
            <w:tcBorders>
              <w:top w:val="nil"/>
              <w:left w:val="nil"/>
              <w:bottom w:val="single" w:sz="4" w:space="0" w:color="auto"/>
              <w:right w:val="single" w:sz="4" w:space="0" w:color="auto"/>
            </w:tcBorders>
            <w:shd w:val="clear" w:color="000000" w:fill="FDE9D9"/>
            <w:noWrap/>
            <w:vAlign w:val="bottom"/>
            <w:hideMark/>
          </w:tcPr>
          <w:p w14:paraId="5120BB7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0.30%</w:t>
            </w:r>
          </w:p>
        </w:tc>
        <w:tc>
          <w:tcPr>
            <w:tcW w:w="0" w:type="auto"/>
            <w:tcBorders>
              <w:top w:val="nil"/>
              <w:left w:val="nil"/>
              <w:bottom w:val="single" w:sz="4" w:space="0" w:color="auto"/>
              <w:right w:val="single" w:sz="4" w:space="0" w:color="auto"/>
            </w:tcBorders>
            <w:shd w:val="clear" w:color="000000" w:fill="FDE9D9"/>
            <w:noWrap/>
            <w:vAlign w:val="bottom"/>
            <w:hideMark/>
          </w:tcPr>
          <w:p w14:paraId="6FC4FF5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0.92%</w:t>
            </w:r>
          </w:p>
        </w:tc>
        <w:tc>
          <w:tcPr>
            <w:tcW w:w="0" w:type="auto"/>
            <w:tcBorders>
              <w:top w:val="nil"/>
              <w:left w:val="nil"/>
              <w:bottom w:val="single" w:sz="4" w:space="0" w:color="auto"/>
              <w:right w:val="single" w:sz="4" w:space="0" w:color="auto"/>
            </w:tcBorders>
            <w:shd w:val="clear" w:color="000000" w:fill="FDE9D9"/>
            <w:noWrap/>
            <w:vAlign w:val="bottom"/>
            <w:hideMark/>
          </w:tcPr>
          <w:p w14:paraId="7384025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-0.62%</w:t>
            </w:r>
          </w:p>
        </w:tc>
        <w:tc>
          <w:tcPr>
            <w:tcW w:w="0" w:type="auto"/>
            <w:tcBorders>
              <w:top w:val="nil"/>
              <w:left w:val="nil"/>
              <w:bottom w:val="single" w:sz="4" w:space="0" w:color="auto"/>
              <w:right w:val="single" w:sz="4" w:space="0" w:color="auto"/>
            </w:tcBorders>
            <w:shd w:val="clear" w:color="000000" w:fill="B7DEE8"/>
            <w:noWrap/>
            <w:vAlign w:val="bottom"/>
            <w:hideMark/>
          </w:tcPr>
          <w:p w14:paraId="2A5AD91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3.39%</w:t>
            </w:r>
          </w:p>
        </w:tc>
        <w:tc>
          <w:tcPr>
            <w:tcW w:w="0" w:type="auto"/>
            <w:tcBorders>
              <w:top w:val="nil"/>
              <w:left w:val="nil"/>
              <w:bottom w:val="single" w:sz="4" w:space="0" w:color="auto"/>
              <w:right w:val="single" w:sz="4" w:space="0" w:color="auto"/>
            </w:tcBorders>
            <w:shd w:val="clear" w:color="000000" w:fill="B7DEE8"/>
            <w:noWrap/>
            <w:vAlign w:val="bottom"/>
            <w:hideMark/>
          </w:tcPr>
          <w:p w14:paraId="7A47093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-0.32%</w:t>
            </w:r>
          </w:p>
        </w:tc>
        <w:tc>
          <w:tcPr>
            <w:tcW w:w="0" w:type="auto"/>
            <w:tcBorders>
              <w:top w:val="nil"/>
              <w:left w:val="nil"/>
              <w:bottom w:val="single" w:sz="4" w:space="0" w:color="auto"/>
              <w:right w:val="single" w:sz="4" w:space="0" w:color="auto"/>
            </w:tcBorders>
            <w:shd w:val="clear" w:color="000000" w:fill="B7DEE8"/>
            <w:noWrap/>
            <w:vAlign w:val="bottom"/>
            <w:hideMark/>
          </w:tcPr>
          <w:p w14:paraId="1239763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w:t>
            </w:r>
          </w:p>
        </w:tc>
        <w:tc>
          <w:tcPr>
            <w:tcW w:w="0" w:type="auto"/>
            <w:tcBorders>
              <w:top w:val="nil"/>
              <w:left w:val="nil"/>
              <w:bottom w:val="single" w:sz="4" w:space="0" w:color="auto"/>
              <w:right w:val="single" w:sz="4" w:space="0" w:color="auto"/>
            </w:tcBorders>
            <w:shd w:val="clear" w:color="000000" w:fill="DAEEF3"/>
            <w:noWrap/>
            <w:vAlign w:val="bottom"/>
            <w:hideMark/>
          </w:tcPr>
          <w:p w14:paraId="41792A1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2.72%</w:t>
            </w:r>
          </w:p>
        </w:tc>
      </w:tr>
      <w:tr w:rsidR="00F20114" w:rsidRPr="008E0033" w14:paraId="0A826396"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F45071"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Latrobe (C)</w:t>
            </w:r>
          </w:p>
        </w:tc>
        <w:tc>
          <w:tcPr>
            <w:tcW w:w="0" w:type="auto"/>
            <w:tcBorders>
              <w:top w:val="nil"/>
              <w:left w:val="nil"/>
              <w:bottom w:val="single" w:sz="4" w:space="0" w:color="auto"/>
              <w:right w:val="single" w:sz="4" w:space="0" w:color="auto"/>
            </w:tcBorders>
            <w:shd w:val="clear" w:color="000000" w:fill="FDE9D9"/>
            <w:noWrap/>
            <w:vAlign w:val="bottom"/>
            <w:hideMark/>
          </w:tcPr>
          <w:p w14:paraId="0FBEC63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0.73%</w:t>
            </w:r>
          </w:p>
        </w:tc>
        <w:tc>
          <w:tcPr>
            <w:tcW w:w="0" w:type="auto"/>
            <w:tcBorders>
              <w:top w:val="nil"/>
              <w:left w:val="nil"/>
              <w:bottom w:val="single" w:sz="4" w:space="0" w:color="auto"/>
              <w:right w:val="single" w:sz="4" w:space="0" w:color="auto"/>
            </w:tcBorders>
            <w:shd w:val="clear" w:color="000000" w:fill="FDE9D9"/>
            <w:noWrap/>
            <w:vAlign w:val="bottom"/>
            <w:hideMark/>
          </w:tcPr>
          <w:p w14:paraId="24C7B4B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-0.16%</w:t>
            </w:r>
          </w:p>
        </w:tc>
        <w:tc>
          <w:tcPr>
            <w:tcW w:w="0" w:type="auto"/>
            <w:tcBorders>
              <w:top w:val="nil"/>
              <w:left w:val="nil"/>
              <w:bottom w:val="single" w:sz="4" w:space="0" w:color="auto"/>
              <w:right w:val="single" w:sz="4" w:space="0" w:color="auto"/>
            </w:tcBorders>
            <w:shd w:val="clear" w:color="000000" w:fill="FDE9D9"/>
            <w:noWrap/>
            <w:vAlign w:val="bottom"/>
            <w:hideMark/>
          </w:tcPr>
          <w:p w14:paraId="1C6C2D1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0.89%</w:t>
            </w:r>
          </w:p>
        </w:tc>
        <w:tc>
          <w:tcPr>
            <w:tcW w:w="0" w:type="auto"/>
            <w:tcBorders>
              <w:top w:val="nil"/>
              <w:left w:val="nil"/>
              <w:bottom w:val="single" w:sz="4" w:space="0" w:color="auto"/>
              <w:right w:val="single" w:sz="4" w:space="0" w:color="auto"/>
            </w:tcBorders>
            <w:shd w:val="clear" w:color="000000" w:fill="FDE9D9"/>
            <w:noWrap/>
            <w:vAlign w:val="bottom"/>
            <w:hideMark/>
          </w:tcPr>
          <w:p w14:paraId="7D0B959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-0.24%</w:t>
            </w:r>
          </w:p>
        </w:tc>
        <w:tc>
          <w:tcPr>
            <w:tcW w:w="0" w:type="auto"/>
            <w:tcBorders>
              <w:top w:val="nil"/>
              <w:left w:val="nil"/>
              <w:bottom w:val="single" w:sz="4" w:space="0" w:color="auto"/>
              <w:right w:val="single" w:sz="4" w:space="0" w:color="auto"/>
            </w:tcBorders>
            <w:shd w:val="clear" w:color="000000" w:fill="FDE9D9"/>
            <w:noWrap/>
            <w:vAlign w:val="bottom"/>
            <w:hideMark/>
          </w:tcPr>
          <w:p w14:paraId="4075A1F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0.70%</w:t>
            </w:r>
          </w:p>
        </w:tc>
        <w:tc>
          <w:tcPr>
            <w:tcW w:w="0" w:type="auto"/>
            <w:tcBorders>
              <w:top w:val="nil"/>
              <w:left w:val="nil"/>
              <w:bottom w:val="single" w:sz="4" w:space="0" w:color="auto"/>
              <w:right w:val="single" w:sz="4" w:space="0" w:color="auto"/>
            </w:tcBorders>
            <w:shd w:val="clear" w:color="000000" w:fill="FDE9D9"/>
            <w:noWrap/>
            <w:vAlign w:val="bottom"/>
            <w:hideMark/>
          </w:tcPr>
          <w:p w14:paraId="7BD31C6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-0.94%</w:t>
            </w:r>
          </w:p>
        </w:tc>
        <w:tc>
          <w:tcPr>
            <w:tcW w:w="0" w:type="auto"/>
            <w:tcBorders>
              <w:top w:val="nil"/>
              <w:left w:val="nil"/>
              <w:bottom w:val="single" w:sz="4" w:space="0" w:color="auto"/>
              <w:right w:val="single" w:sz="4" w:space="0" w:color="auto"/>
            </w:tcBorders>
            <w:shd w:val="clear" w:color="000000" w:fill="B7DEE8"/>
            <w:noWrap/>
            <w:vAlign w:val="bottom"/>
            <w:hideMark/>
          </w:tcPr>
          <w:p w14:paraId="6CF4900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3.97%</w:t>
            </w:r>
          </w:p>
        </w:tc>
        <w:tc>
          <w:tcPr>
            <w:tcW w:w="0" w:type="auto"/>
            <w:tcBorders>
              <w:top w:val="nil"/>
              <w:left w:val="nil"/>
              <w:bottom w:val="single" w:sz="4" w:space="0" w:color="auto"/>
              <w:right w:val="single" w:sz="4" w:space="0" w:color="auto"/>
            </w:tcBorders>
            <w:shd w:val="clear" w:color="000000" w:fill="B7DEE8"/>
            <w:noWrap/>
            <w:vAlign w:val="bottom"/>
            <w:hideMark/>
          </w:tcPr>
          <w:p w14:paraId="7D47224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-0.89%</w:t>
            </w:r>
          </w:p>
        </w:tc>
        <w:tc>
          <w:tcPr>
            <w:tcW w:w="0" w:type="auto"/>
            <w:tcBorders>
              <w:top w:val="nil"/>
              <w:left w:val="nil"/>
              <w:bottom w:val="single" w:sz="4" w:space="0" w:color="auto"/>
              <w:right w:val="single" w:sz="4" w:space="0" w:color="auto"/>
            </w:tcBorders>
            <w:shd w:val="clear" w:color="000000" w:fill="B7DEE8"/>
            <w:noWrap/>
            <w:vAlign w:val="bottom"/>
            <w:hideMark/>
          </w:tcPr>
          <w:p w14:paraId="2CFA083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w:t>
            </w:r>
          </w:p>
        </w:tc>
        <w:tc>
          <w:tcPr>
            <w:tcW w:w="0" w:type="auto"/>
            <w:tcBorders>
              <w:top w:val="nil"/>
              <w:left w:val="nil"/>
              <w:bottom w:val="single" w:sz="4" w:space="0" w:color="auto"/>
              <w:right w:val="single" w:sz="4" w:space="0" w:color="auto"/>
            </w:tcBorders>
            <w:shd w:val="clear" w:color="000000" w:fill="DAEEF3"/>
            <w:noWrap/>
            <w:vAlign w:val="bottom"/>
            <w:hideMark/>
          </w:tcPr>
          <w:p w14:paraId="0F1A999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2.14%</w:t>
            </w:r>
          </w:p>
        </w:tc>
      </w:tr>
      <w:tr w:rsidR="00F20114" w:rsidRPr="008E0033" w14:paraId="225E0C09"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333A66"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Loddon (S)</w:t>
            </w:r>
          </w:p>
        </w:tc>
        <w:tc>
          <w:tcPr>
            <w:tcW w:w="0" w:type="auto"/>
            <w:tcBorders>
              <w:top w:val="nil"/>
              <w:left w:val="nil"/>
              <w:bottom w:val="single" w:sz="4" w:space="0" w:color="auto"/>
              <w:right w:val="single" w:sz="4" w:space="0" w:color="auto"/>
            </w:tcBorders>
            <w:shd w:val="clear" w:color="000000" w:fill="FDE9D9"/>
            <w:noWrap/>
            <w:vAlign w:val="bottom"/>
            <w:hideMark/>
          </w:tcPr>
          <w:p w14:paraId="13542AC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0.05%</w:t>
            </w:r>
          </w:p>
        </w:tc>
        <w:tc>
          <w:tcPr>
            <w:tcW w:w="0" w:type="auto"/>
            <w:tcBorders>
              <w:top w:val="nil"/>
              <w:left w:val="nil"/>
              <w:bottom w:val="single" w:sz="4" w:space="0" w:color="auto"/>
              <w:right w:val="single" w:sz="4" w:space="0" w:color="auto"/>
            </w:tcBorders>
            <w:shd w:val="clear" w:color="000000" w:fill="FDE9D9"/>
            <w:noWrap/>
            <w:vAlign w:val="bottom"/>
            <w:hideMark/>
          </w:tcPr>
          <w:p w14:paraId="1EF9F85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-0.81%</w:t>
            </w:r>
          </w:p>
        </w:tc>
        <w:tc>
          <w:tcPr>
            <w:tcW w:w="0" w:type="auto"/>
            <w:tcBorders>
              <w:top w:val="nil"/>
              <w:left w:val="nil"/>
              <w:bottom w:val="single" w:sz="4" w:space="0" w:color="auto"/>
              <w:right w:val="single" w:sz="4" w:space="0" w:color="auto"/>
            </w:tcBorders>
            <w:shd w:val="clear" w:color="000000" w:fill="FDE9D9"/>
            <w:noWrap/>
            <w:vAlign w:val="bottom"/>
            <w:hideMark/>
          </w:tcPr>
          <w:p w14:paraId="76B84E6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0.86%</w:t>
            </w:r>
          </w:p>
        </w:tc>
        <w:tc>
          <w:tcPr>
            <w:tcW w:w="0" w:type="auto"/>
            <w:tcBorders>
              <w:top w:val="nil"/>
              <w:left w:val="nil"/>
              <w:bottom w:val="single" w:sz="4" w:space="0" w:color="auto"/>
              <w:right w:val="single" w:sz="4" w:space="0" w:color="auto"/>
            </w:tcBorders>
            <w:shd w:val="clear" w:color="000000" w:fill="FDE9D9"/>
            <w:noWrap/>
            <w:vAlign w:val="bottom"/>
            <w:hideMark/>
          </w:tcPr>
          <w:p w14:paraId="17A5E0B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-0.94%</w:t>
            </w:r>
          </w:p>
        </w:tc>
        <w:tc>
          <w:tcPr>
            <w:tcW w:w="0" w:type="auto"/>
            <w:tcBorders>
              <w:top w:val="nil"/>
              <w:left w:val="nil"/>
              <w:bottom w:val="single" w:sz="4" w:space="0" w:color="auto"/>
              <w:right w:val="single" w:sz="4" w:space="0" w:color="auto"/>
            </w:tcBorders>
            <w:shd w:val="clear" w:color="000000" w:fill="FDE9D9"/>
            <w:noWrap/>
            <w:vAlign w:val="bottom"/>
            <w:hideMark/>
          </w:tcPr>
          <w:p w14:paraId="51AA0DE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0.35%</w:t>
            </w:r>
          </w:p>
        </w:tc>
        <w:tc>
          <w:tcPr>
            <w:tcW w:w="0" w:type="auto"/>
            <w:tcBorders>
              <w:top w:val="nil"/>
              <w:left w:val="nil"/>
              <w:bottom w:val="single" w:sz="4" w:space="0" w:color="auto"/>
              <w:right w:val="single" w:sz="4" w:space="0" w:color="auto"/>
            </w:tcBorders>
            <w:shd w:val="clear" w:color="000000" w:fill="FDE9D9"/>
            <w:noWrap/>
            <w:vAlign w:val="bottom"/>
            <w:hideMark/>
          </w:tcPr>
          <w:p w14:paraId="03E4B08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-1.29%</w:t>
            </w:r>
          </w:p>
        </w:tc>
        <w:tc>
          <w:tcPr>
            <w:tcW w:w="0" w:type="auto"/>
            <w:tcBorders>
              <w:top w:val="nil"/>
              <w:left w:val="nil"/>
              <w:bottom w:val="single" w:sz="4" w:space="0" w:color="auto"/>
              <w:right w:val="single" w:sz="4" w:space="0" w:color="auto"/>
            </w:tcBorders>
            <w:shd w:val="clear" w:color="000000" w:fill="B7DEE8"/>
            <w:noWrap/>
            <w:vAlign w:val="bottom"/>
            <w:hideMark/>
          </w:tcPr>
          <w:p w14:paraId="775457A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3.95%</w:t>
            </w:r>
          </w:p>
        </w:tc>
        <w:tc>
          <w:tcPr>
            <w:tcW w:w="0" w:type="auto"/>
            <w:tcBorders>
              <w:top w:val="nil"/>
              <w:left w:val="nil"/>
              <w:bottom w:val="single" w:sz="4" w:space="0" w:color="auto"/>
              <w:right w:val="single" w:sz="4" w:space="0" w:color="auto"/>
            </w:tcBorders>
            <w:shd w:val="clear" w:color="000000" w:fill="B7DEE8"/>
            <w:noWrap/>
            <w:vAlign w:val="bottom"/>
            <w:hideMark/>
          </w:tcPr>
          <w:p w14:paraId="79B34EC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-0.87%</w:t>
            </w:r>
          </w:p>
        </w:tc>
        <w:tc>
          <w:tcPr>
            <w:tcW w:w="0" w:type="auto"/>
            <w:tcBorders>
              <w:top w:val="nil"/>
              <w:left w:val="nil"/>
              <w:bottom w:val="single" w:sz="4" w:space="0" w:color="auto"/>
              <w:right w:val="single" w:sz="4" w:space="0" w:color="auto"/>
            </w:tcBorders>
            <w:shd w:val="clear" w:color="000000" w:fill="B7DEE8"/>
            <w:noWrap/>
            <w:vAlign w:val="bottom"/>
            <w:hideMark/>
          </w:tcPr>
          <w:p w14:paraId="6EE1E91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w:t>
            </w:r>
          </w:p>
        </w:tc>
        <w:tc>
          <w:tcPr>
            <w:tcW w:w="0" w:type="auto"/>
            <w:tcBorders>
              <w:top w:val="nil"/>
              <w:left w:val="nil"/>
              <w:bottom w:val="single" w:sz="4" w:space="0" w:color="auto"/>
              <w:right w:val="single" w:sz="4" w:space="0" w:color="auto"/>
            </w:tcBorders>
            <w:shd w:val="clear" w:color="000000" w:fill="DAEEF3"/>
            <w:noWrap/>
            <w:vAlign w:val="bottom"/>
            <w:hideMark/>
          </w:tcPr>
          <w:p w14:paraId="6BB88F4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2.16%</w:t>
            </w:r>
          </w:p>
        </w:tc>
      </w:tr>
      <w:tr w:rsidR="00F20114" w:rsidRPr="008E0033" w14:paraId="61F8A465"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007C61"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Macedon Ranges (S)</w:t>
            </w:r>
          </w:p>
        </w:tc>
        <w:tc>
          <w:tcPr>
            <w:tcW w:w="0" w:type="auto"/>
            <w:tcBorders>
              <w:top w:val="nil"/>
              <w:left w:val="nil"/>
              <w:bottom w:val="single" w:sz="4" w:space="0" w:color="auto"/>
              <w:right w:val="single" w:sz="4" w:space="0" w:color="auto"/>
            </w:tcBorders>
            <w:shd w:val="clear" w:color="000000" w:fill="FDE9D9"/>
            <w:noWrap/>
            <w:vAlign w:val="bottom"/>
            <w:hideMark/>
          </w:tcPr>
          <w:p w14:paraId="66B0572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0.48%</w:t>
            </w:r>
          </w:p>
        </w:tc>
        <w:tc>
          <w:tcPr>
            <w:tcW w:w="0" w:type="auto"/>
            <w:tcBorders>
              <w:top w:val="nil"/>
              <w:left w:val="nil"/>
              <w:bottom w:val="single" w:sz="4" w:space="0" w:color="auto"/>
              <w:right w:val="single" w:sz="4" w:space="0" w:color="auto"/>
            </w:tcBorders>
            <w:shd w:val="clear" w:color="000000" w:fill="FDE9D9"/>
            <w:noWrap/>
            <w:vAlign w:val="bottom"/>
            <w:hideMark/>
          </w:tcPr>
          <w:p w14:paraId="160D2D3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1.47%</w:t>
            </w:r>
          </w:p>
        </w:tc>
        <w:tc>
          <w:tcPr>
            <w:tcW w:w="0" w:type="auto"/>
            <w:tcBorders>
              <w:top w:val="nil"/>
              <w:left w:val="nil"/>
              <w:bottom w:val="single" w:sz="4" w:space="0" w:color="auto"/>
              <w:right w:val="single" w:sz="4" w:space="0" w:color="auto"/>
            </w:tcBorders>
            <w:shd w:val="clear" w:color="000000" w:fill="FDE9D9"/>
            <w:noWrap/>
            <w:vAlign w:val="bottom"/>
            <w:hideMark/>
          </w:tcPr>
          <w:p w14:paraId="128B947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-0.99%</w:t>
            </w:r>
          </w:p>
        </w:tc>
        <w:tc>
          <w:tcPr>
            <w:tcW w:w="0" w:type="auto"/>
            <w:tcBorders>
              <w:top w:val="nil"/>
              <w:left w:val="nil"/>
              <w:bottom w:val="single" w:sz="4" w:space="0" w:color="auto"/>
              <w:right w:val="single" w:sz="4" w:space="0" w:color="auto"/>
            </w:tcBorders>
            <w:shd w:val="clear" w:color="000000" w:fill="FDE9D9"/>
            <w:noWrap/>
            <w:vAlign w:val="bottom"/>
            <w:hideMark/>
          </w:tcPr>
          <w:p w14:paraId="0FCB165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1.37%</w:t>
            </w:r>
          </w:p>
        </w:tc>
        <w:tc>
          <w:tcPr>
            <w:tcW w:w="0" w:type="auto"/>
            <w:tcBorders>
              <w:top w:val="nil"/>
              <w:left w:val="nil"/>
              <w:bottom w:val="single" w:sz="4" w:space="0" w:color="auto"/>
              <w:right w:val="single" w:sz="4" w:space="0" w:color="auto"/>
            </w:tcBorders>
            <w:shd w:val="clear" w:color="000000" w:fill="FDE9D9"/>
            <w:noWrap/>
            <w:vAlign w:val="bottom"/>
            <w:hideMark/>
          </w:tcPr>
          <w:p w14:paraId="7D23AB5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1.42%</w:t>
            </w:r>
          </w:p>
        </w:tc>
        <w:tc>
          <w:tcPr>
            <w:tcW w:w="0" w:type="auto"/>
            <w:tcBorders>
              <w:top w:val="nil"/>
              <w:left w:val="nil"/>
              <w:bottom w:val="single" w:sz="4" w:space="0" w:color="auto"/>
              <w:right w:val="single" w:sz="4" w:space="0" w:color="auto"/>
            </w:tcBorders>
            <w:shd w:val="clear" w:color="000000" w:fill="FDE9D9"/>
            <w:noWrap/>
            <w:vAlign w:val="bottom"/>
            <w:hideMark/>
          </w:tcPr>
          <w:p w14:paraId="5C701B5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-0.05%</w:t>
            </w:r>
          </w:p>
        </w:tc>
        <w:tc>
          <w:tcPr>
            <w:tcW w:w="0" w:type="auto"/>
            <w:tcBorders>
              <w:top w:val="nil"/>
              <w:left w:val="nil"/>
              <w:bottom w:val="single" w:sz="4" w:space="0" w:color="auto"/>
              <w:right w:val="single" w:sz="4" w:space="0" w:color="auto"/>
            </w:tcBorders>
            <w:shd w:val="clear" w:color="000000" w:fill="B7DEE8"/>
            <w:noWrap/>
            <w:vAlign w:val="bottom"/>
            <w:hideMark/>
          </w:tcPr>
          <w:p w14:paraId="53D6B00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2.04%</w:t>
            </w:r>
          </w:p>
        </w:tc>
        <w:tc>
          <w:tcPr>
            <w:tcW w:w="0" w:type="auto"/>
            <w:tcBorders>
              <w:top w:val="nil"/>
              <w:left w:val="nil"/>
              <w:bottom w:val="single" w:sz="4" w:space="0" w:color="auto"/>
              <w:right w:val="single" w:sz="4" w:space="0" w:color="auto"/>
            </w:tcBorders>
            <w:shd w:val="clear" w:color="000000" w:fill="B7DEE8"/>
            <w:noWrap/>
            <w:vAlign w:val="bottom"/>
            <w:hideMark/>
          </w:tcPr>
          <w:p w14:paraId="6E2ADB7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0.99%</w:t>
            </w:r>
          </w:p>
        </w:tc>
        <w:tc>
          <w:tcPr>
            <w:tcW w:w="0" w:type="auto"/>
            <w:tcBorders>
              <w:top w:val="nil"/>
              <w:left w:val="nil"/>
              <w:bottom w:val="single" w:sz="4" w:space="0" w:color="auto"/>
              <w:right w:val="single" w:sz="4" w:space="0" w:color="auto"/>
            </w:tcBorders>
            <w:shd w:val="clear" w:color="000000" w:fill="B7DEE8"/>
            <w:noWrap/>
            <w:vAlign w:val="bottom"/>
            <w:hideMark/>
          </w:tcPr>
          <w:p w14:paraId="7D31906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1.2%</w:t>
            </w:r>
          </w:p>
        </w:tc>
        <w:tc>
          <w:tcPr>
            <w:tcW w:w="0" w:type="auto"/>
            <w:tcBorders>
              <w:top w:val="nil"/>
              <w:left w:val="nil"/>
              <w:bottom w:val="single" w:sz="4" w:space="0" w:color="auto"/>
              <w:right w:val="single" w:sz="4" w:space="0" w:color="auto"/>
            </w:tcBorders>
            <w:shd w:val="clear" w:color="000000" w:fill="DAEEF3"/>
            <w:noWrap/>
            <w:vAlign w:val="bottom"/>
            <w:hideMark/>
          </w:tcPr>
          <w:p w14:paraId="717CF60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4.07%</w:t>
            </w:r>
          </w:p>
        </w:tc>
      </w:tr>
      <w:tr w:rsidR="00F20114" w:rsidRPr="008E0033" w14:paraId="6086F103"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C795C7"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Manningham (C)</w:t>
            </w:r>
          </w:p>
        </w:tc>
        <w:tc>
          <w:tcPr>
            <w:tcW w:w="0" w:type="auto"/>
            <w:tcBorders>
              <w:top w:val="nil"/>
              <w:left w:val="nil"/>
              <w:bottom w:val="single" w:sz="4" w:space="0" w:color="auto"/>
              <w:right w:val="single" w:sz="4" w:space="0" w:color="auto"/>
            </w:tcBorders>
            <w:shd w:val="clear" w:color="000000" w:fill="FDE9D9"/>
            <w:noWrap/>
            <w:vAlign w:val="bottom"/>
            <w:hideMark/>
          </w:tcPr>
          <w:p w14:paraId="75C9BA0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0.38%</w:t>
            </w:r>
          </w:p>
        </w:tc>
        <w:tc>
          <w:tcPr>
            <w:tcW w:w="0" w:type="auto"/>
            <w:tcBorders>
              <w:top w:val="nil"/>
              <w:left w:val="nil"/>
              <w:bottom w:val="single" w:sz="4" w:space="0" w:color="auto"/>
              <w:right w:val="single" w:sz="4" w:space="0" w:color="auto"/>
            </w:tcBorders>
            <w:shd w:val="clear" w:color="000000" w:fill="FDE9D9"/>
            <w:noWrap/>
            <w:vAlign w:val="bottom"/>
            <w:hideMark/>
          </w:tcPr>
          <w:p w14:paraId="56F2640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0.92%</w:t>
            </w:r>
          </w:p>
        </w:tc>
        <w:tc>
          <w:tcPr>
            <w:tcW w:w="0" w:type="auto"/>
            <w:tcBorders>
              <w:top w:val="nil"/>
              <w:left w:val="nil"/>
              <w:bottom w:val="single" w:sz="4" w:space="0" w:color="auto"/>
              <w:right w:val="single" w:sz="4" w:space="0" w:color="auto"/>
            </w:tcBorders>
            <w:shd w:val="clear" w:color="000000" w:fill="FDE9D9"/>
            <w:noWrap/>
            <w:vAlign w:val="bottom"/>
            <w:hideMark/>
          </w:tcPr>
          <w:p w14:paraId="2BF33C8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-0.54%</w:t>
            </w:r>
          </w:p>
        </w:tc>
        <w:tc>
          <w:tcPr>
            <w:tcW w:w="0" w:type="auto"/>
            <w:tcBorders>
              <w:top w:val="nil"/>
              <w:left w:val="nil"/>
              <w:bottom w:val="single" w:sz="4" w:space="0" w:color="auto"/>
              <w:right w:val="single" w:sz="4" w:space="0" w:color="auto"/>
            </w:tcBorders>
            <w:shd w:val="clear" w:color="000000" w:fill="FDE9D9"/>
            <w:noWrap/>
            <w:vAlign w:val="bottom"/>
            <w:hideMark/>
          </w:tcPr>
          <w:p w14:paraId="2D65C96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0.63%</w:t>
            </w:r>
          </w:p>
        </w:tc>
        <w:tc>
          <w:tcPr>
            <w:tcW w:w="0" w:type="auto"/>
            <w:tcBorders>
              <w:top w:val="nil"/>
              <w:left w:val="nil"/>
              <w:bottom w:val="single" w:sz="4" w:space="0" w:color="auto"/>
              <w:right w:val="single" w:sz="4" w:space="0" w:color="auto"/>
            </w:tcBorders>
            <w:shd w:val="clear" w:color="000000" w:fill="FDE9D9"/>
            <w:noWrap/>
            <w:vAlign w:val="bottom"/>
            <w:hideMark/>
          </w:tcPr>
          <w:p w14:paraId="34ED584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0.95%</w:t>
            </w:r>
          </w:p>
        </w:tc>
        <w:tc>
          <w:tcPr>
            <w:tcW w:w="0" w:type="auto"/>
            <w:tcBorders>
              <w:top w:val="nil"/>
              <w:left w:val="nil"/>
              <w:bottom w:val="single" w:sz="4" w:space="0" w:color="auto"/>
              <w:right w:val="single" w:sz="4" w:space="0" w:color="auto"/>
            </w:tcBorders>
            <w:shd w:val="clear" w:color="000000" w:fill="FDE9D9"/>
            <w:noWrap/>
            <w:vAlign w:val="bottom"/>
            <w:hideMark/>
          </w:tcPr>
          <w:p w14:paraId="105F808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-0.32%</w:t>
            </w:r>
          </w:p>
        </w:tc>
        <w:tc>
          <w:tcPr>
            <w:tcW w:w="0" w:type="auto"/>
            <w:tcBorders>
              <w:top w:val="nil"/>
              <w:left w:val="nil"/>
              <w:bottom w:val="single" w:sz="4" w:space="0" w:color="auto"/>
              <w:right w:val="single" w:sz="4" w:space="0" w:color="auto"/>
            </w:tcBorders>
            <w:shd w:val="clear" w:color="000000" w:fill="B7DEE8"/>
            <w:noWrap/>
            <w:vAlign w:val="bottom"/>
            <w:hideMark/>
          </w:tcPr>
          <w:p w14:paraId="3AD3208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2.50%</w:t>
            </w:r>
          </w:p>
        </w:tc>
        <w:tc>
          <w:tcPr>
            <w:tcW w:w="0" w:type="auto"/>
            <w:tcBorders>
              <w:top w:val="nil"/>
              <w:left w:val="nil"/>
              <w:bottom w:val="single" w:sz="4" w:space="0" w:color="auto"/>
              <w:right w:val="single" w:sz="4" w:space="0" w:color="auto"/>
            </w:tcBorders>
            <w:shd w:val="clear" w:color="000000" w:fill="B7DEE8"/>
            <w:noWrap/>
            <w:vAlign w:val="bottom"/>
            <w:hideMark/>
          </w:tcPr>
          <w:p w14:paraId="509482B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0.54%</w:t>
            </w:r>
          </w:p>
        </w:tc>
        <w:tc>
          <w:tcPr>
            <w:tcW w:w="0" w:type="auto"/>
            <w:tcBorders>
              <w:top w:val="nil"/>
              <w:left w:val="nil"/>
              <w:bottom w:val="single" w:sz="4" w:space="0" w:color="auto"/>
              <w:right w:val="single" w:sz="4" w:space="0" w:color="auto"/>
            </w:tcBorders>
            <w:shd w:val="clear" w:color="000000" w:fill="B7DEE8"/>
            <w:noWrap/>
            <w:vAlign w:val="bottom"/>
            <w:hideMark/>
          </w:tcPr>
          <w:p w14:paraId="6C67508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w:t>
            </w:r>
          </w:p>
        </w:tc>
        <w:tc>
          <w:tcPr>
            <w:tcW w:w="0" w:type="auto"/>
            <w:tcBorders>
              <w:top w:val="nil"/>
              <w:left w:val="nil"/>
              <w:bottom w:val="single" w:sz="4" w:space="0" w:color="auto"/>
              <w:right w:val="single" w:sz="4" w:space="0" w:color="auto"/>
            </w:tcBorders>
            <w:shd w:val="clear" w:color="000000" w:fill="DAEEF3"/>
            <w:noWrap/>
            <w:vAlign w:val="bottom"/>
            <w:hideMark/>
          </w:tcPr>
          <w:p w14:paraId="5288ADF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3.61%</w:t>
            </w:r>
          </w:p>
        </w:tc>
      </w:tr>
      <w:tr w:rsidR="00F20114" w:rsidRPr="008E0033" w14:paraId="16B6C794"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D8EBD6"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Mansfield (S)</w:t>
            </w:r>
          </w:p>
        </w:tc>
        <w:tc>
          <w:tcPr>
            <w:tcW w:w="0" w:type="auto"/>
            <w:tcBorders>
              <w:top w:val="nil"/>
              <w:left w:val="nil"/>
              <w:bottom w:val="single" w:sz="4" w:space="0" w:color="auto"/>
              <w:right w:val="single" w:sz="4" w:space="0" w:color="auto"/>
            </w:tcBorders>
            <w:shd w:val="clear" w:color="000000" w:fill="FDE9D9"/>
            <w:noWrap/>
            <w:vAlign w:val="bottom"/>
            <w:hideMark/>
          </w:tcPr>
          <w:p w14:paraId="23DC523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0.73%</w:t>
            </w:r>
          </w:p>
        </w:tc>
        <w:tc>
          <w:tcPr>
            <w:tcW w:w="0" w:type="auto"/>
            <w:tcBorders>
              <w:top w:val="nil"/>
              <w:left w:val="nil"/>
              <w:bottom w:val="single" w:sz="4" w:space="0" w:color="auto"/>
              <w:right w:val="single" w:sz="4" w:space="0" w:color="auto"/>
            </w:tcBorders>
            <w:shd w:val="clear" w:color="000000" w:fill="FDE9D9"/>
            <w:noWrap/>
            <w:vAlign w:val="bottom"/>
            <w:hideMark/>
          </w:tcPr>
          <w:p w14:paraId="564B3A9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0.46%</w:t>
            </w:r>
          </w:p>
        </w:tc>
        <w:tc>
          <w:tcPr>
            <w:tcW w:w="0" w:type="auto"/>
            <w:tcBorders>
              <w:top w:val="nil"/>
              <w:left w:val="nil"/>
              <w:bottom w:val="single" w:sz="4" w:space="0" w:color="auto"/>
              <w:right w:val="single" w:sz="4" w:space="0" w:color="auto"/>
            </w:tcBorders>
            <w:shd w:val="clear" w:color="000000" w:fill="FDE9D9"/>
            <w:noWrap/>
            <w:vAlign w:val="bottom"/>
            <w:hideMark/>
          </w:tcPr>
          <w:p w14:paraId="1F144DB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0.26%</w:t>
            </w:r>
          </w:p>
        </w:tc>
        <w:tc>
          <w:tcPr>
            <w:tcW w:w="0" w:type="auto"/>
            <w:tcBorders>
              <w:top w:val="nil"/>
              <w:left w:val="nil"/>
              <w:bottom w:val="single" w:sz="4" w:space="0" w:color="auto"/>
              <w:right w:val="single" w:sz="4" w:space="0" w:color="auto"/>
            </w:tcBorders>
            <w:shd w:val="clear" w:color="000000" w:fill="FDE9D9"/>
            <w:noWrap/>
            <w:vAlign w:val="bottom"/>
            <w:hideMark/>
          </w:tcPr>
          <w:p w14:paraId="68F60D3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1.02%</w:t>
            </w:r>
          </w:p>
        </w:tc>
        <w:tc>
          <w:tcPr>
            <w:tcW w:w="0" w:type="auto"/>
            <w:tcBorders>
              <w:top w:val="nil"/>
              <w:left w:val="nil"/>
              <w:bottom w:val="single" w:sz="4" w:space="0" w:color="auto"/>
              <w:right w:val="single" w:sz="4" w:space="0" w:color="auto"/>
            </w:tcBorders>
            <w:shd w:val="clear" w:color="000000" w:fill="FDE9D9"/>
            <w:noWrap/>
            <w:vAlign w:val="bottom"/>
            <w:hideMark/>
          </w:tcPr>
          <w:p w14:paraId="4264F4F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0.90%</w:t>
            </w:r>
          </w:p>
        </w:tc>
        <w:tc>
          <w:tcPr>
            <w:tcW w:w="0" w:type="auto"/>
            <w:tcBorders>
              <w:top w:val="nil"/>
              <w:left w:val="nil"/>
              <w:bottom w:val="single" w:sz="4" w:space="0" w:color="auto"/>
              <w:right w:val="single" w:sz="4" w:space="0" w:color="auto"/>
            </w:tcBorders>
            <w:shd w:val="clear" w:color="000000" w:fill="FDE9D9"/>
            <w:noWrap/>
            <w:vAlign w:val="bottom"/>
            <w:hideMark/>
          </w:tcPr>
          <w:p w14:paraId="3617156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0.12%</w:t>
            </w:r>
          </w:p>
        </w:tc>
        <w:tc>
          <w:tcPr>
            <w:tcW w:w="0" w:type="auto"/>
            <w:tcBorders>
              <w:top w:val="nil"/>
              <w:left w:val="nil"/>
              <w:bottom w:val="single" w:sz="4" w:space="0" w:color="auto"/>
              <w:right w:val="single" w:sz="4" w:space="0" w:color="auto"/>
            </w:tcBorders>
            <w:shd w:val="clear" w:color="000000" w:fill="B7DEE8"/>
            <w:noWrap/>
            <w:vAlign w:val="bottom"/>
            <w:hideMark/>
          </w:tcPr>
          <w:p w14:paraId="2E9CF08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3.32%</w:t>
            </w:r>
          </w:p>
        </w:tc>
        <w:tc>
          <w:tcPr>
            <w:tcW w:w="0" w:type="auto"/>
            <w:tcBorders>
              <w:top w:val="nil"/>
              <w:left w:val="nil"/>
              <w:bottom w:val="single" w:sz="4" w:space="0" w:color="auto"/>
              <w:right w:val="single" w:sz="4" w:space="0" w:color="auto"/>
            </w:tcBorders>
            <w:shd w:val="clear" w:color="000000" w:fill="B7DEE8"/>
            <w:noWrap/>
            <w:vAlign w:val="bottom"/>
            <w:hideMark/>
          </w:tcPr>
          <w:p w14:paraId="55C52CC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-0.26%</w:t>
            </w:r>
          </w:p>
        </w:tc>
        <w:tc>
          <w:tcPr>
            <w:tcW w:w="0" w:type="auto"/>
            <w:tcBorders>
              <w:top w:val="nil"/>
              <w:left w:val="nil"/>
              <w:bottom w:val="single" w:sz="4" w:space="0" w:color="auto"/>
              <w:right w:val="single" w:sz="4" w:space="0" w:color="auto"/>
            </w:tcBorders>
            <w:shd w:val="clear" w:color="000000" w:fill="B7DEE8"/>
            <w:noWrap/>
            <w:vAlign w:val="bottom"/>
            <w:hideMark/>
          </w:tcPr>
          <w:p w14:paraId="0853F38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w:t>
            </w:r>
          </w:p>
        </w:tc>
        <w:tc>
          <w:tcPr>
            <w:tcW w:w="0" w:type="auto"/>
            <w:tcBorders>
              <w:top w:val="nil"/>
              <w:left w:val="nil"/>
              <w:bottom w:val="single" w:sz="4" w:space="0" w:color="auto"/>
              <w:right w:val="single" w:sz="4" w:space="0" w:color="auto"/>
            </w:tcBorders>
            <w:shd w:val="clear" w:color="000000" w:fill="DAEEF3"/>
            <w:noWrap/>
            <w:vAlign w:val="bottom"/>
            <w:hideMark/>
          </w:tcPr>
          <w:p w14:paraId="17B1AFE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2.79%</w:t>
            </w:r>
          </w:p>
        </w:tc>
      </w:tr>
      <w:tr w:rsidR="00F20114" w:rsidRPr="008E0033" w14:paraId="42D34E7F"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13403E"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Maribyrnong (C)</w:t>
            </w:r>
          </w:p>
        </w:tc>
        <w:tc>
          <w:tcPr>
            <w:tcW w:w="0" w:type="auto"/>
            <w:tcBorders>
              <w:top w:val="nil"/>
              <w:left w:val="nil"/>
              <w:bottom w:val="single" w:sz="4" w:space="0" w:color="auto"/>
              <w:right w:val="single" w:sz="4" w:space="0" w:color="auto"/>
            </w:tcBorders>
            <w:shd w:val="clear" w:color="000000" w:fill="FDE9D9"/>
            <w:noWrap/>
            <w:vAlign w:val="bottom"/>
            <w:hideMark/>
          </w:tcPr>
          <w:p w14:paraId="669495A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3.08%</w:t>
            </w:r>
          </w:p>
        </w:tc>
        <w:tc>
          <w:tcPr>
            <w:tcW w:w="0" w:type="auto"/>
            <w:tcBorders>
              <w:top w:val="nil"/>
              <w:left w:val="nil"/>
              <w:bottom w:val="single" w:sz="4" w:space="0" w:color="auto"/>
              <w:right w:val="single" w:sz="4" w:space="0" w:color="auto"/>
            </w:tcBorders>
            <w:shd w:val="clear" w:color="000000" w:fill="FDE9D9"/>
            <w:noWrap/>
            <w:vAlign w:val="bottom"/>
            <w:hideMark/>
          </w:tcPr>
          <w:p w14:paraId="6D3E806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3.30%</w:t>
            </w:r>
          </w:p>
        </w:tc>
        <w:tc>
          <w:tcPr>
            <w:tcW w:w="0" w:type="auto"/>
            <w:tcBorders>
              <w:top w:val="nil"/>
              <w:left w:val="nil"/>
              <w:bottom w:val="single" w:sz="4" w:space="0" w:color="auto"/>
              <w:right w:val="single" w:sz="4" w:space="0" w:color="auto"/>
            </w:tcBorders>
            <w:shd w:val="clear" w:color="000000" w:fill="FDE9D9"/>
            <w:noWrap/>
            <w:vAlign w:val="bottom"/>
            <w:hideMark/>
          </w:tcPr>
          <w:p w14:paraId="11D20ED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-0.22%</w:t>
            </w:r>
          </w:p>
        </w:tc>
        <w:tc>
          <w:tcPr>
            <w:tcW w:w="0" w:type="auto"/>
            <w:tcBorders>
              <w:top w:val="nil"/>
              <w:left w:val="nil"/>
              <w:bottom w:val="single" w:sz="4" w:space="0" w:color="auto"/>
              <w:right w:val="single" w:sz="4" w:space="0" w:color="auto"/>
            </w:tcBorders>
            <w:shd w:val="clear" w:color="000000" w:fill="FDE9D9"/>
            <w:noWrap/>
            <w:vAlign w:val="bottom"/>
            <w:hideMark/>
          </w:tcPr>
          <w:p w14:paraId="428F68B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3.20%</w:t>
            </w:r>
          </w:p>
        </w:tc>
        <w:tc>
          <w:tcPr>
            <w:tcW w:w="0" w:type="auto"/>
            <w:tcBorders>
              <w:top w:val="nil"/>
              <w:left w:val="nil"/>
              <w:bottom w:val="single" w:sz="4" w:space="0" w:color="auto"/>
              <w:right w:val="single" w:sz="4" w:space="0" w:color="auto"/>
            </w:tcBorders>
            <w:shd w:val="clear" w:color="000000" w:fill="FDE9D9"/>
            <w:noWrap/>
            <w:vAlign w:val="bottom"/>
            <w:hideMark/>
          </w:tcPr>
          <w:p w14:paraId="12B18AA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2.60%</w:t>
            </w:r>
          </w:p>
        </w:tc>
        <w:tc>
          <w:tcPr>
            <w:tcW w:w="0" w:type="auto"/>
            <w:tcBorders>
              <w:top w:val="nil"/>
              <w:left w:val="nil"/>
              <w:bottom w:val="single" w:sz="4" w:space="0" w:color="auto"/>
              <w:right w:val="single" w:sz="4" w:space="0" w:color="auto"/>
            </w:tcBorders>
            <w:shd w:val="clear" w:color="000000" w:fill="FDE9D9"/>
            <w:noWrap/>
            <w:vAlign w:val="bottom"/>
            <w:hideMark/>
          </w:tcPr>
          <w:p w14:paraId="401FFAE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0.59%</w:t>
            </w:r>
          </w:p>
        </w:tc>
        <w:tc>
          <w:tcPr>
            <w:tcW w:w="0" w:type="auto"/>
            <w:tcBorders>
              <w:top w:val="nil"/>
              <w:left w:val="nil"/>
              <w:bottom w:val="single" w:sz="4" w:space="0" w:color="auto"/>
              <w:right w:val="single" w:sz="4" w:space="0" w:color="auto"/>
            </w:tcBorders>
            <w:shd w:val="clear" w:color="000000" w:fill="B7DEE8"/>
            <w:noWrap/>
            <w:vAlign w:val="bottom"/>
            <w:hideMark/>
          </w:tcPr>
          <w:p w14:paraId="25E98DD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2.83%</w:t>
            </w:r>
          </w:p>
        </w:tc>
        <w:tc>
          <w:tcPr>
            <w:tcW w:w="0" w:type="auto"/>
            <w:tcBorders>
              <w:top w:val="nil"/>
              <w:left w:val="nil"/>
              <w:bottom w:val="single" w:sz="4" w:space="0" w:color="auto"/>
              <w:right w:val="single" w:sz="4" w:space="0" w:color="auto"/>
            </w:tcBorders>
            <w:shd w:val="clear" w:color="000000" w:fill="B7DEE8"/>
            <w:noWrap/>
            <w:vAlign w:val="bottom"/>
            <w:hideMark/>
          </w:tcPr>
          <w:p w14:paraId="0BF4539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0.22%</w:t>
            </w:r>
          </w:p>
        </w:tc>
        <w:tc>
          <w:tcPr>
            <w:tcW w:w="0" w:type="auto"/>
            <w:tcBorders>
              <w:top w:val="nil"/>
              <w:left w:val="nil"/>
              <w:bottom w:val="single" w:sz="4" w:space="0" w:color="auto"/>
              <w:right w:val="single" w:sz="4" w:space="0" w:color="auto"/>
            </w:tcBorders>
            <w:shd w:val="clear" w:color="000000" w:fill="B7DEE8"/>
            <w:noWrap/>
            <w:vAlign w:val="bottom"/>
            <w:hideMark/>
          </w:tcPr>
          <w:p w14:paraId="3737AEC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2.3%</w:t>
            </w:r>
          </w:p>
        </w:tc>
        <w:tc>
          <w:tcPr>
            <w:tcW w:w="0" w:type="auto"/>
            <w:tcBorders>
              <w:top w:val="nil"/>
              <w:left w:val="nil"/>
              <w:bottom w:val="single" w:sz="4" w:space="0" w:color="auto"/>
              <w:right w:val="single" w:sz="4" w:space="0" w:color="auto"/>
            </w:tcBorders>
            <w:shd w:val="clear" w:color="000000" w:fill="DAEEF3"/>
            <w:noWrap/>
            <w:vAlign w:val="bottom"/>
            <w:hideMark/>
          </w:tcPr>
          <w:p w14:paraId="6E3A04B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3.27%</w:t>
            </w:r>
          </w:p>
        </w:tc>
      </w:tr>
      <w:tr w:rsidR="00F20114" w:rsidRPr="008E0033" w14:paraId="0D37EA7B"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774790"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Maroondah (C)</w:t>
            </w:r>
          </w:p>
        </w:tc>
        <w:tc>
          <w:tcPr>
            <w:tcW w:w="0" w:type="auto"/>
            <w:tcBorders>
              <w:top w:val="nil"/>
              <w:left w:val="nil"/>
              <w:bottom w:val="single" w:sz="4" w:space="0" w:color="auto"/>
              <w:right w:val="single" w:sz="4" w:space="0" w:color="auto"/>
            </w:tcBorders>
            <w:shd w:val="clear" w:color="000000" w:fill="FDE9D9"/>
            <w:noWrap/>
            <w:vAlign w:val="bottom"/>
            <w:hideMark/>
          </w:tcPr>
          <w:p w14:paraId="5E01289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1.10%</w:t>
            </w:r>
          </w:p>
        </w:tc>
        <w:tc>
          <w:tcPr>
            <w:tcW w:w="0" w:type="auto"/>
            <w:tcBorders>
              <w:top w:val="nil"/>
              <w:left w:val="nil"/>
              <w:bottom w:val="single" w:sz="4" w:space="0" w:color="auto"/>
              <w:right w:val="single" w:sz="4" w:space="0" w:color="auto"/>
            </w:tcBorders>
            <w:shd w:val="clear" w:color="000000" w:fill="FDE9D9"/>
            <w:noWrap/>
            <w:vAlign w:val="bottom"/>
            <w:hideMark/>
          </w:tcPr>
          <w:p w14:paraId="6D7F1B6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1.58%</w:t>
            </w:r>
          </w:p>
        </w:tc>
        <w:tc>
          <w:tcPr>
            <w:tcW w:w="0" w:type="auto"/>
            <w:tcBorders>
              <w:top w:val="nil"/>
              <w:left w:val="nil"/>
              <w:bottom w:val="single" w:sz="4" w:space="0" w:color="auto"/>
              <w:right w:val="single" w:sz="4" w:space="0" w:color="auto"/>
            </w:tcBorders>
            <w:shd w:val="clear" w:color="000000" w:fill="FDE9D9"/>
            <w:noWrap/>
            <w:vAlign w:val="bottom"/>
            <w:hideMark/>
          </w:tcPr>
          <w:p w14:paraId="404BCDA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-0.48%</w:t>
            </w:r>
          </w:p>
        </w:tc>
        <w:tc>
          <w:tcPr>
            <w:tcW w:w="0" w:type="auto"/>
            <w:tcBorders>
              <w:top w:val="nil"/>
              <w:left w:val="nil"/>
              <w:bottom w:val="single" w:sz="4" w:space="0" w:color="auto"/>
              <w:right w:val="single" w:sz="4" w:space="0" w:color="auto"/>
            </w:tcBorders>
            <w:shd w:val="clear" w:color="000000" w:fill="FDE9D9"/>
            <w:noWrap/>
            <w:vAlign w:val="bottom"/>
            <w:hideMark/>
          </w:tcPr>
          <w:p w14:paraId="371D948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1.40%</w:t>
            </w:r>
          </w:p>
        </w:tc>
        <w:tc>
          <w:tcPr>
            <w:tcW w:w="0" w:type="auto"/>
            <w:tcBorders>
              <w:top w:val="nil"/>
              <w:left w:val="nil"/>
              <w:bottom w:val="single" w:sz="4" w:space="0" w:color="auto"/>
              <w:right w:val="single" w:sz="4" w:space="0" w:color="auto"/>
            </w:tcBorders>
            <w:shd w:val="clear" w:color="000000" w:fill="FDE9D9"/>
            <w:noWrap/>
            <w:vAlign w:val="bottom"/>
            <w:hideMark/>
          </w:tcPr>
          <w:p w14:paraId="04D8BBF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1.09%</w:t>
            </w:r>
          </w:p>
        </w:tc>
        <w:tc>
          <w:tcPr>
            <w:tcW w:w="0" w:type="auto"/>
            <w:tcBorders>
              <w:top w:val="nil"/>
              <w:left w:val="nil"/>
              <w:bottom w:val="single" w:sz="4" w:space="0" w:color="auto"/>
              <w:right w:val="single" w:sz="4" w:space="0" w:color="auto"/>
            </w:tcBorders>
            <w:shd w:val="clear" w:color="000000" w:fill="FDE9D9"/>
            <w:noWrap/>
            <w:vAlign w:val="bottom"/>
            <w:hideMark/>
          </w:tcPr>
          <w:p w14:paraId="09B0BFC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0.31%</w:t>
            </w:r>
          </w:p>
        </w:tc>
        <w:tc>
          <w:tcPr>
            <w:tcW w:w="0" w:type="auto"/>
            <w:tcBorders>
              <w:top w:val="nil"/>
              <w:left w:val="nil"/>
              <w:bottom w:val="single" w:sz="4" w:space="0" w:color="auto"/>
              <w:right w:val="single" w:sz="4" w:space="0" w:color="auto"/>
            </w:tcBorders>
            <w:shd w:val="clear" w:color="000000" w:fill="B7DEE8"/>
            <w:noWrap/>
            <w:vAlign w:val="bottom"/>
            <w:hideMark/>
          </w:tcPr>
          <w:p w14:paraId="5CBA6AE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2.56%</w:t>
            </w:r>
          </w:p>
        </w:tc>
        <w:tc>
          <w:tcPr>
            <w:tcW w:w="0" w:type="auto"/>
            <w:tcBorders>
              <w:top w:val="nil"/>
              <w:left w:val="nil"/>
              <w:bottom w:val="single" w:sz="4" w:space="0" w:color="auto"/>
              <w:right w:val="single" w:sz="4" w:space="0" w:color="auto"/>
            </w:tcBorders>
            <w:shd w:val="clear" w:color="000000" w:fill="B7DEE8"/>
            <w:noWrap/>
            <w:vAlign w:val="bottom"/>
            <w:hideMark/>
          </w:tcPr>
          <w:p w14:paraId="76A49E9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0.47%</w:t>
            </w:r>
          </w:p>
        </w:tc>
        <w:tc>
          <w:tcPr>
            <w:tcW w:w="0" w:type="auto"/>
            <w:tcBorders>
              <w:top w:val="nil"/>
              <w:left w:val="nil"/>
              <w:bottom w:val="single" w:sz="4" w:space="0" w:color="auto"/>
              <w:right w:val="single" w:sz="4" w:space="0" w:color="auto"/>
            </w:tcBorders>
            <w:shd w:val="clear" w:color="000000" w:fill="B7DEE8"/>
            <w:noWrap/>
            <w:vAlign w:val="bottom"/>
            <w:hideMark/>
          </w:tcPr>
          <w:p w14:paraId="24653CA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w:t>
            </w:r>
          </w:p>
        </w:tc>
        <w:tc>
          <w:tcPr>
            <w:tcW w:w="0" w:type="auto"/>
            <w:tcBorders>
              <w:top w:val="nil"/>
              <w:left w:val="nil"/>
              <w:bottom w:val="single" w:sz="4" w:space="0" w:color="auto"/>
              <w:right w:val="single" w:sz="4" w:space="0" w:color="auto"/>
            </w:tcBorders>
            <w:shd w:val="clear" w:color="000000" w:fill="DAEEF3"/>
            <w:noWrap/>
            <w:vAlign w:val="bottom"/>
            <w:hideMark/>
          </w:tcPr>
          <w:p w14:paraId="5AD3DFA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3.54%</w:t>
            </w:r>
          </w:p>
        </w:tc>
      </w:tr>
      <w:tr w:rsidR="00F20114" w:rsidRPr="008E0033" w14:paraId="2CB4703F"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2B17DF"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Melbourne (C)</w:t>
            </w:r>
          </w:p>
        </w:tc>
        <w:tc>
          <w:tcPr>
            <w:tcW w:w="0" w:type="auto"/>
            <w:tcBorders>
              <w:top w:val="nil"/>
              <w:left w:val="nil"/>
              <w:bottom w:val="single" w:sz="4" w:space="0" w:color="auto"/>
              <w:right w:val="single" w:sz="4" w:space="0" w:color="auto"/>
            </w:tcBorders>
            <w:shd w:val="clear" w:color="000000" w:fill="FDE9D9"/>
            <w:noWrap/>
            <w:vAlign w:val="bottom"/>
            <w:hideMark/>
          </w:tcPr>
          <w:p w14:paraId="513F9FC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7.24%</w:t>
            </w:r>
          </w:p>
        </w:tc>
        <w:tc>
          <w:tcPr>
            <w:tcW w:w="0" w:type="auto"/>
            <w:tcBorders>
              <w:top w:val="nil"/>
              <w:left w:val="nil"/>
              <w:bottom w:val="single" w:sz="4" w:space="0" w:color="auto"/>
              <w:right w:val="single" w:sz="4" w:space="0" w:color="auto"/>
            </w:tcBorders>
            <w:shd w:val="clear" w:color="000000" w:fill="FDE9D9"/>
            <w:noWrap/>
            <w:vAlign w:val="bottom"/>
            <w:hideMark/>
          </w:tcPr>
          <w:p w14:paraId="10E1600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5.02%</w:t>
            </w:r>
          </w:p>
        </w:tc>
        <w:tc>
          <w:tcPr>
            <w:tcW w:w="0" w:type="auto"/>
            <w:tcBorders>
              <w:top w:val="nil"/>
              <w:left w:val="nil"/>
              <w:bottom w:val="single" w:sz="4" w:space="0" w:color="auto"/>
              <w:right w:val="single" w:sz="4" w:space="0" w:color="auto"/>
            </w:tcBorders>
            <w:shd w:val="clear" w:color="000000" w:fill="FDE9D9"/>
            <w:noWrap/>
            <w:vAlign w:val="bottom"/>
            <w:hideMark/>
          </w:tcPr>
          <w:p w14:paraId="312C972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2.21%</w:t>
            </w:r>
          </w:p>
        </w:tc>
        <w:tc>
          <w:tcPr>
            <w:tcW w:w="0" w:type="auto"/>
            <w:tcBorders>
              <w:top w:val="nil"/>
              <w:left w:val="nil"/>
              <w:bottom w:val="single" w:sz="4" w:space="0" w:color="auto"/>
              <w:right w:val="single" w:sz="4" w:space="0" w:color="auto"/>
            </w:tcBorders>
            <w:shd w:val="clear" w:color="000000" w:fill="FDE9D9"/>
            <w:noWrap/>
            <w:vAlign w:val="bottom"/>
            <w:hideMark/>
          </w:tcPr>
          <w:p w14:paraId="16AF5AA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7.67%</w:t>
            </w:r>
          </w:p>
        </w:tc>
        <w:tc>
          <w:tcPr>
            <w:tcW w:w="0" w:type="auto"/>
            <w:tcBorders>
              <w:top w:val="nil"/>
              <w:left w:val="nil"/>
              <w:bottom w:val="single" w:sz="4" w:space="0" w:color="auto"/>
              <w:right w:val="single" w:sz="4" w:space="0" w:color="auto"/>
            </w:tcBorders>
            <w:shd w:val="clear" w:color="000000" w:fill="FDE9D9"/>
            <w:noWrap/>
            <w:vAlign w:val="bottom"/>
            <w:hideMark/>
          </w:tcPr>
          <w:p w14:paraId="6035AE4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5.55%</w:t>
            </w:r>
          </w:p>
        </w:tc>
        <w:tc>
          <w:tcPr>
            <w:tcW w:w="0" w:type="auto"/>
            <w:tcBorders>
              <w:top w:val="nil"/>
              <w:left w:val="nil"/>
              <w:bottom w:val="single" w:sz="4" w:space="0" w:color="auto"/>
              <w:right w:val="single" w:sz="4" w:space="0" w:color="auto"/>
            </w:tcBorders>
            <w:shd w:val="clear" w:color="000000" w:fill="FDE9D9"/>
            <w:noWrap/>
            <w:vAlign w:val="bottom"/>
            <w:hideMark/>
          </w:tcPr>
          <w:p w14:paraId="066CC6E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2.12%</w:t>
            </w:r>
          </w:p>
        </w:tc>
        <w:tc>
          <w:tcPr>
            <w:tcW w:w="0" w:type="auto"/>
            <w:tcBorders>
              <w:top w:val="nil"/>
              <w:left w:val="nil"/>
              <w:bottom w:val="single" w:sz="4" w:space="0" w:color="auto"/>
              <w:right w:val="single" w:sz="4" w:space="0" w:color="auto"/>
            </w:tcBorders>
            <w:shd w:val="clear" w:color="000000" w:fill="B7DEE8"/>
            <w:noWrap/>
            <w:vAlign w:val="bottom"/>
            <w:hideMark/>
          </w:tcPr>
          <w:p w14:paraId="1618046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5.22%</w:t>
            </w:r>
          </w:p>
        </w:tc>
        <w:tc>
          <w:tcPr>
            <w:tcW w:w="0" w:type="auto"/>
            <w:tcBorders>
              <w:top w:val="nil"/>
              <w:left w:val="nil"/>
              <w:bottom w:val="single" w:sz="4" w:space="0" w:color="auto"/>
              <w:right w:val="single" w:sz="4" w:space="0" w:color="auto"/>
            </w:tcBorders>
            <w:shd w:val="clear" w:color="000000" w:fill="B7DEE8"/>
            <w:noWrap/>
            <w:vAlign w:val="bottom"/>
            <w:hideMark/>
          </w:tcPr>
          <w:p w14:paraId="326CE35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-2.06%</w:t>
            </w:r>
          </w:p>
        </w:tc>
        <w:tc>
          <w:tcPr>
            <w:tcW w:w="0" w:type="auto"/>
            <w:tcBorders>
              <w:top w:val="nil"/>
              <w:left w:val="nil"/>
              <w:bottom w:val="single" w:sz="4" w:space="0" w:color="auto"/>
              <w:right w:val="single" w:sz="4" w:space="0" w:color="auto"/>
            </w:tcBorders>
            <w:shd w:val="clear" w:color="000000" w:fill="B7DEE8"/>
            <w:noWrap/>
            <w:vAlign w:val="bottom"/>
            <w:hideMark/>
          </w:tcPr>
          <w:p w14:paraId="165B56B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w:t>
            </w:r>
          </w:p>
        </w:tc>
        <w:tc>
          <w:tcPr>
            <w:tcW w:w="0" w:type="auto"/>
            <w:tcBorders>
              <w:top w:val="nil"/>
              <w:left w:val="nil"/>
              <w:bottom w:val="single" w:sz="4" w:space="0" w:color="auto"/>
              <w:right w:val="single" w:sz="4" w:space="0" w:color="auto"/>
            </w:tcBorders>
            <w:shd w:val="clear" w:color="000000" w:fill="DAEEF3"/>
            <w:noWrap/>
            <w:vAlign w:val="bottom"/>
            <w:hideMark/>
          </w:tcPr>
          <w:p w14:paraId="491B05A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0.93%</w:t>
            </w:r>
          </w:p>
        </w:tc>
      </w:tr>
      <w:tr w:rsidR="00F20114" w:rsidRPr="008E0033" w14:paraId="2D7AA1B4"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42EA8B"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Melton (C)</w:t>
            </w:r>
          </w:p>
        </w:tc>
        <w:tc>
          <w:tcPr>
            <w:tcW w:w="0" w:type="auto"/>
            <w:tcBorders>
              <w:top w:val="nil"/>
              <w:left w:val="nil"/>
              <w:bottom w:val="single" w:sz="4" w:space="0" w:color="auto"/>
              <w:right w:val="single" w:sz="4" w:space="0" w:color="auto"/>
            </w:tcBorders>
            <w:shd w:val="clear" w:color="000000" w:fill="FDE9D9"/>
            <w:noWrap/>
            <w:vAlign w:val="bottom"/>
            <w:hideMark/>
          </w:tcPr>
          <w:p w14:paraId="1F2C9F2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2.94%</w:t>
            </w:r>
          </w:p>
        </w:tc>
        <w:tc>
          <w:tcPr>
            <w:tcW w:w="0" w:type="auto"/>
            <w:tcBorders>
              <w:top w:val="nil"/>
              <w:left w:val="nil"/>
              <w:bottom w:val="single" w:sz="4" w:space="0" w:color="auto"/>
              <w:right w:val="single" w:sz="4" w:space="0" w:color="auto"/>
            </w:tcBorders>
            <w:shd w:val="clear" w:color="000000" w:fill="FDE9D9"/>
            <w:noWrap/>
            <w:vAlign w:val="bottom"/>
            <w:hideMark/>
          </w:tcPr>
          <w:p w14:paraId="0DE3628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3.96%</w:t>
            </w:r>
          </w:p>
        </w:tc>
        <w:tc>
          <w:tcPr>
            <w:tcW w:w="0" w:type="auto"/>
            <w:tcBorders>
              <w:top w:val="nil"/>
              <w:left w:val="nil"/>
              <w:bottom w:val="single" w:sz="4" w:space="0" w:color="auto"/>
              <w:right w:val="single" w:sz="4" w:space="0" w:color="auto"/>
            </w:tcBorders>
            <w:shd w:val="clear" w:color="000000" w:fill="FDE9D9"/>
            <w:noWrap/>
            <w:vAlign w:val="bottom"/>
            <w:hideMark/>
          </w:tcPr>
          <w:p w14:paraId="6747C56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-1.02%</w:t>
            </w:r>
          </w:p>
        </w:tc>
        <w:tc>
          <w:tcPr>
            <w:tcW w:w="0" w:type="auto"/>
            <w:tcBorders>
              <w:top w:val="nil"/>
              <w:left w:val="nil"/>
              <w:bottom w:val="single" w:sz="4" w:space="0" w:color="auto"/>
              <w:right w:val="single" w:sz="4" w:space="0" w:color="auto"/>
            </w:tcBorders>
            <w:shd w:val="clear" w:color="000000" w:fill="FDE9D9"/>
            <w:noWrap/>
            <w:vAlign w:val="bottom"/>
            <w:hideMark/>
          </w:tcPr>
          <w:p w14:paraId="476E1ED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4.07%</w:t>
            </w:r>
          </w:p>
        </w:tc>
        <w:tc>
          <w:tcPr>
            <w:tcW w:w="0" w:type="auto"/>
            <w:tcBorders>
              <w:top w:val="nil"/>
              <w:left w:val="nil"/>
              <w:bottom w:val="single" w:sz="4" w:space="0" w:color="auto"/>
              <w:right w:val="single" w:sz="4" w:space="0" w:color="auto"/>
            </w:tcBorders>
            <w:shd w:val="clear" w:color="000000" w:fill="FDE9D9"/>
            <w:noWrap/>
            <w:vAlign w:val="bottom"/>
            <w:hideMark/>
          </w:tcPr>
          <w:p w14:paraId="66A2376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3.60%</w:t>
            </w:r>
          </w:p>
        </w:tc>
        <w:tc>
          <w:tcPr>
            <w:tcW w:w="0" w:type="auto"/>
            <w:tcBorders>
              <w:top w:val="nil"/>
              <w:left w:val="nil"/>
              <w:bottom w:val="single" w:sz="4" w:space="0" w:color="auto"/>
              <w:right w:val="single" w:sz="4" w:space="0" w:color="auto"/>
            </w:tcBorders>
            <w:shd w:val="clear" w:color="000000" w:fill="FDE9D9"/>
            <w:noWrap/>
            <w:vAlign w:val="bottom"/>
            <w:hideMark/>
          </w:tcPr>
          <w:p w14:paraId="7834830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0.47%</w:t>
            </w:r>
          </w:p>
        </w:tc>
        <w:tc>
          <w:tcPr>
            <w:tcW w:w="0" w:type="auto"/>
            <w:tcBorders>
              <w:top w:val="nil"/>
              <w:left w:val="nil"/>
              <w:bottom w:val="single" w:sz="4" w:space="0" w:color="auto"/>
              <w:right w:val="single" w:sz="4" w:space="0" w:color="auto"/>
            </w:tcBorders>
            <w:shd w:val="clear" w:color="000000" w:fill="B7DEE8"/>
            <w:noWrap/>
            <w:vAlign w:val="bottom"/>
            <w:hideMark/>
          </w:tcPr>
          <w:p w14:paraId="11943D4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2.04%</w:t>
            </w:r>
          </w:p>
        </w:tc>
        <w:tc>
          <w:tcPr>
            <w:tcW w:w="0" w:type="auto"/>
            <w:tcBorders>
              <w:top w:val="nil"/>
              <w:left w:val="nil"/>
              <w:bottom w:val="single" w:sz="4" w:space="0" w:color="auto"/>
              <w:right w:val="single" w:sz="4" w:space="0" w:color="auto"/>
            </w:tcBorders>
            <w:shd w:val="clear" w:color="000000" w:fill="B7DEE8"/>
            <w:noWrap/>
            <w:vAlign w:val="bottom"/>
            <w:hideMark/>
          </w:tcPr>
          <w:p w14:paraId="7EFF7F1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0.99%</w:t>
            </w:r>
          </w:p>
        </w:tc>
        <w:tc>
          <w:tcPr>
            <w:tcW w:w="0" w:type="auto"/>
            <w:tcBorders>
              <w:top w:val="nil"/>
              <w:left w:val="nil"/>
              <w:bottom w:val="single" w:sz="4" w:space="0" w:color="auto"/>
              <w:right w:val="single" w:sz="4" w:space="0" w:color="auto"/>
            </w:tcBorders>
            <w:shd w:val="clear" w:color="000000" w:fill="B7DEE8"/>
            <w:noWrap/>
            <w:vAlign w:val="bottom"/>
            <w:hideMark/>
          </w:tcPr>
          <w:p w14:paraId="2ABAAAC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2.4%</w:t>
            </w:r>
          </w:p>
        </w:tc>
        <w:tc>
          <w:tcPr>
            <w:tcW w:w="0" w:type="auto"/>
            <w:tcBorders>
              <w:top w:val="nil"/>
              <w:left w:val="nil"/>
              <w:bottom w:val="single" w:sz="4" w:space="0" w:color="auto"/>
              <w:right w:val="single" w:sz="4" w:space="0" w:color="auto"/>
            </w:tcBorders>
            <w:shd w:val="clear" w:color="000000" w:fill="DAEEF3"/>
            <w:noWrap/>
            <w:vAlign w:val="bottom"/>
            <w:hideMark/>
          </w:tcPr>
          <w:p w14:paraId="563795C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4.07%</w:t>
            </w:r>
          </w:p>
        </w:tc>
      </w:tr>
      <w:tr w:rsidR="00F20114" w:rsidRPr="008E0033" w14:paraId="6F319DCF"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9A5420"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Mildura (RC)</w:t>
            </w:r>
          </w:p>
        </w:tc>
        <w:tc>
          <w:tcPr>
            <w:tcW w:w="0" w:type="auto"/>
            <w:tcBorders>
              <w:top w:val="nil"/>
              <w:left w:val="nil"/>
              <w:bottom w:val="single" w:sz="4" w:space="0" w:color="auto"/>
              <w:right w:val="single" w:sz="4" w:space="0" w:color="auto"/>
            </w:tcBorders>
            <w:shd w:val="clear" w:color="000000" w:fill="FDE9D9"/>
            <w:noWrap/>
            <w:vAlign w:val="bottom"/>
            <w:hideMark/>
          </w:tcPr>
          <w:p w14:paraId="3F9A326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0.57%</w:t>
            </w:r>
          </w:p>
        </w:tc>
        <w:tc>
          <w:tcPr>
            <w:tcW w:w="0" w:type="auto"/>
            <w:tcBorders>
              <w:top w:val="nil"/>
              <w:left w:val="nil"/>
              <w:bottom w:val="single" w:sz="4" w:space="0" w:color="auto"/>
              <w:right w:val="single" w:sz="4" w:space="0" w:color="auto"/>
            </w:tcBorders>
            <w:shd w:val="clear" w:color="000000" w:fill="FDE9D9"/>
            <w:noWrap/>
            <w:vAlign w:val="bottom"/>
            <w:hideMark/>
          </w:tcPr>
          <w:p w14:paraId="198B9C8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0.74%</w:t>
            </w:r>
          </w:p>
        </w:tc>
        <w:tc>
          <w:tcPr>
            <w:tcW w:w="0" w:type="auto"/>
            <w:tcBorders>
              <w:top w:val="nil"/>
              <w:left w:val="nil"/>
              <w:bottom w:val="single" w:sz="4" w:space="0" w:color="auto"/>
              <w:right w:val="single" w:sz="4" w:space="0" w:color="auto"/>
            </w:tcBorders>
            <w:shd w:val="clear" w:color="000000" w:fill="FDE9D9"/>
            <w:noWrap/>
            <w:vAlign w:val="bottom"/>
            <w:hideMark/>
          </w:tcPr>
          <w:p w14:paraId="1C002F4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-0.17%</w:t>
            </w:r>
          </w:p>
        </w:tc>
        <w:tc>
          <w:tcPr>
            <w:tcW w:w="0" w:type="auto"/>
            <w:tcBorders>
              <w:top w:val="nil"/>
              <w:left w:val="nil"/>
              <w:bottom w:val="single" w:sz="4" w:space="0" w:color="auto"/>
              <w:right w:val="single" w:sz="4" w:space="0" w:color="auto"/>
            </w:tcBorders>
            <w:shd w:val="clear" w:color="000000" w:fill="FDE9D9"/>
            <w:noWrap/>
            <w:vAlign w:val="bottom"/>
            <w:hideMark/>
          </w:tcPr>
          <w:p w14:paraId="4E234B0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0.80%</w:t>
            </w:r>
          </w:p>
        </w:tc>
        <w:tc>
          <w:tcPr>
            <w:tcW w:w="0" w:type="auto"/>
            <w:tcBorders>
              <w:top w:val="nil"/>
              <w:left w:val="nil"/>
              <w:bottom w:val="single" w:sz="4" w:space="0" w:color="auto"/>
              <w:right w:val="single" w:sz="4" w:space="0" w:color="auto"/>
            </w:tcBorders>
            <w:shd w:val="clear" w:color="000000" w:fill="FDE9D9"/>
            <w:noWrap/>
            <w:vAlign w:val="bottom"/>
            <w:hideMark/>
          </w:tcPr>
          <w:p w14:paraId="3B0326C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0.42%</w:t>
            </w:r>
          </w:p>
        </w:tc>
        <w:tc>
          <w:tcPr>
            <w:tcW w:w="0" w:type="auto"/>
            <w:tcBorders>
              <w:top w:val="nil"/>
              <w:left w:val="nil"/>
              <w:bottom w:val="single" w:sz="4" w:space="0" w:color="auto"/>
              <w:right w:val="single" w:sz="4" w:space="0" w:color="auto"/>
            </w:tcBorders>
            <w:shd w:val="clear" w:color="000000" w:fill="FDE9D9"/>
            <w:noWrap/>
            <w:vAlign w:val="bottom"/>
            <w:hideMark/>
          </w:tcPr>
          <w:p w14:paraId="02F2D60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0.38%</w:t>
            </w:r>
          </w:p>
        </w:tc>
        <w:tc>
          <w:tcPr>
            <w:tcW w:w="0" w:type="auto"/>
            <w:tcBorders>
              <w:top w:val="nil"/>
              <w:left w:val="nil"/>
              <w:bottom w:val="single" w:sz="4" w:space="0" w:color="auto"/>
              <w:right w:val="single" w:sz="4" w:space="0" w:color="auto"/>
            </w:tcBorders>
            <w:shd w:val="clear" w:color="000000" w:fill="B7DEE8"/>
            <w:noWrap/>
            <w:vAlign w:val="bottom"/>
            <w:hideMark/>
          </w:tcPr>
          <w:p w14:paraId="390A173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2.88%</w:t>
            </w:r>
          </w:p>
        </w:tc>
        <w:tc>
          <w:tcPr>
            <w:tcW w:w="0" w:type="auto"/>
            <w:tcBorders>
              <w:top w:val="nil"/>
              <w:left w:val="nil"/>
              <w:bottom w:val="single" w:sz="4" w:space="0" w:color="auto"/>
              <w:right w:val="single" w:sz="4" w:space="0" w:color="auto"/>
            </w:tcBorders>
            <w:shd w:val="clear" w:color="000000" w:fill="B7DEE8"/>
            <w:noWrap/>
            <w:vAlign w:val="bottom"/>
            <w:hideMark/>
          </w:tcPr>
          <w:p w14:paraId="532AAF0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0.17%</w:t>
            </w:r>
          </w:p>
        </w:tc>
        <w:tc>
          <w:tcPr>
            <w:tcW w:w="0" w:type="auto"/>
            <w:tcBorders>
              <w:top w:val="nil"/>
              <w:left w:val="nil"/>
              <w:bottom w:val="single" w:sz="4" w:space="0" w:color="auto"/>
              <w:right w:val="single" w:sz="4" w:space="0" w:color="auto"/>
            </w:tcBorders>
            <w:shd w:val="clear" w:color="000000" w:fill="B7DEE8"/>
            <w:noWrap/>
            <w:vAlign w:val="bottom"/>
            <w:hideMark/>
          </w:tcPr>
          <w:p w14:paraId="2789293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3.0%</w:t>
            </w:r>
          </w:p>
        </w:tc>
        <w:tc>
          <w:tcPr>
            <w:tcW w:w="0" w:type="auto"/>
            <w:tcBorders>
              <w:top w:val="nil"/>
              <w:left w:val="nil"/>
              <w:bottom w:val="single" w:sz="4" w:space="0" w:color="auto"/>
              <w:right w:val="single" w:sz="4" w:space="0" w:color="auto"/>
            </w:tcBorders>
            <w:shd w:val="clear" w:color="000000" w:fill="DAEEF3"/>
            <w:noWrap/>
            <w:vAlign w:val="bottom"/>
            <w:hideMark/>
          </w:tcPr>
          <w:p w14:paraId="53FEC0A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3.22%</w:t>
            </w:r>
          </w:p>
        </w:tc>
      </w:tr>
      <w:tr w:rsidR="00F20114" w:rsidRPr="008E0033" w14:paraId="678E9216"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7FF18D"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Mitchell (S)</w:t>
            </w:r>
          </w:p>
        </w:tc>
        <w:tc>
          <w:tcPr>
            <w:tcW w:w="0" w:type="auto"/>
            <w:tcBorders>
              <w:top w:val="nil"/>
              <w:left w:val="nil"/>
              <w:bottom w:val="single" w:sz="4" w:space="0" w:color="auto"/>
              <w:right w:val="single" w:sz="4" w:space="0" w:color="auto"/>
            </w:tcBorders>
            <w:shd w:val="clear" w:color="000000" w:fill="FDE9D9"/>
            <w:noWrap/>
            <w:vAlign w:val="bottom"/>
            <w:hideMark/>
          </w:tcPr>
          <w:p w14:paraId="1062A8E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2.98%</w:t>
            </w:r>
          </w:p>
        </w:tc>
        <w:tc>
          <w:tcPr>
            <w:tcW w:w="0" w:type="auto"/>
            <w:tcBorders>
              <w:top w:val="nil"/>
              <w:left w:val="nil"/>
              <w:bottom w:val="single" w:sz="4" w:space="0" w:color="auto"/>
              <w:right w:val="single" w:sz="4" w:space="0" w:color="auto"/>
            </w:tcBorders>
            <w:shd w:val="clear" w:color="000000" w:fill="FDE9D9"/>
            <w:noWrap/>
            <w:vAlign w:val="bottom"/>
            <w:hideMark/>
          </w:tcPr>
          <w:p w14:paraId="33F5A6D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3.13%</w:t>
            </w:r>
          </w:p>
        </w:tc>
        <w:tc>
          <w:tcPr>
            <w:tcW w:w="0" w:type="auto"/>
            <w:tcBorders>
              <w:top w:val="nil"/>
              <w:left w:val="nil"/>
              <w:bottom w:val="single" w:sz="4" w:space="0" w:color="auto"/>
              <w:right w:val="single" w:sz="4" w:space="0" w:color="auto"/>
            </w:tcBorders>
            <w:shd w:val="clear" w:color="000000" w:fill="FDE9D9"/>
            <w:noWrap/>
            <w:vAlign w:val="bottom"/>
            <w:hideMark/>
          </w:tcPr>
          <w:p w14:paraId="720E5D8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-0.16%</w:t>
            </w:r>
          </w:p>
        </w:tc>
        <w:tc>
          <w:tcPr>
            <w:tcW w:w="0" w:type="auto"/>
            <w:tcBorders>
              <w:top w:val="nil"/>
              <w:left w:val="nil"/>
              <w:bottom w:val="single" w:sz="4" w:space="0" w:color="auto"/>
              <w:right w:val="single" w:sz="4" w:space="0" w:color="auto"/>
            </w:tcBorders>
            <w:shd w:val="clear" w:color="000000" w:fill="FDE9D9"/>
            <w:noWrap/>
            <w:vAlign w:val="bottom"/>
            <w:hideMark/>
          </w:tcPr>
          <w:p w14:paraId="2C279CB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3.23%</w:t>
            </w:r>
          </w:p>
        </w:tc>
        <w:tc>
          <w:tcPr>
            <w:tcW w:w="0" w:type="auto"/>
            <w:tcBorders>
              <w:top w:val="nil"/>
              <w:left w:val="nil"/>
              <w:bottom w:val="single" w:sz="4" w:space="0" w:color="auto"/>
              <w:right w:val="single" w:sz="4" w:space="0" w:color="auto"/>
            </w:tcBorders>
            <w:shd w:val="clear" w:color="000000" w:fill="FDE9D9"/>
            <w:noWrap/>
            <w:vAlign w:val="bottom"/>
            <w:hideMark/>
          </w:tcPr>
          <w:p w14:paraId="06B44F6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3.02%</w:t>
            </w:r>
          </w:p>
        </w:tc>
        <w:tc>
          <w:tcPr>
            <w:tcW w:w="0" w:type="auto"/>
            <w:tcBorders>
              <w:top w:val="nil"/>
              <w:left w:val="nil"/>
              <w:bottom w:val="single" w:sz="4" w:space="0" w:color="auto"/>
              <w:right w:val="single" w:sz="4" w:space="0" w:color="auto"/>
            </w:tcBorders>
            <w:shd w:val="clear" w:color="000000" w:fill="FDE9D9"/>
            <w:noWrap/>
            <w:vAlign w:val="bottom"/>
            <w:hideMark/>
          </w:tcPr>
          <w:p w14:paraId="4E5624D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0.21%</w:t>
            </w:r>
          </w:p>
        </w:tc>
        <w:tc>
          <w:tcPr>
            <w:tcW w:w="0" w:type="auto"/>
            <w:tcBorders>
              <w:top w:val="nil"/>
              <w:left w:val="nil"/>
              <w:bottom w:val="single" w:sz="4" w:space="0" w:color="auto"/>
              <w:right w:val="single" w:sz="4" w:space="0" w:color="auto"/>
            </w:tcBorders>
            <w:shd w:val="clear" w:color="000000" w:fill="B7DEE8"/>
            <w:noWrap/>
            <w:vAlign w:val="bottom"/>
            <w:hideMark/>
          </w:tcPr>
          <w:p w14:paraId="59D0157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2.89%</w:t>
            </w:r>
          </w:p>
        </w:tc>
        <w:tc>
          <w:tcPr>
            <w:tcW w:w="0" w:type="auto"/>
            <w:tcBorders>
              <w:top w:val="nil"/>
              <w:left w:val="nil"/>
              <w:bottom w:val="single" w:sz="4" w:space="0" w:color="auto"/>
              <w:right w:val="single" w:sz="4" w:space="0" w:color="auto"/>
            </w:tcBorders>
            <w:shd w:val="clear" w:color="000000" w:fill="B7DEE8"/>
            <w:noWrap/>
            <w:vAlign w:val="bottom"/>
            <w:hideMark/>
          </w:tcPr>
          <w:p w14:paraId="1ED4230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0.15%</w:t>
            </w:r>
          </w:p>
        </w:tc>
        <w:tc>
          <w:tcPr>
            <w:tcW w:w="0" w:type="auto"/>
            <w:tcBorders>
              <w:top w:val="nil"/>
              <w:left w:val="nil"/>
              <w:bottom w:val="single" w:sz="4" w:space="0" w:color="auto"/>
              <w:right w:val="single" w:sz="4" w:space="0" w:color="auto"/>
            </w:tcBorders>
            <w:shd w:val="clear" w:color="000000" w:fill="B7DEE8"/>
            <w:noWrap/>
            <w:vAlign w:val="bottom"/>
            <w:hideMark/>
          </w:tcPr>
          <w:p w14:paraId="4B5101E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2.5%</w:t>
            </w:r>
          </w:p>
        </w:tc>
        <w:tc>
          <w:tcPr>
            <w:tcW w:w="0" w:type="auto"/>
            <w:tcBorders>
              <w:top w:val="nil"/>
              <w:left w:val="nil"/>
              <w:bottom w:val="single" w:sz="4" w:space="0" w:color="auto"/>
              <w:right w:val="single" w:sz="4" w:space="0" w:color="auto"/>
            </w:tcBorders>
            <w:shd w:val="clear" w:color="000000" w:fill="DAEEF3"/>
            <w:noWrap/>
            <w:vAlign w:val="bottom"/>
            <w:hideMark/>
          </w:tcPr>
          <w:p w14:paraId="7DC41CB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3.21%</w:t>
            </w:r>
          </w:p>
        </w:tc>
      </w:tr>
      <w:tr w:rsidR="00F20114" w:rsidRPr="008E0033" w14:paraId="0C441ADB"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874EB3"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Moira (S)</w:t>
            </w:r>
          </w:p>
        </w:tc>
        <w:tc>
          <w:tcPr>
            <w:tcW w:w="0" w:type="auto"/>
            <w:tcBorders>
              <w:top w:val="nil"/>
              <w:left w:val="nil"/>
              <w:bottom w:val="single" w:sz="4" w:space="0" w:color="auto"/>
              <w:right w:val="single" w:sz="4" w:space="0" w:color="auto"/>
            </w:tcBorders>
            <w:shd w:val="clear" w:color="000000" w:fill="FDE9D9"/>
            <w:noWrap/>
            <w:vAlign w:val="bottom"/>
            <w:hideMark/>
          </w:tcPr>
          <w:p w14:paraId="58E31AC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2.00%</w:t>
            </w:r>
          </w:p>
        </w:tc>
        <w:tc>
          <w:tcPr>
            <w:tcW w:w="0" w:type="auto"/>
            <w:tcBorders>
              <w:top w:val="nil"/>
              <w:left w:val="nil"/>
              <w:bottom w:val="single" w:sz="4" w:space="0" w:color="auto"/>
              <w:right w:val="single" w:sz="4" w:space="0" w:color="auto"/>
            </w:tcBorders>
            <w:shd w:val="clear" w:color="000000" w:fill="FDE9D9"/>
            <w:noWrap/>
            <w:vAlign w:val="bottom"/>
            <w:hideMark/>
          </w:tcPr>
          <w:p w14:paraId="1B86C71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0.63%</w:t>
            </w:r>
          </w:p>
        </w:tc>
        <w:tc>
          <w:tcPr>
            <w:tcW w:w="0" w:type="auto"/>
            <w:tcBorders>
              <w:top w:val="nil"/>
              <w:left w:val="nil"/>
              <w:bottom w:val="single" w:sz="4" w:space="0" w:color="auto"/>
              <w:right w:val="single" w:sz="4" w:space="0" w:color="auto"/>
            </w:tcBorders>
            <w:shd w:val="clear" w:color="000000" w:fill="FDE9D9"/>
            <w:noWrap/>
            <w:vAlign w:val="bottom"/>
            <w:hideMark/>
          </w:tcPr>
          <w:p w14:paraId="1C8FA64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1.37%</w:t>
            </w:r>
          </w:p>
        </w:tc>
        <w:tc>
          <w:tcPr>
            <w:tcW w:w="0" w:type="auto"/>
            <w:tcBorders>
              <w:top w:val="nil"/>
              <w:left w:val="nil"/>
              <w:bottom w:val="single" w:sz="4" w:space="0" w:color="auto"/>
              <w:right w:val="single" w:sz="4" w:space="0" w:color="auto"/>
            </w:tcBorders>
            <w:shd w:val="clear" w:color="000000" w:fill="FDE9D9"/>
            <w:noWrap/>
            <w:vAlign w:val="bottom"/>
            <w:hideMark/>
          </w:tcPr>
          <w:p w14:paraId="4DEBAA9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0.32%</w:t>
            </w:r>
          </w:p>
        </w:tc>
        <w:tc>
          <w:tcPr>
            <w:tcW w:w="0" w:type="auto"/>
            <w:tcBorders>
              <w:top w:val="nil"/>
              <w:left w:val="nil"/>
              <w:bottom w:val="single" w:sz="4" w:space="0" w:color="auto"/>
              <w:right w:val="single" w:sz="4" w:space="0" w:color="auto"/>
            </w:tcBorders>
            <w:shd w:val="clear" w:color="000000" w:fill="FDE9D9"/>
            <w:noWrap/>
            <w:vAlign w:val="bottom"/>
            <w:hideMark/>
          </w:tcPr>
          <w:p w14:paraId="64FD56A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1.44%</w:t>
            </w:r>
          </w:p>
        </w:tc>
        <w:tc>
          <w:tcPr>
            <w:tcW w:w="0" w:type="auto"/>
            <w:tcBorders>
              <w:top w:val="nil"/>
              <w:left w:val="nil"/>
              <w:bottom w:val="single" w:sz="4" w:space="0" w:color="auto"/>
              <w:right w:val="single" w:sz="4" w:space="0" w:color="auto"/>
            </w:tcBorders>
            <w:shd w:val="clear" w:color="000000" w:fill="FDE9D9"/>
            <w:noWrap/>
            <w:vAlign w:val="bottom"/>
            <w:hideMark/>
          </w:tcPr>
          <w:p w14:paraId="65F203A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-1.11%</w:t>
            </w:r>
          </w:p>
        </w:tc>
        <w:tc>
          <w:tcPr>
            <w:tcW w:w="0" w:type="auto"/>
            <w:tcBorders>
              <w:top w:val="nil"/>
              <w:left w:val="nil"/>
              <w:bottom w:val="single" w:sz="4" w:space="0" w:color="auto"/>
              <w:right w:val="single" w:sz="4" w:space="0" w:color="auto"/>
            </w:tcBorders>
            <w:shd w:val="clear" w:color="000000" w:fill="B7DEE8"/>
            <w:noWrap/>
            <w:vAlign w:val="bottom"/>
            <w:hideMark/>
          </w:tcPr>
          <w:p w14:paraId="1084213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4.46%</w:t>
            </w:r>
          </w:p>
        </w:tc>
        <w:tc>
          <w:tcPr>
            <w:tcW w:w="0" w:type="auto"/>
            <w:tcBorders>
              <w:top w:val="nil"/>
              <w:left w:val="nil"/>
              <w:bottom w:val="single" w:sz="4" w:space="0" w:color="auto"/>
              <w:right w:val="single" w:sz="4" w:space="0" w:color="auto"/>
            </w:tcBorders>
            <w:shd w:val="clear" w:color="000000" w:fill="B7DEE8"/>
            <w:noWrap/>
            <w:vAlign w:val="bottom"/>
            <w:hideMark/>
          </w:tcPr>
          <w:p w14:paraId="37FA661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-1.35%</w:t>
            </w:r>
          </w:p>
        </w:tc>
        <w:tc>
          <w:tcPr>
            <w:tcW w:w="0" w:type="auto"/>
            <w:tcBorders>
              <w:top w:val="nil"/>
              <w:left w:val="nil"/>
              <w:bottom w:val="single" w:sz="4" w:space="0" w:color="auto"/>
              <w:right w:val="single" w:sz="4" w:space="0" w:color="auto"/>
            </w:tcBorders>
            <w:shd w:val="clear" w:color="000000" w:fill="B7DEE8"/>
            <w:noWrap/>
            <w:vAlign w:val="bottom"/>
            <w:hideMark/>
          </w:tcPr>
          <w:p w14:paraId="1C2B3B8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w:t>
            </w:r>
          </w:p>
        </w:tc>
        <w:tc>
          <w:tcPr>
            <w:tcW w:w="0" w:type="auto"/>
            <w:tcBorders>
              <w:top w:val="nil"/>
              <w:left w:val="nil"/>
              <w:bottom w:val="single" w:sz="4" w:space="0" w:color="auto"/>
              <w:right w:val="single" w:sz="4" w:space="0" w:color="auto"/>
            </w:tcBorders>
            <w:shd w:val="clear" w:color="000000" w:fill="DAEEF3"/>
            <w:noWrap/>
            <w:vAlign w:val="bottom"/>
            <w:hideMark/>
          </w:tcPr>
          <w:p w14:paraId="419856B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1.66%</w:t>
            </w:r>
          </w:p>
        </w:tc>
      </w:tr>
      <w:tr w:rsidR="00F20114" w:rsidRPr="008E0033" w14:paraId="5ED55A6D"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C6EBA6"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Monash (C)</w:t>
            </w:r>
          </w:p>
        </w:tc>
        <w:tc>
          <w:tcPr>
            <w:tcW w:w="0" w:type="auto"/>
            <w:tcBorders>
              <w:top w:val="nil"/>
              <w:left w:val="nil"/>
              <w:bottom w:val="single" w:sz="4" w:space="0" w:color="auto"/>
              <w:right w:val="single" w:sz="4" w:space="0" w:color="auto"/>
            </w:tcBorders>
            <w:shd w:val="clear" w:color="000000" w:fill="FDE9D9"/>
            <w:noWrap/>
            <w:vAlign w:val="bottom"/>
            <w:hideMark/>
          </w:tcPr>
          <w:p w14:paraId="094AF99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1.07%</w:t>
            </w:r>
          </w:p>
        </w:tc>
        <w:tc>
          <w:tcPr>
            <w:tcW w:w="0" w:type="auto"/>
            <w:tcBorders>
              <w:top w:val="nil"/>
              <w:left w:val="nil"/>
              <w:bottom w:val="single" w:sz="4" w:space="0" w:color="auto"/>
              <w:right w:val="single" w:sz="4" w:space="0" w:color="auto"/>
            </w:tcBorders>
            <w:shd w:val="clear" w:color="000000" w:fill="FDE9D9"/>
            <w:noWrap/>
            <w:vAlign w:val="bottom"/>
            <w:hideMark/>
          </w:tcPr>
          <w:p w14:paraId="1C56489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1.47%</w:t>
            </w:r>
          </w:p>
        </w:tc>
        <w:tc>
          <w:tcPr>
            <w:tcW w:w="0" w:type="auto"/>
            <w:tcBorders>
              <w:top w:val="nil"/>
              <w:left w:val="nil"/>
              <w:bottom w:val="single" w:sz="4" w:space="0" w:color="auto"/>
              <w:right w:val="single" w:sz="4" w:space="0" w:color="auto"/>
            </w:tcBorders>
            <w:shd w:val="clear" w:color="000000" w:fill="FDE9D9"/>
            <w:noWrap/>
            <w:vAlign w:val="bottom"/>
            <w:hideMark/>
          </w:tcPr>
          <w:p w14:paraId="352A77F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w:t>
            </w:r>
            <w:r w:rsidRPr="008E0033">
              <w:rPr>
                <w:rFonts w:ascii="Calibri" w:hAnsi="Calibri"/>
                <w:color w:val="000000"/>
                <w:sz w:val="16"/>
                <w:szCs w:val="16"/>
                <w:lang w:eastAsia="en-AU"/>
              </w:rPr>
              <w:lastRenderedPageBreak/>
              <w:t>0.40%</w:t>
            </w:r>
          </w:p>
        </w:tc>
        <w:tc>
          <w:tcPr>
            <w:tcW w:w="0" w:type="auto"/>
            <w:tcBorders>
              <w:top w:val="nil"/>
              <w:left w:val="nil"/>
              <w:bottom w:val="single" w:sz="4" w:space="0" w:color="auto"/>
              <w:right w:val="single" w:sz="4" w:space="0" w:color="auto"/>
            </w:tcBorders>
            <w:shd w:val="clear" w:color="000000" w:fill="FDE9D9"/>
            <w:noWrap/>
            <w:vAlign w:val="bottom"/>
            <w:hideMark/>
          </w:tcPr>
          <w:p w14:paraId="3948BBF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lastRenderedPageBreak/>
              <w:t>1.41%</w:t>
            </w:r>
          </w:p>
        </w:tc>
        <w:tc>
          <w:tcPr>
            <w:tcW w:w="0" w:type="auto"/>
            <w:tcBorders>
              <w:top w:val="nil"/>
              <w:left w:val="nil"/>
              <w:bottom w:val="single" w:sz="4" w:space="0" w:color="auto"/>
              <w:right w:val="single" w:sz="4" w:space="0" w:color="auto"/>
            </w:tcBorders>
            <w:shd w:val="clear" w:color="000000" w:fill="FDE9D9"/>
            <w:noWrap/>
            <w:vAlign w:val="bottom"/>
            <w:hideMark/>
          </w:tcPr>
          <w:p w14:paraId="365F8A8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1.16%</w:t>
            </w:r>
          </w:p>
        </w:tc>
        <w:tc>
          <w:tcPr>
            <w:tcW w:w="0" w:type="auto"/>
            <w:tcBorders>
              <w:top w:val="nil"/>
              <w:left w:val="nil"/>
              <w:bottom w:val="single" w:sz="4" w:space="0" w:color="auto"/>
              <w:right w:val="single" w:sz="4" w:space="0" w:color="auto"/>
            </w:tcBorders>
            <w:shd w:val="clear" w:color="000000" w:fill="FDE9D9"/>
            <w:noWrap/>
            <w:vAlign w:val="bottom"/>
            <w:hideMark/>
          </w:tcPr>
          <w:p w14:paraId="0A5360A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0.24%</w:t>
            </w:r>
          </w:p>
        </w:tc>
        <w:tc>
          <w:tcPr>
            <w:tcW w:w="0" w:type="auto"/>
            <w:tcBorders>
              <w:top w:val="nil"/>
              <w:left w:val="nil"/>
              <w:bottom w:val="single" w:sz="4" w:space="0" w:color="auto"/>
              <w:right w:val="single" w:sz="4" w:space="0" w:color="auto"/>
            </w:tcBorders>
            <w:shd w:val="clear" w:color="000000" w:fill="B7DEE8"/>
            <w:noWrap/>
            <w:vAlign w:val="bottom"/>
            <w:hideMark/>
          </w:tcPr>
          <w:p w14:paraId="3BAF8BD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2.64%</w:t>
            </w:r>
          </w:p>
        </w:tc>
        <w:tc>
          <w:tcPr>
            <w:tcW w:w="0" w:type="auto"/>
            <w:tcBorders>
              <w:top w:val="nil"/>
              <w:left w:val="nil"/>
              <w:bottom w:val="single" w:sz="4" w:space="0" w:color="auto"/>
              <w:right w:val="single" w:sz="4" w:space="0" w:color="auto"/>
            </w:tcBorders>
            <w:shd w:val="clear" w:color="000000" w:fill="B7DEE8"/>
            <w:noWrap/>
            <w:vAlign w:val="bottom"/>
            <w:hideMark/>
          </w:tcPr>
          <w:p w14:paraId="589447D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0.40%</w:t>
            </w:r>
          </w:p>
        </w:tc>
        <w:tc>
          <w:tcPr>
            <w:tcW w:w="0" w:type="auto"/>
            <w:tcBorders>
              <w:top w:val="nil"/>
              <w:left w:val="nil"/>
              <w:bottom w:val="single" w:sz="4" w:space="0" w:color="auto"/>
              <w:right w:val="single" w:sz="4" w:space="0" w:color="auto"/>
            </w:tcBorders>
            <w:shd w:val="clear" w:color="000000" w:fill="B7DEE8"/>
            <w:noWrap/>
            <w:vAlign w:val="bottom"/>
            <w:hideMark/>
          </w:tcPr>
          <w:p w14:paraId="4B93E3C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0.9%</w:t>
            </w:r>
          </w:p>
        </w:tc>
        <w:tc>
          <w:tcPr>
            <w:tcW w:w="0" w:type="auto"/>
            <w:tcBorders>
              <w:top w:val="nil"/>
              <w:left w:val="nil"/>
              <w:bottom w:val="single" w:sz="4" w:space="0" w:color="auto"/>
              <w:right w:val="single" w:sz="4" w:space="0" w:color="auto"/>
            </w:tcBorders>
            <w:shd w:val="clear" w:color="000000" w:fill="DAEEF3"/>
            <w:noWrap/>
            <w:vAlign w:val="bottom"/>
            <w:hideMark/>
          </w:tcPr>
          <w:p w14:paraId="03974F9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3.46%</w:t>
            </w:r>
          </w:p>
        </w:tc>
      </w:tr>
      <w:tr w:rsidR="00F20114" w:rsidRPr="008E0033" w14:paraId="45A79157"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FAEA21"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lastRenderedPageBreak/>
              <w:t>Moonee Valley (C)</w:t>
            </w:r>
          </w:p>
        </w:tc>
        <w:tc>
          <w:tcPr>
            <w:tcW w:w="0" w:type="auto"/>
            <w:tcBorders>
              <w:top w:val="nil"/>
              <w:left w:val="nil"/>
              <w:bottom w:val="single" w:sz="4" w:space="0" w:color="auto"/>
              <w:right w:val="single" w:sz="4" w:space="0" w:color="auto"/>
            </w:tcBorders>
            <w:shd w:val="clear" w:color="000000" w:fill="FDE9D9"/>
            <w:noWrap/>
            <w:vAlign w:val="bottom"/>
            <w:hideMark/>
          </w:tcPr>
          <w:p w14:paraId="69F4C85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2.46%</w:t>
            </w:r>
          </w:p>
        </w:tc>
        <w:tc>
          <w:tcPr>
            <w:tcW w:w="0" w:type="auto"/>
            <w:tcBorders>
              <w:top w:val="nil"/>
              <w:left w:val="nil"/>
              <w:bottom w:val="single" w:sz="4" w:space="0" w:color="auto"/>
              <w:right w:val="single" w:sz="4" w:space="0" w:color="auto"/>
            </w:tcBorders>
            <w:shd w:val="clear" w:color="000000" w:fill="FDE9D9"/>
            <w:noWrap/>
            <w:vAlign w:val="bottom"/>
            <w:hideMark/>
          </w:tcPr>
          <w:p w14:paraId="6EB7392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2.02%</w:t>
            </w:r>
          </w:p>
        </w:tc>
        <w:tc>
          <w:tcPr>
            <w:tcW w:w="0" w:type="auto"/>
            <w:tcBorders>
              <w:top w:val="nil"/>
              <w:left w:val="nil"/>
              <w:bottom w:val="single" w:sz="4" w:space="0" w:color="auto"/>
              <w:right w:val="single" w:sz="4" w:space="0" w:color="auto"/>
            </w:tcBorders>
            <w:shd w:val="clear" w:color="000000" w:fill="FDE9D9"/>
            <w:noWrap/>
            <w:vAlign w:val="bottom"/>
            <w:hideMark/>
          </w:tcPr>
          <w:p w14:paraId="06177A5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0.43%</w:t>
            </w:r>
          </w:p>
        </w:tc>
        <w:tc>
          <w:tcPr>
            <w:tcW w:w="0" w:type="auto"/>
            <w:tcBorders>
              <w:top w:val="nil"/>
              <w:left w:val="nil"/>
              <w:bottom w:val="single" w:sz="4" w:space="0" w:color="auto"/>
              <w:right w:val="single" w:sz="4" w:space="0" w:color="auto"/>
            </w:tcBorders>
            <w:shd w:val="clear" w:color="000000" w:fill="FDE9D9"/>
            <w:noWrap/>
            <w:vAlign w:val="bottom"/>
            <w:hideMark/>
          </w:tcPr>
          <w:p w14:paraId="4DBC01F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1.67%</w:t>
            </w:r>
          </w:p>
        </w:tc>
        <w:tc>
          <w:tcPr>
            <w:tcW w:w="0" w:type="auto"/>
            <w:tcBorders>
              <w:top w:val="nil"/>
              <w:left w:val="nil"/>
              <w:bottom w:val="single" w:sz="4" w:space="0" w:color="auto"/>
              <w:right w:val="single" w:sz="4" w:space="0" w:color="auto"/>
            </w:tcBorders>
            <w:shd w:val="clear" w:color="000000" w:fill="FDE9D9"/>
            <w:noWrap/>
            <w:vAlign w:val="bottom"/>
            <w:hideMark/>
          </w:tcPr>
          <w:p w14:paraId="40A33AD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2.33%</w:t>
            </w:r>
          </w:p>
        </w:tc>
        <w:tc>
          <w:tcPr>
            <w:tcW w:w="0" w:type="auto"/>
            <w:tcBorders>
              <w:top w:val="nil"/>
              <w:left w:val="nil"/>
              <w:bottom w:val="single" w:sz="4" w:space="0" w:color="auto"/>
              <w:right w:val="single" w:sz="4" w:space="0" w:color="auto"/>
            </w:tcBorders>
            <w:shd w:val="clear" w:color="000000" w:fill="FDE9D9"/>
            <w:noWrap/>
            <w:vAlign w:val="bottom"/>
            <w:hideMark/>
          </w:tcPr>
          <w:p w14:paraId="51151E1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-0.66%</w:t>
            </w:r>
          </w:p>
        </w:tc>
        <w:tc>
          <w:tcPr>
            <w:tcW w:w="0" w:type="auto"/>
            <w:tcBorders>
              <w:top w:val="nil"/>
              <w:left w:val="nil"/>
              <w:bottom w:val="single" w:sz="4" w:space="0" w:color="auto"/>
              <w:right w:val="single" w:sz="4" w:space="0" w:color="auto"/>
            </w:tcBorders>
            <w:shd w:val="clear" w:color="000000" w:fill="B7DEE8"/>
            <w:noWrap/>
            <w:vAlign w:val="bottom"/>
            <w:hideMark/>
          </w:tcPr>
          <w:p w14:paraId="323096A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3.49%</w:t>
            </w:r>
          </w:p>
        </w:tc>
        <w:tc>
          <w:tcPr>
            <w:tcW w:w="0" w:type="auto"/>
            <w:tcBorders>
              <w:top w:val="nil"/>
              <w:left w:val="nil"/>
              <w:bottom w:val="single" w:sz="4" w:space="0" w:color="auto"/>
              <w:right w:val="single" w:sz="4" w:space="0" w:color="auto"/>
            </w:tcBorders>
            <w:shd w:val="clear" w:color="000000" w:fill="B7DEE8"/>
            <w:noWrap/>
            <w:vAlign w:val="bottom"/>
            <w:hideMark/>
          </w:tcPr>
          <w:p w14:paraId="0D112C6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-0.42%</w:t>
            </w:r>
          </w:p>
        </w:tc>
        <w:tc>
          <w:tcPr>
            <w:tcW w:w="0" w:type="auto"/>
            <w:tcBorders>
              <w:top w:val="nil"/>
              <w:left w:val="nil"/>
              <w:bottom w:val="single" w:sz="4" w:space="0" w:color="auto"/>
              <w:right w:val="single" w:sz="4" w:space="0" w:color="auto"/>
            </w:tcBorders>
            <w:shd w:val="clear" w:color="000000" w:fill="B7DEE8"/>
            <w:noWrap/>
            <w:vAlign w:val="bottom"/>
            <w:hideMark/>
          </w:tcPr>
          <w:p w14:paraId="66E18F8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w:t>
            </w:r>
          </w:p>
        </w:tc>
        <w:tc>
          <w:tcPr>
            <w:tcW w:w="0" w:type="auto"/>
            <w:tcBorders>
              <w:top w:val="nil"/>
              <w:left w:val="nil"/>
              <w:bottom w:val="single" w:sz="4" w:space="0" w:color="auto"/>
              <w:right w:val="single" w:sz="4" w:space="0" w:color="auto"/>
            </w:tcBorders>
            <w:shd w:val="clear" w:color="000000" w:fill="DAEEF3"/>
            <w:noWrap/>
            <w:vAlign w:val="bottom"/>
            <w:hideMark/>
          </w:tcPr>
          <w:p w14:paraId="764B667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2.61%</w:t>
            </w:r>
          </w:p>
        </w:tc>
      </w:tr>
      <w:tr w:rsidR="00F20114" w:rsidRPr="008E0033" w14:paraId="68565081"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7F9ED5"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Moorabool (S)</w:t>
            </w:r>
          </w:p>
        </w:tc>
        <w:tc>
          <w:tcPr>
            <w:tcW w:w="0" w:type="auto"/>
            <w:tcBorders>
              <w:top w:val="nil"/>
              <w:left w:val="nil"/>
              <w:bottom w:val="single" w:sz="4" w:space="0" w:color="auto"/>
              <w:right w:val="single" w:sz="4" w:space="0" w:color="auto"/>
            </w:tcBorders>
            <w:shd w:val="clear" w:color="000000" w:fill="FDE9D9"/>
            <w:noWrap/>
            <w:vAlign w:val="bottom"/>
            <w:hideMark/>
          </w:tcPr>
          <w:p w14:paraId="62FD1E4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1.16%</w:t>
            </w:r>
          </w:p>
        </w:tc>
        <w:tc>
          <w:tcPr>
            <w:tcW w:w="0" w:type="auto"/>
            <w:tcBorders>
              <w:top w:val="nil"/>
              <w:left w:val="nil"/>
              <w:bottom w:val="single" w:sz="4" w:space="0" w:color="auto"/>
              <w:right w:val="single" w:sz="4" w:space="0" w:color="auto"/>
            </w:tcBorders>
            <w:shd w:val="clear" w:color="000000" w:fill="FDE9D9"/>
            <w:noWrap/>
            <w:vAlign w:val="bottom"/>
            <w:hideMark/>
          </w:tcPr>
          <w:p w14:paraId="237E8B6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1.97%</w:t>
            </w:r>
          </w:p>
        </w:tc>
        <w:tc>
          <w:tcPr>
            <w:tcW w:w="0" w:type="auto"/>
            <w:tcBorders>
              <w:top w:val="nil"/>
              <w:left w:val="nil"/>
              <w:bottom w:val="single" w:sz="4" w:space="0" w:color="auto"/>
              <w:right w:val="single" w:sz="4" w:space="0" w:color="auto"/>
            </w:tcBorders>
            <w:shd w:val="clear" w:color="000000" w:fill="FDE9D9"/>
            <w:noWrap/>
            <w:vAlign w:val="bottom"/>
            <w:hideMark/>
          </w:tcPr>
          <w:p w14:paraId="48B644C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-0.81%</w:t>
            </w:r>
          </w:p>
        </w:tc>
        <w:tc>
          <w:tcPr>
            <w:tcW w:w="0" w:type="auto"/>
            <w:tcBorders>
              <w:top w:val="nil"/>
              <w:left w:val="nil"/>
              <w:bottom w:val="single" w:sz="4" w:space="0" w:color="auto"/>
              <w:right w:val="single" w:sz="4" w:space="0" w:color="auto"/>
            </w:tcBorders>
            <w:shd w:val="clear" w:color="000000" w:fill="FDE9D9"/>
            <w:noWrap/>
            <w:vAlign w:val="bottom"/>
            <w:hideMark/>
          </w:tcPr>
          <w:p w14:paraId="1378A09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2.65%</w:t>
            </w:r>
          </w:p>
        </w:tc>
        <w:tc>
          <w:tcPr>
            <w:tcW w:w="0" w:type="auto"/>
            <w:tcBorders>
              <w:top w:val="nil"/>
              <w:left w:val="nil"/>
              <w:bottom w:val="single" w:sz="4" w:space="0" w:color="auto"/>
              <w:right w:val="single" w:sz="4" w:space="0" w:color="auto"/>
            </w:tcBorders>
            <w:shd w:val="clear" w:color="000000" w:fill="FDE9D9"/>
            <w:noWrap/>
            <w:vAlign w:val="bottom"/>
            <w:hideMark/>
          </w:tcPr>
          <w:p w14:paraId="15B6949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2.07%</w:t>
            </w:r>
          </w:p>
        </w:tc>
        <w:tc>
          <w:tcPr>
            <w:tcW w:w="0" w:type="auto"/>
            <w:tcBorders>
              <w:top w:val="nil"/>
              <w:left w:val="nil"/>
              <w:bottom w:val="single" w:sz="4" w:space="0" w:color="auto"/>
              <w:right w:val="single" w:sz="4" w:space="0" w:color="auto"/>
            </w:tcBorders>
            <w:shd w:val="clear" w:color="000000" w:fill="FDE9D9"/>
            <w:noWrap/>
            <w:vAlign w:val="bottom"/>
            <w:hideMark/>
          </w:tcPr>
          <w:p w14:paraId="186EE10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0.59%</w:t>
            </w:r>
          </w:p>
        </w:tc>
        <w:tc>
          <w:tcPr>
            <w:tcW w:w="0" w:type="auto"/>
            <w:tcBorders>
              <w:top w:val="nil"/>
              <w:left w:val="nil"/>
              <w:bottom w:val="single" w:sz="4" w:space="0" w:color="auto"/>
              <w:right w:val="single" w:sz="4" w:space="0" w:color="auto"/>
            </w:tcBorders>
            <w:shd w:val="clear" w:color="000000" w:fill="B7DEE8"/>
            <w:noWrap/>
            <w:vAlign w:val="bottom"/>
            <w:hideMark/>
          </w:tcPr>
          <w:p w14:paraId="70BBE5F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2.23%</w:t>
            </w:r>
          </w:p>
        </w:tc>
        <w:tc>
          <w:tcPr>
            <w:tcW w:w="0" w:type="auto"/>
            <w:tcBorders>
              <w:top w:val="nil"/>
              <w:left w:val="nil"/>
              <w:bottom w:val="single" w:sz="4" w:space="0" w:color="auto"/>
              <w:right w:val="single" w:sz="4" w:space="0" w:color="auto"/>
            </w:tcBorders>
            <w:shd w:val="clear" w:color="000000" w:fill="B7DEE8"/>
            <w:noWrap/>
            <w:vAlign w:val="bottom"/>
            <w:hideMark/>
          </w:tcPr>
          <w:p w14:paraId="7373254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0.80%</w:t>
            </w:r>
          </w:p>
        </w:tc>
        <w:tc>
          <w:tcPr>
            <w:tcW w:w="0" w:type="auto"/>
            <w:tcBorders>
              <w:top w:val="nil"/>
              <w:left w:val="nil"/>
              <w:bottom w:val="single" w:sz="4" w:space="0" w:color="auto"/>
              <w:right w:val="single" w:sz="4" w:space="0" w:color="auto"/>
            </w:tcBorders>
            <w:shd w:val="clear" w:color="000000" w:fill="B7DEE8"/>
            <w:noWrap/>
            <w:vAlign w:val="bottom"/>
            <w:hideMark/>
          </w:tcPr>
          <w:p w14:paraId="236AE7B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1.1%</w:t>
            </w:r>
          </w:p>
        </w:tc>
        <w:tc>
          <w:tcPr>
            <w:tcW w:w="0" w:type="auto"/>
            <w:tcBorders>
              <w:top w:val="nil"/>
              <w:left w:val="nil"/>
              <w:bottom w:val="single" w:sz="4" w:space="0" w:color="auto"/>
              <w:right w:val="single" w:sz="4" w:space="0" w:color="auto"/>
            </w:tcBorders>
            <w:shd w:val="clear" w:color="000000" w:fill="DAEEF3"/>
            <w:noWrap/>
            <w:vAlign w:val="bottom"/>
            <w:hideMark/>
          </w:tcPr>
          <w:p w14:paraId="574760B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3.88%</w:t>
            </w:r>
          </w:p>
        </w:tc>
      </w:tr>
      <w:tr w:rsidR="00F20114" w:rsidRPr="008E0033" w14:paraId="380FC19E"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5B40A6"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Moreland (C)</w:t>
            </w:r>
          </w:p>
        </w:tc>
        <w:tc>
          <w:tcPr>
            <w:tcW w:w="0" w:type="auto"/>
            <w:tcBorders>
              <w:top w:val="nil"/>
              <w:left w:val="nil"/>
              <w:bottom w:val="single" w:sz="4" w:space="0" w:color="auto"/>
              <w:right w:val="single" w:sz="4" w:space="0" w:color="auto"/>
            </w:tcBorders>
            <w:shd w:val="clear" w:color="000000" w:fill="FDE9D9"/>
            <w:noWrap/>
            <w:vAlign w:val="bottom"/>
            <w:hideMark/>
          </w:tcPr>
          <w:p w14:paraId="11CC0DB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2.17%</w:t>
            </w:r>
          </w:p>
        </w:tc>
        <w:tc>
          <w:tcPr>
            <w:tcW w:w="0" w:type="auto"/>
            <w:tcBorders>
              <w:top w:val="nil"/>
              <w:left w:val="nil"/>
              <w:bottom w:val="single" w:sz="4" w:space="0" w:color="auto"/>
              <w:right w:val="single" w:sz="4" w:space="0" w:color="auto"/>
            </w:tcBorders>
            <w:shd w:val="clear" w:color="000000" w:fill="FDE9D9"/>
            <w:noWrap/>
            <w:vAlign w:val="bottom"/>
            <w:hideMark/>
          </w:tcPr>
          <w:p w14:paraId="5C366D5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2.24%</w:t>
            </w:r>
          </w:p>
        </w:tc>
        <w:tc>
          <w:tcPr>
            <w:tcW w:w="0" w:type="auto"/>
            <w:tcBorders>
              <w:top w:val="nil"/>
              <w:left w:val="nil"/>
              <w:bottom w:val="single" w:sz="4" w:space="0" w:color="auto"/>
              <w:right w:val="single" w:sz="4" w:space="0" w:color="auto"/>
            </w:tcBorders>
            <w:shd w:val="clear" w:color="000000" w:fill="FDE9D9"/>
            <w:noWrap/>
            <w:vAlign w:val="bottom"/>
            <w:hideMark/>
          </w:tcPr>
          <w:p w14:paraId="2F0E3A6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-0.07%</w:t>
            </w:r>
          </w:p>
        </w:tc>
        <w:tc>
          <w:tcPr>
            <w:tcW w:w="0" w:type="auto"/>
            <w:tcBorders>
              <w:top w:val="nil"/>
              <w:left w:val="nil"/>
              <w:bottom w:val="single" w:sz="4" w:space="0" w:color="auto"/>
              <w:right w:val="single" w:sz="4" w:space="0" w:color="auto"/>
            </w:tcBorders>
            <w:shd w:val="clear" w:color="000000" w:fill="FDE9D9"/>
            <w:noWrap/>
            <w:vAlign w:val="bottom"/>
            <w:hideMark/>
          </w:tcPr>
          <w:p w14:paraId="4FE2CB3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2.16%</w:t>
            </w:r>
          </w:p>
        </w:tc>
        <w:tc>
          <w:tcPr>
            <w:tcW w:w="0" w:type="auto"/>
            <w:tcBorders>
              <w:top w:val="nil"/>
              <w:left w:val="nil"/>
              <w:bottom w:val="single" w:sz="4" w:space="0" w:color="auto"/>
              <w:right w:val="single" w:sz="4" w:space="0" w:color="auto"/>
            </w:tcBorders>
            <w:shd w:val="clear" w:color="000000" w:fill="FDE9D9"/>
            <w:noWrap/>
            <w:vAlign w:val="bottom"/>
            <w:hideMark/>
          </w:tcPr>
          <w:p w14:paraId="4A9BFD3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2.40%</w:t>
            </w:r>
          </w:p>
        </w:tc>
        <w:tc>
          <w:tcPr>
            <w:tcW w:w="0" w:type="auto"/>
            <w:tcBorders>
              <w:top w:val="nil"/>
              <w:left w:val="nil"/>
              <w:bottom w:val="single" w:sz="4" w:space="0" w:color="auto"/>
              <w:right w:val="single" w:sz="4" w:space="0" w:color="auto"/>
            </w:tcBorders>
            <w:shd w:val="clear" w:color="000000" w:fill="FDE9D9"/>
            <w:noWrap/>
            <w:vAlign w:val="bottom"/>
            <w:hideMark/>
          </w:tcPr>
          <w:p w14:paraId="5D4DEBD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-0.24%</w:t>
            </w:r>
          </w:p>
        </w:tc>
        <w:tc>
          <w:tcPr>
            <w:tcW w:w="0" w:type="auto"/>
            <w:tcBorders>
              <w:top w:val="nil"/>
              <w:left w:val="nil"/>
              <w:bottom w:val="single" w:sz="4" w:space="0" w:color="auto"/>
              <w:right w:val="single" w:sz="4" w:space="0" w:color="auto"/>
            </w:tcBorders>
            <w:shd w:val="clear" w:color="000000" w:fill="B7DEE8"/>
            <w:noWrap/>
            <w:vAlign w:val="bottom"/>
            <w:hideMark/>
          </w:tcPr>
          <w:p w14:paraId="115D6E2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2.98%</w:t>
            </w:r>
          </w:p>
        </w:tc>
        <w:tc>
          <w:tcPr>
            <w:tcW w:w="0" w:type="auto"/>
            <w:tcBorders>
              <w:top w:val="nil"/>
              <w:left w:val="nil"/>
              <w:bottom w:val="single" w:sz="4" w:space="0" w:color="auto"/>
              <w:right w:val="single" w:sz="4" w:space="0" w:color="auto"/>
            </w:tcBorders>
            <w:shd w:val="clear" w:color="000000" w:fill="B7DEE8"/>
            <w:noWrap/>
            <w:vAlign w:val="bottom"/>
            <w:hideMark/>
          </w:tcPr>
          <w:p w14:paraId="48586A5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0.07%</w:t>
            </w:r>
          </w:p>
        </w:tc>
        <w:tc>
          <w:tcPr>
            <w:tcW w:w="0" w:type="auto"/>
            <w:tcBorders>
              <w:top w:val="nil"/>
              <w:left w:val="nil"/>
              <w:bottom w:val="single" w:sz="4" w:space="0" w:color="auto"/>
              <w:right w:val="single" w:sz="4" w:space="0" w:color="auto"/>
            </w:tcBorders>
            <w:shd w:val="clear" w:color="000000" w:fill="B7DEE8"/>
            <w:noWrap/>
            <w:vAlign w:val="bottom"/>
            <w:hideMark/>
          </w:tcPr>
          <w:p w14:paraId="02F596E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1.8%</w:t>
            </w:r>
          </w:p>
        </w:tc>
        <w:tc>
          <w:tcPr>
            <w:tcW w:w="0" w:type="auto"/>
            <w:tcBorders>
              <w:top w:val="nil"/>
              <w:left w:val="nil"/>
              <w:bottom w:val="single" w:sz="4" w:space="0" w:color="auto"/>
              <w:right w:val="single" w:sz="4" w:space="0" w:color="auto"/>
            </w:tcBorders>
            <w:shd w:val="clear" w:color="000000" w:fill="DAEEF3"/>
            <w:noWrap/>
            <w:vAlign w:val="bottom"/>
            <w:hideMark/>
          </w:tcPr>
          <w:p w14:paraId="22ABE8D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3.12%</w:t>
            </w:r>
          </w:p>
        </w:tc>
      </w:tr>
      <w:tr w:rsidR="00F20114" w:rsidRPr="008E0033" w14:paraId="36308233"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83A882"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Mornington Peninsula (S)</w:t>
            </w:r>
          </w:p>
        </w:tc>
        <w:tc>
          <w:tcPr>
            <w:tcW w:w="0" w:type="auto"/>
            <w:tcBorders>
              <w:top w:val="nil"/>
              <w:left w:val="nil"/>
              <w:bottom w:val="single" w:sz="4" w:space="0" w:color="auto"/>
              <w:right w:val="single" w:sz="4" w:space="0" w:color="auto"/>
            </w:tcBorders>
            <w:shd w:val="clear" w:color="000000" w:fill="FDE9D9"/>
            <w:noWrap/>
            <w:vAlign w:val="bottom"/>
            <w:hideMark/>
          </w:tcPr>
          <w:p w14:paraId="08E4627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0.83%</w:t>
            </w:r>
          </w:p>
        </w:tc>
        <w:tc>
          <w:tcPr>
            <w:tcW w:w="0" w:type="auto"/>
            <w:tcBorders>
              <w:top w:val="nil"/>
              <w:left w:val="nil"/>
              <w:bottom w:val="single" w:sz="4" w:space="0" w:color="auto"/>
              <w:right w:val="single" w:sz="4" w:space="0" w:color="auto"/>
            </w:tcBorders>
            <w:shd w:val="clear" w:color="000000" w:fill="FDE9D9"/>
            <w:noWrap/>
            <w:vAlign w:val="bottom"/>
            <w:hideMark/>
          </w:tcPr>
          <w:p w14:paraId="3CA21D8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1.09%</w:t>
            </w:r>
          </w:p>
        </w:tc>
        <w:tc>
          <w:tcPr>
            <w:tcW w:w="0" w:type="auto"/>
            <w:tcBorders>
              <w:top w:val="nil"/>
              <w:left w:val="nil"/>
              <w:bottom w:val="single" w:sz="4" w:space="0" w:color="auto"/>
              <w:right w:val="single" w:sz="4" w:space="0" w:color="auto"/>
            </w:tcBorders>
            <w:shd w:val="clear" w:color="000000" w:fill="FDE9D9"/>
            <w:noWrap/>
            <w:vAlign w:val="bottom"/>
            <w:hideMark/>
          </w:tcPr>
          <w:p w14:paraId="3253F45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-0.26%</w:t>
            </w:r>
          </w:p>
        </w:tc>
        <w:tc>
          <w:tcPr>
            <w:tcW w:w="0" w:type="auto"/>
            <w:tcBorders>
              <w:top w:val="nil"/>
              <w:left w:val="nil"/>
              <w:bottom w:val="single" w:sz="4" w:space="0" w:color="auto"/>
              <w:right w:val="single" w:sz="4" w:space="0" w:color="auto"/>
            </w:tcBorders>
            <w:shd w:val="clear" w:color="000000" w:fill="FDE9D9"/>
            <w:noWrap/>
            <w:vAlign w:val="bottom"/>
            <w:hideMark/>
          </w:tcPr>
          <w:p w14:paraId="59D1E38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0.98%</w:t>
            </w:r>
          </w:p>
        </w:tc>
        <w:tc>
          <w:tcPr>
            <w:tcW w:w="0" w:type="auto"/>
            <w:tcBorders>
              <w:top w:val="nil"/>
              <w:left w:val="nil"/>
              <w:bottom w:val="single" w:sz="4" w:space="0" w:color="auto"/>
              <w:right w:val="single" w:sz="4" w:space="0" w:color="auto"/>
            </w:tcBorders>
            <w:shd w:val="clear" w:color="000000" w:fill="FDE9D9"/>
            <w:noWrap/>
            <w:vAlign w:val="bottom"/>
            <w:hideMark/>
          </w:tcPr>
          <w:p w14:paraId="6412B32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0.83%</w:t>
            </w:r>
          </w:p>
        </w:tc>
        <w:tc>
          <w:tcPr>
            <w:tcW w:w="0" w:type="auto"/>
            <w:tcBorders>
              <w:top w:val="nil"/>
              <w:left w:val="nil"/>
              <w:bottom w:val="single" w:sz="4" w:space="0" w:color="auto"/>
              <w:right w:val="single" w:sz="4" w:space="0" w:color="auto"/>
            </w:tcBorders>
            <w:shd w:val="clear" w:color="000000" w:fill="FDE9D9"/>
            <w:noWrap/>
            <w:vAlign w:val="bottom"/>
            <w:hideMark/>
          </w:tcPr>
          <w:p w14:paraId="3C6F6B0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0.15%</w:t>
            </w:r>
          </w:p>
        </w:tc>
        <w:tc>
          <w:tcPr>
            <w:tcW w:w="0" w:type="auto"/>
            <w:tcBorders>
              <w:top w:val="nil"/>
              <w:left w:val="nil"/>
              <w:bottom w:val="single" w:sz="4" w:space="0" w:color="auto"/>
              <w:right w:val="single" w:sz="4" w:space="0" w:color="auto"/>
            </w:tcBorders>
            <w:shd w:val="clear" w:color="000000" w:fill="B7DEE8"/>
            <w:noWrap/>
            <w:vAlign w:val="bottom"/>
            <w:hideMark/>
          </w:tcPr>
          <w:p w14:paraId="1968FA0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2.79%</w:t>
            </w:r>
          </w:p>
        </w:tc>
        <w:tc>
          <w:tcPr>
            <w:tcW w:w="0" w:type="auto"/>
            <w:tcBorders>
              <w:top w:val="nil"/>
              <w:left w:val="nil"/>
              <w:bottom w:val="single" w:sz="4" w:space="0" w:color="auto"/>
              <w:right w:val="single" w:sz="4" w:space="0" w:color="auto"/>
            </w:tcBorders>
            <w:shd w:val="clear" w:color="000000" w:fill="B7DEE8"/>
            <w:noWrap/>
            <w:vAlign w:val="bottom"/>
            <w:hideMark/>
          </w:tcPr>
          <w:p w14:paraId="6B4CB14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0.26%</w:t>
            </w:r>
          </w:p>
        </w:tc>
        <w:tc>
          <w:tcPr>
            <w:tcW w:w="0" w:type="auto"/>
            <w:tcBorders>
              <w:top w:val="nil"/>
              <w:left w:val="nil"/>
              <w:bottom w:val="single" w:sz="4" w:space="0" w:color="auto"/>
              <w:right w:val="single" w:sz="4" w:space="0" w:color="auto"/>
            </w:tcBorders>
            <w:shd w:val="clear" w:color="000000" w:fill="B7DEE8"/>
            <w:noWrap/>
            <w:vAlign w:val="bottom"/>
            <w:hideMark/>
          </w:tcPr>
          <w:p w14:paraId="7839458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1.0%</w:t>
            </w:r>
          </w:p>
        </w:tc>
        <w:tc>
          <w:tcPr>
            <w:tcW w:w="0" w:type="auto"/>
            <w:tcBorders>
              <w:top w:val="nil"/>
              <w:left w:val="nil"/>
              <w:bottom w:val="single" w:sz="4" w:space="0" w:color="auto"/>
              <w:right w:val="single" w:sz="4" w:space="0" w:color="auto"/>
            </w:tcBorders>
            <w:shd w:val="clear" w:color="000000" w:fill="DAEEF3"/>
            <w:noWrap/>
            <w:vAlign w:val="bottom"/>
            <w:hideMark/>
          </w:tcPr>
          <w:p w14:paraId="482E604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3.31%</w:t>
            </w:r>
          </w:p>
        </w:tc>
      </w:tr>
      <w:tr w:rsidR="00F20114" w:rsidRPr="008E0033" w14:paraId="343A2475"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FFA269"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Mount Alexander (S)</w:t>
            </w:r>
          </w:p>
        </w:tc>
        <w:tc>
          <w:tcPr>
            <w:tcW w:w="0" w:type="auto"/>
            <w:tcBorders>
              <w:top w:val="nil"/>
              <w:left w:val="nil"/>
              <w:bottom w:val="single" w:sz="4" w:space="0" w:color="auto"/>
              <w:right w:val="single" w:sz="4" w:space="0" w:color="auto"/>
            </w:tcBorders>
            <w:shd w:val="clear" w:color="000000" w:fill="FDE9D9"/>
            <w:noWrap/>
            <w:vAlign w:val="bottom"/>
            <w:hideMark/>
          </w:tcPr>
          <w:p w14:paraId="530685B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-0.86%</w:t>
            </w:r>
          </w:p>
        </w:tc>
        <w:tc>
          <w:tcPr>
            <w:tcW w:w="0" w:type="auto"/>
            <w:tcBorders>
              <w:top w:val="nil"/>
              <w:left w:val="nil"/>
              <w:bottom w:val="single" w:sz="4" w:space="0" w:color="auto"/>
              <w:right w:val="single" w:sz="4" w:space="0" w:color="auto"/>
            </w:tcBorders>
            <w:shd w:val="clear" w:color="000000" w:fill="FDE9D9"/>
            <w:noWrap/>
            <w:vAlign w:val="bottom"/>
            <w:hideMark/>
          </w:tcPr>
          <w:p w14:paraId="3C4482C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0.70%</w:t>
            </w:r>
          </w:p>
        </w:tc>
        <w:tc>
          <w:tcPr>
            <w:tcW w:w="0" w:type="auto"/>
            <w:tcBorders>
              <w:top w:val="nil"/>
              <w:left w:val="nil"/>
              <w:bottom w:val="single" w:sz="4" w:space="0" w:color="auto"/>
              <w:right w:val="single" w:sz="4" w:space="0" w:color="auto"/>
            </w:tcBorders>
            <w:shd w:val="clear" w:color="000000" w:fill="FDE9D9"/>
            <w:noWrap/>
            <w:vAlign w:val="bottom"/>
            <w:hideMark/>
          </w:tcPr>
          <w:p w14:paraId="2B5A59E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-1.56%</w:t>
            </w:r>
          </w:p>
        </w:tc>
        <w:tc>
          <w:tcPr>
            <w:tcW w:w="0" w:type="auto"/>
            <w:tcBorders>
              <w:top w:val="nil"/>
              <w:left w:val="nil"/>
              <w:bottom w:val="single" w:sz="4" w:space="0" w:color="auto"/>
              <w:right w:val="single" w:sz="4" w:space="0" w:color="auto"/>
            </w:tcBorders>
            <w:shd w:val="clear" w:color="000000" w:fill="FDE9D9"/>
            <w:noWrap/>
            <w:vAlign w:val="bottom"/>
            <w:hideMark/>
          </w:tcPr>
          <w:p w14:paraId="4437903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0.57%</w:t>
            </w:r>
          </w:p>
        </w:tc>
        <w:tc>
          <w:tcPr>
            <w:tcW w:w="0" w:type="auto"/>
            <w:tcBorders>
              <w:top w:val="nil"/>
              <w:left w:val="nil"/>
              <w:bottom w:val="single" w:sz="4" w:space="0" w:color="auto"/>
              <w:right w:val="single" w:sz="4" w:space="0" w:color="auto"/>
            </w:tcBorders>
            <w:shd w:val="clear" w:color="000000" w:fill="FDE9D9"/>
            <w:noWrap/>
            <w:vAlign w:val="bottom"/>
            <w:hideMark/>
          </w:tcPr>
          <w:p w14:paraId="22A468A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1.40%</w:t>
            </w:r>
          </w:p>
        </w:tc>
        <w:tc>
          <w:tcPr>
            <w:tcW w:w="0" w:type="auto"/>
            <w:tcBorders>
              <w:top w:val="nil"/>
              <w:left w:val="nil"/>
              <w:bottom w:val="single" w:sz="4" w:space="0" w:color="auto"/>
              <w:right w:val="single" w:sz="4" w:space="0" w:color="auto"/>
            </w:tcBorders>
            <w:shd w:val="clear" w:color="000000" w:fill="FDE9D9"/>
            <w:noWrap/>
            <w:vAlign w:val="bottom"/>
            <w:hideMark/>
          </w:tcPr>
          <w:p w14:paraId="184F538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-0.83%</w:t>
            </w:r>
          </w:p>
        </w:tc>
        <w:tc>
          <w:tcPr>
            <w:tcW w:w="0" w:type="auto"/>
            <w:tcBorders>
              <w:top w:val="nil"/>
              <w:left w:val="nil"/>
              <w:bottom w:val="single" w:sz="4" w:space="0" w:color="auto"/>
              <w:right w:val="single" w:sz="4" w:space="0" w:color="auto"/>
            </w:tcBorders>
            <w:shd w:val="clear" w:color="000000" w:fill="B7DEE8"/>
            <w:noWrap/>
            <w:vAlign w:val="bottom"/>
            <w:hideMark/>
          </w:tcPr>
          <w:p w14:paraId="3644A78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1.46%</w:t>
            </w:r>
          </w:p>
        </w:tc>
        <w:tc>
          <w:tcPr>
            <w:tcW w:w="0" w:type="auto"/>
            <w:tcBorders>
              <w:top w:val="nil"/>
              <w:left w:val="nil"/>
              <w:bottom w:val="single" w:sz="4" w:space="0" w:color="auto"/>
              <w:right w:val="single" w:sz="4" w:space="0" w:color="auto"/>
            </w:tcBorders>
            <w:shd w:val="clear" w:color="000000" w:fill="B7DEE8"/>
            <w:noWrap/>
            <w:vAlign w:val="bottom"/>
            <w:hideMark/>
          </w:tcPr>
          <w:p w14:paraId="02DCC4F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1.57%</w:t>
            </w:r>
          </w:p>
        </w:tc>
        <w:tc>
          <w:tcPr>
            <w:tcW w:w="0" w:type="auto"/>
            <w:tcBorders>
              <w:top w:val="nil"/>
              <w:left w:val="nil"/>
              <w:bottom w:val="single" w:sz="4" w:space="0" w:color="auto"/>
              <w:right w:val="single" w:sz="4" w:space="0" w:color="auto"/>
            </w:tcBorders>
            <w:shd w:val="clear" w:color="000000" w:fill="B7DEE8"/>
            <w:noWrap/>
            <w:vAlign w:val="bottom"/>
            <w:hideMark/>
          </w:tcPr>
          <w:p w14:paraId="6A7BD03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w:t>
            </w:r>
          </w:p>
        </w:tc>
        <w:tc>
          <w:tcPr>
            <w:tcW w:w="0" w:type="auto"/>
            <w:tcBorders>
              <w:top w:val="nil"/>
              <w:left w:val="nil"/>
              <w:bottom w:val="single" w:sz="4" w:space="0" w:color="auto"/>
              <w:right w:val="single" w:sz="4" w:space="0" w:color="auto"/>
            </w:tcBorders>
            <w:shd w:val="clear" w:color="000000" w:fill="DAEEF3"/>
            <w:noWrap/>
            <w:vAlign w:val="bottom"/>
            <w:hideMark/>
          </w:tcPr>
          <w:p w14:paraId="2AEF2A6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4.67%</w:t>
            </w:r>
          </w:p>
        </w:tc>
      </w:tr>
      <w:tr w:rsidR="00F20114" w:rsidRPr="008E0033" w14:paraId="234A4085"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956616"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Moyne (S)</w:t>
            </w:r>
          </w:p>
        </w:tc>
        <w:tc>
          <w:tcPr>
            <w:tcW w:w="0" w:type="auto"/>
            <w:tcBorders>
              <w:top w:val="nil"/>
              <w:left w:val="nil"/>
              <w:bottom w:val="single" w:sz="4" w:space="0" w:color="auto"/>
              <w:right w:val="single" w:sz="4" w:space="0" w:color="auto"/>
            </w:tcBorders>
            <w:shd w:val="clear" w:color="000000" w:fill="FDE9D9"/>
            <w:noWrap/>
            <w:vAlign w:val="bottom"/>
            <w:hideMark/>
          </w:tcPr>
          <w:p w14:paraId="3F7A1BB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0.73%</w:t>
            </w:r>
          </w:p>
        </w:tc>
        <w:tc>
          <w:tcPr>
            <w:tcW w:w="0" w:type="auto"/>
            <w:tcBorders>
              <w:top w:val="nil"/>
              <w:left w:val="nil"/>
              <w:bottom w:val="single" w:sz="4" w:space="0" w:color="auto"/>
              <w:right w:val="single" w:sz="4" w:space="0" w:color="auto"/>
            </w:tcBorders>
            <w:shd w:val="clear" w:color="000000" w:fill="FDE9D9"/>
            <w:noWrap/>
            <w:vAlign w:val="bottom"/>
            <w:hideMark/>
          </w:tcPr>
          <w:p w14:paraId="4A85ADB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0.26%</w:t>
            </w:r>
          </w:p>
        </w:tc>
        <w:tc>
          <w:tcPr>
            <w:tcW w:w="0" w:type="auto"/>
            <w:tcBorders>
              <w:top w:val="nil"/>
              <w:left w:val="nil"/>
              <w:bottom w:val="single" w:sz="4" w:space="0" w:color="auto"/>
              <w:right w:val="single" w:sz="4" w:space="0" w:color="auto"/>
            </w:tcBorders>
            <w:shd w:val="clear" w:color="000000" w:fill="FDE9D9"/>
            <w:noWrap/>
            <w:vAlign w:val="bottom"/>
            <w:hideMark/>
          </w:tcPr>
          <w:p w14:paraId="05654F5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0.47%</w:t>
            </w:r>
          </w:p>
        </w:tc>
        <w:tc>
          <w:tcPr>
            <w:tcW w:w="0" w:type="auto"/>
            <w:tcBorders>
              <w:top w:val="nil"/>
              <w:left w:val="nil"/>
              <w:bottom w:val="single" w:sz="4" w:space="0" w:color="auto"/>
              <w:right w:val="single" w:sz="4" w:space="0" w:color="auto"/>
            </w:tcBorders>
            <w:shd w:val="clear" w:color="000000" w:fill="FDE9D9"/>
            <w:noWrap/>
            <w:vAlign w:val="bottom"/>
            <w:hideMark/>
          </w:tcPr>
          <w:p w14:paraId="1AA0C57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0.36%</w:t>
            </w:r>
          </w:p>
        </w:tc>
        <w:tc>
          <w:tcPr>
            <w:tcW w:w="0" w:type="auto"/>
            <w:tcBorders>
              <w:top w:val="nil"/>
              <w:left w:val="nil"/>
              <w:bottom w:val="single" w:sz="4" w:space="0" w:color="auto"/>
              <w:right w:val="single" w:sz="4" w:space="0" w:color="auto"/>
            </w:tcBorders>
            <w:shd w:val="clear" w:color="000000" w:fill="FDE9D9"/>
            <w:noWrap/>
            <w:vAlign w:val="bottom"/>
            <w:hideMark/>
          </w:tcPr>
          <w:p w14:paraId="24C46DC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0.56%</w:t>
            </w:r>
          </w:p>
        </w:tc>
        <w:tc>
          <w:tcPr>
            <w:tcW w:w="0" w:type="auto"/>
            <w:tcBorders>
              <w:top w:val="nil"/>
              <w:left w:val="nil"/>
              <w:bottom w:val="single" w:sz="4" w:space="0" w:color="auto"/>
              <w:right w:val="single" w:sz="4" w:space="0" w:color="auto"/>
            </w:tcBorders>
            <w:shd w:val="clear" w:color="000000" w:fill="FDE9D9"/>
            <w:noWrap/>
            <w:vAlign w:val="bottom"/>
            <w:hideMark/>
          </w:tcPr>
          <w:p w14:paraId="1EB4355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-0.20%</w:t>
            </w:r>
          </w:p>
        </w:tc>
        <w:tc>
          <w:tcPr>
            <w:tcW w:w="0" w:type="auto"/>
            <w:tcBorders>
              <w:top w:val="nil"/>
              <w:left w:val="nil"/>
              <w:bottom w:val="single" w:sz="4" w:space="0" w:color="auto"/>
              <w:right w:val="single" w:sz="4" w:space="0" w:color="auto"/>
            </w:tcBorders>
            <w:shd w:val="clear" w:color="000000" w:fill="B7DEE8"/>
            <w:noWrap/>
            <w:vAlign w:val="bottom"/>
            <w:hideMark/>
          </w:tcPr>
          <w:p w14:paraId="026E765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3.54%</w:t>
            </w:r>
          </w:p>
        </w:tc>
        <w:tc>
          <w:tcPr>
            <w:tcW w:w="0" w:type="auto"/>
            <w:tcBorders>
              <w:top w:val="nil"/>
              <w:left w:val="nil"/>
              <w:bottom w:val="single" w:sz="4" w:space="0" w:color="auto"/>
              <w:right w:val="single" w:sz="4" w:space="0" w:color="auto"/>
            </w:tcBorders>
            <w:shd w:val="clear" w:color="000000" w:fill="B7DEE8"/>
            <w:noWrap/>
            <w:vAlign w:val="bottom"/>
            <w:hideMark/>
          </w:tcPr>
          <w:p w14:paraId="62BDA7A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-0.47%</w:t>
            </w:r>
          </w:p>
        </w:tc>
        <w:tc>
          <w:tcPr>
            <w:tcW w:w="0" w:type="auto"/>
            <w:tcBorders>
              <w:top w:val="nil"/>
              <w:left w:val="nil"/>
              <w:bottom w:val="single" w:sz="4" w:space="0" w:color="auto"/>
              <w:right w:val="single" w:sz="4" w:space="0" w:color="auto"/>
            </w:tcBorders>
            <w:shd w:val="clear" w:color="000000" w:fill="B7DEE8"/>
            <w:noWrap/>
            <w:vAlign w:val="bottom"/>
            <w:hideMark/>
          </w:tcPr>
          <w:p w14:paraId="20D50A7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w:t>
            </w:r>
          </w:p>
        </w:tc>
        <w:tc>
          <w:tcPr>
            <w:tcW w:w="0" w:type="auto"/>
            <w:tcBorders>
              <w:top w:val="nil"/>
              <w:left w:val="nil"/>
              <w:bottom w:val="single" w:sz="4" w:space="0" w:color="auto"/>
              <w:right w:val="single" w:sz="4" w:space="0" w:color="auto"/>
            </w:tcBorders>
            <w:shd w:val="clear" w:color="000000" w:fill="DAEEF3"/>
            <w:noWrap/>
            <w:vAlign w:val="bottom"/>
            <w:hideMark/>
          </w:tcPr>
          <w:p w14:paraId="2800019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2.56%</w:t>
            </w:r>
          </w:p>
        </w:tc>
      </w:tr>
      <w:tr w:rsidR="00F20114" w:rsidRPr="008E0033" w14:paraId="56601758"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9A0468"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Murrindindi (S)</w:t>
            </w:r>
          </w:p>
        </w:tc>
        <w:tc>
          <w:tcPr>
            <w:tcW w:w="0" w:type="auto"/>
            <w:tcBorders>
              <w:top w:val="nil"/>
              <w:left w:val="nil"/>
              <w:bottom w:val="single" w:sz="4" w:space="0" w:color="auto"/>
              <w:right w:val="single" w:sz="4" w:space="0" w:color="auto"/>
            </w:tcBorders>
            <w:shd w:val="clear" w:color="000000" w:fill="FDE9D9"/>
            <w:noWrap/>
            <w:vAlign w:val="bottom"/>
            <w:hideMark/>
          </w:tcPr>
          <w:p w14:paraId="19A7FEA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0.12%</w:t>
            </w:r>
          </w:p>
        </w:tc>
        <w:tc>
          <w:tcPr>
            <w:tcW w:w="0" w:type="auto"/>
            <w:tcBorders>
              <w:top w:val="nil"/>
              <w:left w:val="nil"/>
              <w:bottom w:val="single" w:sz="4" w:space="0" w:color="auto"/>
              <w:right w:val="single" w:sz="4" w:space="0" w:color="auto"/>
            </w:tcBorders>
            <w:shd w:val="clear" w:color="000000" w:fill="FDE9D9"/>
            <w:noWrap/>
            <w:vAlign w:val="bottom"/>
            <w:hideMark/>
          </w:tcPr>
          <w:p w14:paraId="5CE1CDB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0.85%</w:t>
            </w:r>
          </w:p>
        </w:tc>
        <w:tc>
          <w:tcPr>
            <w:tcW w:w="0" w:type="auto"/>
            <w:tcBorders>
              <w:top w:val="nil"/>
              <w:left w:val="nil"/>
              <w:bottom w:val="single" w:sz="4" w:space="0" w:color="auto"/>
              <w:right w:val="single" w:sz="4" w:space="0" w:color="auto"/>
            </w:tcBorders>
            <w:shd w:val="clear" w:color="000000" w:fill="FDE9D9"/>
            <w:noWrap/>
            <w:vAlign w:val="bottom"/>
            <w:hideMark/>
          </w:tcPr>
          <w:p w14:paraId="5D9EFA3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-0.74%</w:t>
            </w:r>
          </w:p>
        </w:tc>
        <w:tc>
          <w:tcPr>
            <w:tcW w:w="0" w:type="auto"/>
            <w:tcBorders>
              <w:top w:val="nil"/>
              <w:left w:val="nil"/>
              <w:bottom w:val="single" w:sz="4" w:space="0" w:color="auto"/>
              <w:right w:val="single" w:sz="4" w:space="0" w:color="auto"/>
            </w:tcBorders>
            <w:shd w:val="clear" w:color="000000" w:fill="FDE9D9"/>
            <w:noWrap/>
            <w:vAlign w:val="bottom"/>
            <w:hideMark/>
          </w:tcPr>
          <w:p w14:paraId="36F2FEE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0.64%</w:t>
            </w:r>
          </w:p>
        </w:tc>
        <w:tc>
          <w:tcPr>
            <w:tcW w:w="0" w:type="auto"/>
            <w:tcBorders>
              <w:top w:val="nil"/>
              <w:left w:val="nil"/>
              <w:bottom w:val="single" w:sz="4" w:space="0" w:color="auto"/>
              <w:right w:val="single" w:sz="4" w:space="0" w:color="auto"/>
            </w:tcBorders>
            <w:shd w:val="clear" w:color="000000" w:fill="FDE9D9"/>
            <w:noWrap/>
            <w:vAlign w:val="bottom"/>
            <w:hideMark/>
          </w:tcPr>
          <w:p w14:paraId="2329D0B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0.19%</w:t>
            </w:r>
          </w:p>
        </w:tc>
        <w:tc>
          <w:tcPr>
            <w:tcW w:w="0" w:type="auto"/>
            <w:tcBorders>
              <w:top w:val="nil"/>
              <w:left w:val="nil"/>
              <w:bottom w:val="single" w:sz="4" w:space="0" w:color="auto"/>
              <w:right w:val="single" w:sz="4" w:space="0" w:color="auto"/>
            </w:tcBorders>
            <w:shd w:val="clear" w:color="000000" w:fill="FDE9D9"/>
            <w:noWrap/>
            <w:vAlign w:val="bottom"/>
            <w:hideMark/>
          </w:tcPr>
          <w:p w14:paraId="1638CC6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0.45%</w:t>
            </w:r>
          </w:p>
        </w:tc>
        <w:tc>
          <w:tcPr>
            <w:tcW w:w="0" w:type="auto"/>
            <w:tcBorders>
              <w:top w:val="nil"/>
              <w:left w:val="nil"/>
              <w:bottom w:val="single" w:sz="4" w:space="0" w:color="auto"/>
              <w:right w:val="single" w:sz="4" w:space="0" w:color="auto"/>
            </w:tcBorders>
            <w:shd w:val="clear" w:color="000000" w:fill="B7DEE8"/>
            <w:noWrap/>
            <w:vAlign w:val="bottom"/>
            <w:hideMark/>
          </w:tcPr>
          <w:p w14:paraId="1C076A8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2.30%</w:t>
            </w:r>
          </w:p>
        </w:tc>
        <w:tc>
          <w:tcPr>
            <w:tcW w:w="0" w:type="auto"/>
            <w:tcBorders>
              <w:top w:val="nil"/>
              <w:left w:val="nil"/>
              <w:bottom w:val="single" w:sz="4" w:space="0" w:color="auto"/>
              <w:right w:val="single" w:sz="4" w:space="0" w:color="auto"/>
            </w:tcBorders>
            <w:shd w:val="clear" w:color="000000" w:fill="B7DEE8"/>
            <w:noWrap/>
            <w:vAlign w:val="bottom"/>
            <w:hideMark/>
          </w:tcPr>
          <w:p w14:paraId="638EC3B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0.74%</w:t>
            </w:r>
          </w:p>
        </w:tc>
        <w:tc>
          <w:tcPr>
            <w:tcW w:w="0" w:type="auto"/>
            <w:tcBorders>
              <w:top w:val="nil"/>
              <w:left w:val="nil"/>
              <w:bottom w:val="single" w:sz="4" w:space="0" w:color="auto"/>
              <w:right w:val="single" w:sz="4" w:space="0" w:color="auto"/>
            </w:tcBorders>
            <w:shd w:val="clear" w:color="000000" w:fill="B7DEE8"/>
            <w:noWrap/>
            <w:vAlign w:val="bottom"/>
            <w:hideMark/>
          </w:tcPr>
          <w:p w14:paraId="76F6206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w:t>
            </w:r>
          </w:p>
        </w:tc>
        <w:tc>
          <w:tcPr>
            <w:tcW w:w="0" w:type="auto"/>
            <w:tcBorders>
              <w:top w:val="nil"/>
              <w:left w:val="nil"/>
              <w:bottom w:val="single" w:sz="4" w:space="0" w:color="auto"/>
              <w:right w:val="single" w:sz="4" w:space="0" w:color="auto"/>
            </w:tcBorders>
            <w:shd w:val="clear" w:color="000000" w:fill="DAEEF3"/>
            <w:noWrap/>
            <w:vAlign w:val="bottom"/>
            <w:hideMark/>
          </w:tcPr>
          <w:p w14:paraId="5B4738E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3.81%</w:t>
            </w:r>
          </w:p>
        </w:tc>
      </w:tr>
      <w:tr w:rsidR="00F20114" w:rsidRPr="008E0033" w14:paraId="21C86C22"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6C61BC"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Nillumbik (S)</w:t>
            </w:r>
          </w:p>
        </w:tc>
        <w:tc>
          <w:tcPr>
            <w:tcW w:w="0" w:type="auto"/>
            <w:tcBorders>
              <w:top w:val="nil"/>
              <w:left w:val="nil"/>
              <w:bottom w:val="single" w:sz="4" w:space="0" w:color="auto"/>
              <w:right w:val="single" w:sz="4" w:space="0" w:color="auto"/>
            </w:tcBorders>
            <w:shd w:val="clear" w:color="000000" w:fill="FDE9D9"/>
            <w:noWrap/>
            <w:vAlign w:val="bottom"/>
            <w:hideMark/>
          </w:tcPr>
          <w:p w14:paraId="3BEE502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1.60%</w:t>
            </w:r>
          </w:p>
        </w:tc>
        <w:tc>
          <w:tcPr>
            <w:tcW w:w="0" w:type="auto"/>
            <w:tcBorders>
              <w:top w:val="nil"/>
              <w:left w:val="nil"/>
              <w:bottom w:val="single" w:sz="4" w:space="0" w:color="auto"/>
              <w:right w:val="single" w:sz="4" w:space="0" w:color="auto"/>
            </w:tcBorders>
            <w:shd w:val="clear" w:color="000000" w:fill="FDE9D9"/>
            <w:noWrap/>
            <w:vAlign w:val="bottom"/>
            <w:hideMark/>
          </w:tcPr>
          <w:p w14:paraId="408690E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0.31%</w:t>
            </w:r>
          </w:p>
        </w:tc>
        <w:tc>
          <w:tcPr>
            <w:tcW w:w="0" w:type="auto"/>
            <w:tcBorders>
              <w:top w:val="nil"/>
              <w:left w:val="nil"/>
              <w:bottom w:val="single" w:sz="4" w:space="0" w:color="auto"/>
              <w:right w:val="single" w:sz="4" w:space="0" w:color="auto"/>
            </w:tcBorders>
            <w:shd w:val="clear" w:color="000000" w:fill="FDE9D9"/>
            <w:noWrap/>
            <w:vAlign w:val="bottom"/>
            <w:hideMark/>
          </w:tcPr>
          <w:p w14:paraId="0571135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1.29%</w:t>
            </w:r>
          </w:p>
        </w:tc>
        <w:tc>
          <w:tcPr>
            <w:tcW w:w="0" w:type="auto"/>
            <w:tcBorders>
              <w:top w:val="nil"/>
              <w:left w:val="nil"/>
              <w:bottom w:val="single" w:sz="4" w:space="0" w:color="auto"/>
              <w:right w:val="single" w:sz="4" w:space="0" w:color="auto"/>
            </w:tcBorders>
            <w:shd w:val="clear" w:color="000000" w:fill="FDE9D9"/>
            <w:noWrap/>
            <w:vAlign w:val="bottom"/>
            <w:hideMark/>
          </w:tcPr>
          <w:p w14:paraId="5DFF669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0.10%</w:t>
            </w:r>
          </w:p>
        </w:tc>
        <w:tc>
          <w:tcPr>
            <w:tcW w:w="0" w:type="auto"/>
            <w:tcBorders>
              <w:top w:val="nil"/>
              <w:left w:val="nil"/>
              <w:bottom w:val="single" w:sz="4" w:space="0" w:color="auto"/>
              <w:right w:val="single" w:sz="4" w:space="0" w:color="auto"/>
            </w:tcBorders>
            <w:shd w:val="clear" w:color="000000" w:fill="FDE9D9"/>
            <w:noWrap/>
            <w:vAlign w:val="bottom"/>
            <w:hideMark/>
          </w:tcPr>
          <w:p w14:paraId="2A0E957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1.06%</w:t>
            </w:r>
          </w:p>
        </w:tc>
        <w:tc>
          <w:tcPr>
            <w:tcW w:w="0" w:type="auto"/>
            <w:tcBorders>
              <w:top w:val="nil"/>
              <w:left w:val="nil"/>
              <w:bottom w:val="single" w:sz="4" w:space="0" w:color="auto"/>
              <w:right w:val="single" w:sz="4" w:space="0" w:color="auto"/>
            </w:tcBorders>
            <w:shd w:val="clear" w:color="000000" w:fill="FDE9D9"/>
            <w:noWrap/>
            <w:vAlign w:val="bottom"/>
            <w:hideMark/>
          </w:tcPr>
          <w:p w14:paraId="0C894A2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-0.97%</w:t>
            </w:r>
          </w:p>
        </w:tc>
        <w:tc>
          <w:tcPr>
            <w:tcW w:w="0" w:type="auto"/>
            <w:tcBorders>
              <w:top w:val="nil"/>
              <w:left w:val="nil"/>
              <w:bottom w:val="single" w:sz="4" w:space="0" w:color="auto"/>
              <w:right w:val="single" w:sz="4" w:space="0" w:color="auto"/>
            </w:tcBorders>
            <w:shd w:val="clear" w:color="000000" w:fill="B7DEE8"/>
            <w:noWrap/>
            <w:vAlign w:val="bottom"/>
            <w:hideMark/>
          </w:tcPr>
          <w:p w14:paraId="09EDA18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4.37%</w:t>
            </w:r>
          </w:p>
        </w:tc>
        <w:tc>
          <w:tcPr>
            <w:tcW w:w="0" w:type="auto"/>
            <w:tcBorders>
              <w:top w:val="nil"/>
              <w:left w:val="nil"/>
              <w:bottom w:val="single" w:sz="4" w:space="0" w:color="auto"/>
              <w:right w:val="single" w:sz="4" w:space="0" w:color="auto"/>
            </w:tcBorders>
            <w:shd w:val="clear" w:color="000000" w:fill="B7DEE8"/>
            <w:noWrap/>
            <w:vAlign w:val="bottom"/>
            <w:hideMark/>
          </w:tcPr>
          <w:p w14:paraId="7C5B04E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-1.27%</w:t>
            </w:r>
          </w:p>
        </w:tc>
        <w:tc>
          <w:tcPr>
            <w:tcW w:w="0" w:type="auto"/>
            <w:tcBorders>
              <w:top w:val="nil"/>
              <w:left w:val="nil"/>
              <w:bottom w:val="single" w:sz="4" w:space="0" w:color="auto"/>
              <w:right w:val="single" w:sz="4" w:space="0" w:color="auto"/>
            </w:tcBorders>
            <w:shd w:val="clear" w:color="000000" w:fill="B7DEE8"/>
            <w:noWrap/>
            <w:vAlign w:val="bottom"/>
            <w:hideMark/>
          </w:tcPr>
          <w:p w14:paraId="4AD7B64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w:t>
            </w:r>
          </w:p>
        </w:tc>
        <w:tc>
          <w:tcPr>
            <w:tcW w:w="0" w:type="auto"/>
            <w:tcBorders>
              <w:top w:val="nil"/>
              <w:left w:val="nil"/>
              <w:bottom w:val="single" w:sz="4" w:space="0" w:color="auto"/>
              <w:right w:val="single" w:sz="4" w:space="0" w:color="auto"/>
            </w:tcBorders>
            <w:shd w:val="clear" w:color="000000" w:fill="DAEEF3"/>
            <w:noWrap/>
            <w:vAlign w:val="bottom"/>
            <w:hideMark/>
          </w:tcPr>
          <w:p w14:paraId="5077DF9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1.75%</w:t>
            </w:r>
          </w:p>
        </w:tc>
      </w:tr>
      <w:tr w:rsidR="00F20114" w:rsidRPr="008E0033" w14:paraId="023C9168"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E91F82"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Northern Grampians (S)</w:t>
            </w:r>
          </w:p>
        </w:tc>
        <w:tc>
          <w:tcPr>
            <w:tcW w:w="0" w:type="auto"/>
            <w:tcBorders>
              <w:top w:val="nil"/>
              <w:left w:val="nil"/>
              <w:bottom w:val="single" w:sz="4" w:space="0" w:color="auto"/>
              <w:right w:val="single" w:sz="4" w:space="0" w:color="auto"/>
            </w:tcBorders>
            <w:shd w:val="clear" w:color="000000" w:fill="FDE9D9"/>
            <w:noWrap/>
            <w:vAlign w:val="bottom"/>
            <w:hideMark/>
          </w:tcPr>
          <w:p w14:paraId="2A6A78D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0.23%</w:t>
            </w:r>
          </w:p>
        </w:tc>
        <w:tc>
          <w:tcPr>
            <w:tcW w:w="0" w:type="auto"/>
            <w:tcBorders>
              <w:top w:val="nil"/>
              <w:left w:val="nil"/>
              <w:bottom w:val="single" w:sz="4" w:space="0" w:color="auto"/>
              <w:right w:val="single" w:sz="4" w:space="0" w:color="auto"/>
            </w:tcBorders>
            <w:shd w:val="clear" w:color="000000" w:fill="FDE9D9"/>
            <w:noWrap/>
            <w:vAlign w:val="bottom"/>
            <w:hideMark/>
          </w:tcPr>
          <w:p w14:paraId="51A9EBC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-0.51%</w:t>
            </w:r>
          </w:p>
        </w:tc>
        <w:tc>
          <w:tcPr>
            <w:tcW w:w="0" w:type="auto"/>
            <w:tcBorders>
              <w:top w:val="nil"/>
              <w:left w:val="nil"/>
              <w:bottom w:val="single" w:sz="4" w:space="0" w:color="auto"/>
              <w:right w:val="single" w:sz="4" w:space="0" w:color="auto"/>
            </w:tcBorders>
            <w:shd w:val="clear" w:color="000000" w:fill="FDE9D9"/>
            <w:noWrap/>
            <w:vAlign w:val="bottom"/>
            <w:hideMark/>
          </w:tcPr>
          <w:p w14:paraId="7EC702D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0.74%</w:t>
            </w:r>
          </w:p>
        </w:tc>
        <w:tc>
          <w:tcPr>
            <w:tcW w:w="0" w:type="auto"/>
            <w:tcBorders>
              <w:top w:val="nil"/>
              <w:left w:val="nil"/>
              <w:bottom w:val="single" w:sz="4" w:space="0" w:color="auto"/>
              <w:right w:val="single" w:sz="4" w:space="0" w:color="auto"/>
            </w:tcBorders>
            <w:shd w:val="clear" w:color="000000" w:fill="FDE9D9"/>
            <w:noWrap/>
            <w:vAlign w:val="bottom"/>
            <w:hideMark/>
          </w:tcPr>
          <w:p w14:paraId="33C3D76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-0.95%</w:t>
            </w:r>
          </w:p>
        </w:tc>
        <w:tc>
          <w:tcPr>
            <w:tcW w:w="0" w:type="auto"/>
            <w:tcBorders>
              <w:top w:val="nil"/>
              <w:left w:val="nil"/>
              <w:bottom w:val="single" w:sz="4" w:space="0" w:color="auto"/>
              <w:right w:val="single" w:sz="4" w:space="0" w:color="auto"/>
            </w:tcBorders>
            <w:shd w:val="clear" w:color="000000" w:fill="FDE9D9"/>
            <w:noWrap/>
            <w:vAlign w:val="bottom"/>
            <w:hideMark/>
          </w:tcPr>
          <w:p w14:paraId="7B2A7AC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0.21%</w:t>
            </w:r>
          </w:p>
        </w:tc>
        <w:tc>
          <w:tcPr>
            <w:tcW w:w="0" w:type="auto"/>
            <w:tcBorders>
              <w:top w:val="nil"/>
              <w:left w:val="nil"/>
              <w:bottom w:val="single" w:sz="4" w:space="0" w:color="auto"/>
              <w:right w:val="single" w:sz="4" w:space="0" w:color="auto"/>
            </w:tcBorders>
            <w:shd w:val="clear" w:color="000000" w:fill="FDE9D9"/>
            <w:noWrap/>
            <w:vAlign w:val="bottom"/>
            <w:hideMark/>
          </w:tcPr>
          <w:p w14:paraId="27B51CA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-1.16%</w:t>
            </w:r>
          </w:p>
        </w:tc>
        <w:tc>
          <w:tcPr>
            <w:tcW w:w="0" w:type="auto"/>
            <w:tcBorders>
              <w:top w:val="nil"/>
              <w:left w:val="nil"/>
              <w:bottom w:val="single" w:sz="4" w:space="0" w:color="auto"/>
              <w:right w:val="single" w:sz="4" w:space="0" w:color="auto"/>
            </w:tcBorders>
            <w:shd w:val="clear" w:color="000000" w:fill="B7DEE8"/>
            <w:noWrap/>
            <w:vAlign w:val="bottom"/>
            <w:hideMark/>
          </w:tcPr>
          <w:p w14:paraId="6A181B6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3.82%</w:t>
            </w:r>
          </w:p>
        </w:tc>
        <w:tc>
          <w:tcPr>
            <w:tcW w:w="0" w:type="auto"/>
            <w:tcBorders>
              <w:top w:val="nil"/>
              <w:left w:val="nil"/>
              <w:bottom w:val="single" w:sz="4" w:space="0" w:color="auto"/>
              <w:right w:val="single" w:sz="4" w:space="0" w:color="auto"/>
            </w:tcBorders>
            <w:shd w:val="clear" w:color="000000" w:fill="B7DEE8"/>
            <w:noWrap/>
            <w:vAlign w:val="bottom"/>
            <w:hideMark/>
          </w:tcPr>
          <w:p w14:paraId="39DF891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-0.74%</w:t>
            </w:r>
          </w:p>
        </w:tc>
        <w:tc>
          <w:tcPr>
            <w:tcW w:w="0" w:type="auto"/>
            <w:tcBorders>
              <w:top w:val="nil"/>
              <w:left w:val="nil"/>
              <w:bottom w:val="single" w:sz="4" w:space="0" w:color="auto"/>
              <w:right w:val="single" w:sz="4" w:space="0" w:color="auto"/>
            </w:tcBorders>
            <w:shd w:val="clear" w:color="000000" w:fill="B7DEE8"/>
            <w:noWrap/>
            <w:vAlign w:val="bottom"/>
            <w:hideMark/>
          </w:tcPr>
          <w:p w14:paraId="4F9A44C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w:t>
            </w:r>
          </w:p>
        </w:tc>
        <w:tc>
          <w:tcPr>
            <w:tcW w:w="0" w:type="auto"/>
            <w:tcBorders>
              <w:top w:val="nil"/>
              <w:left w:val="nil"/>
              <w:bottom w:val="single" w:sz="4" w:space="0" w:color="auto"/>
              <w:right w:val="single" w:sz="4" w:space="0" w:color="auto"/>
            </w:tcBorders>
            <w:shd w:val="clear" w:color="000000" w:fill="DAEEF3"/>
            <w:noWrap/>
            <w:vAlign w:val="bottom"/>
            <w:hideMark/>
          </w:tcPr>
          <w:p w14:paraId="6C4DDDA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2.29%</w:t>
            </w:r>
          </w:p>
        </w:tc>
      </w:tr>
      <w:tr w:rsidR="00F20114" w:rsidRPr="008E0033" w14:paraId="705C6E5B"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A2F881"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Port Phillip (C)</w:t>
            </w:r>
          </w:p>
        </w:tc>
        <w:tc>
          <w:tcPr>
            <w:tcW w:w="0" w:type="auto"/>
            <w:tcBorders>
              <w:top w:val="nil"/>
              <w:left w:val="nil"/>
              <w:bottom w:val="single" w:sz="4" w:space="0" w:color="auto"/>
              <w:right w:val="single" w:sz="4" w:space="0" w:color="auto"/>
            </w:tcBorders>
            <w:shd w:val="clear" w:color="000000" w:fill="FDE9D9"/>
            <w:noWrap/>
            <w:vAlign w:val="bottom"/>
            <w:hideMark/>
          </w:tcPr>
          <w:p w14:paraId="4F244FC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2.35%</w:t>
            </w:r>
          </w:p>
        </w:tc>
        <w:tc>
          <w:tcPr>
            <w:tcW w:w="0" w:type="auto"/>
            <w:tcBorders>
              <w:top w:val="nil"/>
              <w:left w:val="nil"/>
              <w:bottom w:val="single" w:sz="4" w:space="0" w:color="auto"/>
              <w:right w:val="single" w:sz="4" w:space="0" w:color="auto"/>
            </w:tcBorders>
            <w:shd w:val="clear" w:color="000000" w:fill="FDE9D9"/>
            <w:noWrap/>
            <w:vAlign w:val="bottom"/>
            <w:hideMark/>
          </w:tcPr>
          <w:p w14:paraId="3F15206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2.37%</w:t>
            </w:r>
          </w:p>
        </w:tc>
        <w:tc>
          <w:tcPr>
            <w:tcW w:w="0" w:type="auto"/>
            <w:tcBorders>
              <w:top w:val="nil"/>
              <w:left w:val="nil"/>
              <w:bottom w:val="single" w:sz="4" w:space="0" w:color="auto"/>
              <w:right w:val="single" w:sz="4" w:space="0" w:color="auto"/>
            </w:tcBorders>
            <w:shd w:val="clear" w:color="000000" w:fill="FDE9D9"/>
            <w:noWrap/>
            <w:vAlign w:val="bottom"/>
            <w:hideMark/>
          </w:tcPr>
          <w:p w14:paraId="2889794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-0.02%</w:t>
            </w:r>
          </w:p>
        </w:tc>
        <w:tc>
          <w:tcPr>
            <w:tcW w:w="0" w:type="auto"/>
            <w:tcBorders>
              <w:top w:val="nil"/>
              <w:left w:val="nil"/>
              <w:bottom w:val="single" w:sz="4" w:space="0" w:color="auto"/>
              <w:right w:val="single" w:sz="4" w:space="0" w:color="auto"/>
            </w:tcBorders>
            <w:shd w:val="clear" w:color="000000" w:fill="FDE9D9"/>
            <w:noWrap/>
            <w:vAlign w:val="bottom"/>
            <w:hideMark/>
          </w:tcPr>
          <w:p w14:paraId="3CFE221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2.19%</w:t>
            </w:r>
          </w:p>
        </w:tc>
        <w:tc>
          <w:tcPr>
            <w:tcW w:w="0" w:type="auto"/>
            <w:tcBorders>
              <w:top w:val="nil"/>
              <w:left w:val="nil"/>
              <w:bottom w:val="single" w:sz="4" w:space="0" w:color="auto"/>
              <w:right w:val="single" w:sz="4" w:space="0" w:color="auto"/>
            </w:tcBorders>
            <w:shd w:val="clear" w:color="000000" w:fill="FDE9D9"/>
            <w:noWrap/>
            <w:vAlign w:val="bottom"/>
            <w:hideMark/>
          </w:tcPr>
          <w:p w14:paraId="7C6E6D8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2.85%</w:t>
            </w:r>
          </w:p>
        </w:tc>
        <w:tc>
          <w:tcPr>
            <w:tcW w:w="0" w:type="auto"/>
            <w:tcBorders>
              <w:top w:val="nil"/>
              <w:left w:val="nil"/>
              <w:bottom w:val="single" w:sz="4" w:space="0" w:color="auto"/>
              <w:right w:val="single" w:sz="4" w:space="0" w:color="auto"/>
            </w:tcBorders>
            <w:shd w:val="clear" w:color="000000" w:fill="FDE9D9"/>
            <w:noWrap/>
            <w:vAlign w:val="bottom"/>
            <w:hideMark/>
          </w:tcPr>
          <w:p w14:paraId="336D7F9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-0.66%</w:t>
            </w:r>
          </w:p>
        </w:tc>
        <w:tc>
          <w:tcPr>
            <w:tcW w:w="0" w:type="auto"/>
            <w:tcBorders>
              <w:top w:val="nil"/>
              <w:left w:val="nil"/>
              <w:bottom w:val="single" w:sz="4" w:space="0" w:color="auto"/>
              <w:right w:val="single" w:sz="4" w:space="0" w:color="auto"/>
            </w:tcBorders>
            <w:shd w:val="clear" w:color="000000" w:fill="B7DEE8"/>
            <w:noWrap/>
            <w:vAlign w:val="bottom"/>
            <w:hideMark/>
          </w:tcPr>
          <w:p w14:paraId="0AC53EC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3.03%</w:t>
            </w:r>
          </w:p>
        </w:tc>
        <w:tc>
          <w:tcPr>
            <w:tcW w:w="0" w:type="auto"/>
            <w:tcBorders>
              <w:top w:val="nil"/>
              <w:left w:val="nil"/>
              <w:bottom w:val="single" w:sz="4" w:space="0" w:color="auto"/>
              <w:right w:val="single" w:sz="4" w:space="0" w:color="auto"/>
            </w:tcBorders>
            <w:shd w:val="clear" w:color="000000" w:fill="B7DEE8"/>
            <w:noWrap/>
            <w:vAlign w:val="bottom"/>
            <w:hideMark/>
          </w:tcPr>
          <w:p w14:paraId="4C06B14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0.02%</w:t>
            </w:r>
          </w:p>
        </w:tc>
        <w:tc>
          <w:tcPr>
            <w:tcW w:w="0" w:type="auto"/>
            <w:tcBorders>
              <w:top w:val="nil"/>
              <w:left w:val="nil"/>
              <w:bottom w:val="single" w:sz="4" w:space="0" w:color="auto"/>
              <w:right w:val="single" w:sz="4" w:space="0" w:color="auto"/>
            </w:tcBorders>
            <w:shd w:val="clear" w:color="000000" w:fill="B7DEE8"/>
            <w:noWrap/>
            <w:vAlign w:val="bottom"/>
            <w:hideMark/>
          </w:tcPr>
          <w:p w14:paraId="37CC188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1.1%</w:t>
            </w:r>
          </w:p>
        </w:tc>
        <w:tc>
          <w:tcPr>
            <w:tcW w:w="0" w:type="auto"/>
            <w:tcBorders>
              <w:top w:val="nil"/>
              <w:left w:val="nil"/>
              <w:bottom w:val="single" w:sz="4" w:space="0" w:color="auto"/>
              <w:right w:val="single" w:sz="4" w:space="0" w:color="auto"/>
            </w:tcBorders>
            <w:shd w:val="clear" w:color="000000" w:fill="DAEEF3"/>
            <w:noWrap/>
            <w:vAlign w:val="bottom"/>
            <w:hideMark/>
          </w:tcPr>
          <w:p w14:paraId="2BD6F40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3.07%</w:t>
            </w:r>
          </w:p>
        </w:tc>
      </w:tr>
      <w:tr w:rsidR="00F20114" w:rsidRPr="008E0033" w14:paraId="62D75E7D"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0293A5"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Pyrenees (S)</w:t>
            </w:r>
          </w:p>
        </w:tc>
        <w:tc>
          <w:tcPr>
            <w:tcW w:w="0" w:type="auto"/>
            <w:tcBorders>
              <w:top w:val="nil"/>
              <w:left w:val="nil"/>
              <w:bottom w:val="single" w:sz="4" w:space="0" w:color="auto"/>
              <w:right w:val="single" w:sz="4" w:space="0" w:color="auto"/>
            </w:tcBorders>
            <w:shd w:val="clear" w:color="000000" w:fill="FDE9D9"/>
            <w:noWrap/>
            <w:vAlign w:val="bottom"/>
            <w:hideMark/>
          </w:tcPr>
          <w:p w14:paraId="6EE6DAB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0.41%</w:t>
            </w:r>
          </w:p>
        </w:tc>
        <w:tc>
          <w:tcPr>
            <w:tcW w:w="0" w:type="auto"/>
            <w:tcBorders>
              <w:top w:val="nil"/>
              <w:left w:val="nil"/>
              <w:bottom w:val="single" w:sz="4" w:space="0" w:color="auto"/>
              <w:right w:val="single" w:sz="4" w:space="0" w:color="auto"/>
            </w:tcBorders>
            <w:shd w:val="clear" w:color="000000" w:fill="FDE9D9"/>
            <w:noWrap/>
            <w:vAlign w:val="bottom"/>
            <w:hideMark/>
          </w:tcPr>
          <w:p w14:paraId="296153A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3.30%</w:t>
            </w:r>
          </w:p>
        </w:tc>
        <w:tc>
          <w:tcPr>
            <w:tcW w:w="0" w:type="auto"/>
            <w:tcBorders>
              <w:top w:val="nil"/>
              <w:left w:val="nil"/>
              <w:bottom w:val="single" w:sz="4" w:space="0" w:color="auto"/>
              <w:right w:val="single" w:sz="4" w:space="0" w:color="auto"/>
            </w:tcBorders>
            <w:shd w:val="clear" w:color="000000" w:fill="FDE9D9"/>
            <w:noWrap/>
            <w:vAlign w:val="bottom"/>
            <w:hideMark/>
          </w:tcPr>
          <w:p w14:paraId="15D412B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-2.89%</w:t>
            </w:r>
          </w:p>
        </w:tc>
        <w:tc>
          <w:tcPr>
            <w:tcW w:w="0" w:type="auto"/>
            <w:tcBorders>
              <w:top w:val="nil"/>
              <w:left w:val="nil"/>
              <w:bottom w:val="single" w:sz="4" w:space="0" w:color="auto"/>
              <w:right w:val="single" w:sz="4" w:space="0" w:color="auto"/>
            </w:tcBorders>
            <w:shd w:val="clear" w:color="000000" w:fill="FDE9D9"/>
            <w:noWrap/>
            <w:vAlign w:val="bottom"/>
            <w:hideMark/>
          </w:tcPr>
          <w:p w14:paraId="03DE4AB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1.71%</w:t>
            </w:r>
          </w:p>
        </w:tc>
        <w:tc>
          <w:tcPr>
            <w:tcW w:w="0" w:type="auto"/>
            <w:tcBorders>
              <w:top w:val="nil"/>
              <w:left w:val="nil"/>
              <w:bottom w:val="single" w:sz="4" w:space="0" w:color="auto"/>
              <w:right w:val="single" w:sz="4" w:space="0" w:color="auto"/>
            </w:tcBorders>
            <w:shd w:val="clear" w:color="000000" w:fill="FDE9D9"/>
            <w:noWrap/>
            <w:vAlign w:val="bottom"/>
            <w:hideMark/>
          </w:tcPr>
          <w:p w14:paraId="01E5720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0.21%</w:t>
            </w:r>
          </w:p>
        </w:tc>
        <w:tc>
          <w:tcPr>
            <w:tcW w:w="0" w:type="auto"/>
            <w:tcBorders>
              <w:top w:val="nil"/>
              <w:left w:val="nil"/>
              <w:bottom w:val="single" w:sz="4" w:space="0" w:color="auto"/>
              <w:right w:val="single" w:sz="4" w:space="0" w:color="auto"/>
            </w:tcBorders>
            <w:shd w:val="clear" w:color="000000" w:fill="FDE9D9"/>
            <w:noWrap/>
            <w:vAlign w:val="bottom"/>
            <w:hideMark/>
          </w:tcPr>
          <w:p w14:paraId="5A55243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1.50%</w:t>
            </w:r>
          </w:p>
        </w:tc>
        <w:tc>
          <w:tcPr>
            <w:tcW w:w="0" w:type="auto"/>
            <w:tcBorders>
              <w:top w:val="nil"/>
              <w:left w:val="nil"/>
              <w:bottom w:val="single" w:sz="4" w:space="0" w:color="auto"/>
              <w:right w:val="single" w:sz="4" w:space="0" w:color="auto"/>
            </w:tcBorders>
            <w:shd w:val="clear" w:color="000000" w:fill="B7DEE8"/>
            <w:noWrap/>
            <w:vAlign w:val="bottom"/>
            <w:hideMark/>
          </w:tcPr>
          <w:p w14:paraId="0F5AC3A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0.17%</w:t>
            </w:r>
          </w:p>
        </w:tc>
        <w:tc>
          <w:tcPr>
            <w:tcW w:w="0" w:type="auto"/>
            <w:tcBorders>
              <w:top w:val="nil"/>
              <w:left w:val="nil"/>
              <w:bottom w:val="single" w:sz="4" w:space="0" w:color="auto"/>
              <w:right w:val="single" w:sz="4" w:space="0" w:color="auto"/>
            </w:tcBorders>
            <w:shd w:val="clear" w:color="000000" w:fill="B7DEE8"/>
            <w:noWrap/>
            <w:vAlign w:val="bottom"/>
            <w:hideMark/>
          </w:tcPr>
          <w:p w14:paraId="281173B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2.87%</w:t>
            </w:r>
          </w:p>
        </w:tc>
        <w:tc>
          <w:tcPr>
            <w:tcW w:w="0" w:type="auto"/>
            <w:tcBorders>
              <w:top w:val="nil"/>
              <w:left w:val="nil"/>
              <w:bottom w:val="single" w:sz="4" w:space="0" w:color="auto"/>
              <w:right w:val="single" w:sz="4" w:space="0" w:color="auto"/>
            </w:tcBorders>
            <w:shd w:val="clear" w:color="000000" w:fill="B7DEE8"/>
            <w:noWrap/>
            <w:vAlign w:val="bottom"/>
            <w:hideMark/>
          </w:tcPr>
          <w:p w14:paraId="4091830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w:t>
            </w:r>
          </w:p>
        </w:tc>
        <w:tc>
          <w:tcPr>
            <w:tcW w:w="0" w:type="auto"/>
            <w:tcBorders>
              <w:top w:val="nil"/>
              <w:left w:val="nil"/>
              <w:bottom w:val="single" w:sz="4" w:space="0" w:color="auto"/>
              <w:right w:val="single" w:sz="4" w:space="0" w:color="auto"/>
            </w:tcBorders>
            <w:shd w:val="clear" w:color="000000" w:fill="DAEEF3"/>
            <w:noWrap/>
            <w:vAlign w:val="bottom"/>
            <w:hideMark/>
          </w:tcPr>
          <w:p w14:paraId="295CA94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6.01%</w:t>
            </w:r>
          </w:p>
        </w:tc>
      </w:tr>
      <w:tr w:rsidR="00F20114" w:rsidRPr="008E0033" w14:paraId="3EC7D551"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50BCBF" w14:textId="77777777" w:rsidR="00F20114" w:rsidRPr="008E0033" w:rsidRDefault="00F20114" w:rsidP="00F20114">
            <w:pPr>
              <w:rPr>
                <w:rFonts w:ascii="Calibri" w:hAnsi="Calibri"/>
                <w:sz w:val="16"/>
                <w:szCs w:val="16"/>
                <w:lang w:eastAsia="en-AU"/>
              </w:rPr>
            </w:pPr>
            <w:proofErr w:type="spellStart"/>
            <w:r w:rsidRPr="008E0033">
              <w:rPr>
                <w:rFonts w:ascii="Calibri" w:hAnsi="Calibri"/>
                <w:sz w:val="16"/>
                <w:szCs w:val="16"/>
                <w:lang w:eastAsia="en-AU"/>
              </w:rPr>
              <w:t>Queenscliffe</w:t>
            </w:r>
            <w:proofErr w:type="spellEnd"/>
            <w:r w:rsidRPr="008E0033">
              <w:rPr>
                <w:rFonts w:ascii="Calibri" w:hAnsi="Calibri"/>
                <w:sz w:val="16"/>
                <w:szCs w:val="16"/>
                <w:lang w:eastAsia="en-AU"/>
              </w:rPr>
              <w:t xml:space="preserve"> (B)</w:t>
            </w:r>
          </w:p>
        </w:tc>
        <w:tc>
          <w:tcPr>
            <w:tcW w:w="0" w:type="auto"/>
            <w:tcBorders>
              <w:top w:val="nil"/>
              <w:left w:val="nil"/>
              <w:bottom w:val="single" w:sz="4" w:space="0" w:color="auto"/>
              <w:right w:val="single" w:sz="4" w:space="0" w:color="auto"/>
            </w:tcBorders>
            <w:shd w:val="clear" w:color="000000" w:fill="FDE9D9"/>
            <w:noWrap/>
            <w:vAlign w:val="bottom"/>
            <w:hideMark/>
          </w:tcPr>
          <w:p w14:paraId="6365D55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0.69%</w:t>
            </w:r>
          </w:p>
        </w:tc>
        <w:tc>
          <w:tcPr>
            <w:tcW w:w="0" w:type="auto"/>
            <w:tcBorders>
              <w:top w:val="nil"/>
              <w:left w:val="nil"/>
              <w:bottom w:val="single" w:sz="4" w:space="0" w:color="auto"/>
              <w:right w:val="single" w:sz="4" w:space="0" w:color="auto"/>
            </w:tcBorders>
            <w:shd w:val="clear" w:color="000000" w:fill="FDE9D9"/>
            <w:noWrap/>
            <w:vAlign w:val="bottom"/>
            <w:hideMark/>
          </w:tcPr>
          <w:p w14:paraId="54B617F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-0.66%</w:t>
            </w:r>
          </w:p>
        </w:tc>
        <w:tc>
          <w:tcPr>
            <w:tcW w:w="0" w:type="auto"/>
            <w:tcBorders>
              <w:top w:val="nil"/>
              <w:left w:val="nil"/>
              <w:bottom w:val="single" w:sz="4" w:space="0" w:color="auto"/>
              <w:right w:val="single" w:sz="4" w:space="0" w:color="auto"/>
            </w:tcBorders>
            <w:shd w:val="clear" w:color="000000" w:fill="FDE9D9"/>
            <w:noWrap/>
            <w:vAlign w:val="bottom"/>
            <w:hideMark/>
          </w:tcPr>
          <w:p w14:paraId="68C127E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1.35%</w:t>
            </w:r>
          </w:p>
        </w:tc>
        <w:tc>
          <w:tcPr>
            <w:tcW w:w="0" w:type="auto"/>
            <w:tcBorders>
              <w:top w:val="nil"/>
              <w:left w:val="nil"/>
              <w:bottom w:val="single" w:sz="4" w:space="0" w:color="auto"/>
              <w:right w:val="single" w:sz="4" w:space="0" w:color="auto"/>
            </w:tcBorders>
            <w:shd w:val="clear" w:color="000000" w:fill="FDE9D9"/>
            <w:noWrap/>
            <w:vAlign w:val="bottom"/>
            <w:hideMark/>
          </w:tcPr>
          <w:p w14:paraId="5524C15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-0.94%</w:t>
            </w:r>
          </w:p>
        </w:tc>
        <w:tc>
          <w:tcPr>
            <w:tcW w:w="0" w:type="auto"/>
            <w:tcBorders>
              <w:top w:val="nil"/>
              <w:left w:val="nil"/>
              <w:bottom w:val="single" w:sz="4" w:space="0" w:color="auto"/>
              <w:right w:val="single" w:sz="4" w:space="0" w:color="auto"/>
            </w:tcBorders>
            <w:shd w:val="clear" w:color="000000" w:fill="FDE9D9"/>
            <w:noWrap/>
            <w:vAlign w:val="bottom"/>
            <w:hideMark/>
          </w:tcPr>
          <w:p w14:paraId="7E19896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0.44%</w:t>
            </w:r>
          </w:p>
        </w:tc>
        <w:tc>
          <w:tcPr>
            <w:tcW w:w="0" w:type="auto"/>
            <w:tcBorders>
              <w:top w:val="nil"/>
              <w:left w:val="nil"/>
              <w:bottom w:val="single" w:sz="4" w:space="0" w:color="auto"/>
              <w:right w:val="single" w:sz="4" w:space="0" w:color="auto"/>
            </w:tcBorders>
            <w:shd w:val="clear" w:color="000000" w:fill="FDE9D9"/>
            <w:noWrap/>
            <w:vAlign w:val="bottom"/>
            <w:hideMark/>
          </w:tcPr>
          <w:p w14:paraId="34B8549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-1.39%</w:t>
            </w:r>
          </w:p>
        </w:tc>
        <w:tc>
          <w:tcPr>
            <w:tcW w:w="0" w:type="auto"/>
            <w:tcBorders>
              <w:top w:val="nil"/>
              <w:left w:val="nil"/>
              <w:bottom w:val="single" w:sz="4" w:space="0" w:color="auto"/>
              <w:right w:val="single" w:sz="4" w:space="0" w:color="auto"/>
            </w:tcBorders>
            <w:shd w:val="clear" w:color="000000" w:fill="B7DEE8"/>
            <w:noWrap/>
            <w:vAlign w:val="bottom"/>
            <w:hideMark/>
          </w:tcPr>
          <w:p w14:paraId="1E91CC3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4.45%</w:t>
            </w:r>
          </w:p>
        </w:tc>
        <w:tc>
          <w:tcPr>
            <w:tcW w:w="0" w:type="auto"/>
            <w:tcBorders>
              <w:top w:val="nil"/>
              <w:left w:val="nil"/>
              <w:bottom w:val="single" w:sz="4" w:space="0" w:color="auto"/>
              <w:right w:val="single" w:sz="4" w:space="0" w:color="auto"/>
            </w:tcBorders>
            <w:shd w:val="clear" w:color="000000" w:fill="B7DEE8"/>
            <w:noWrap/>
            <w:vAlign w:val="bottom"/>
            <w:hideMark/>
          </w:tcPr>
          <w:p w14:paraId="5A535B8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-1.34%</w:t>
            </w:r>
          </w:p>
        </w:tc>
        <w:tc>
          <w:tcPr>
            <w:tcW w:w="0" w:type="auto"/>
            <w:tcBorders>
              <w:top w:val="nil"/>
              <w:left w:val="nil"/>
              <w:bottom w:val="single" w:sz="4" w:space="0" w:color="auto"/>
              <w:right w:val="single" w:sz="4" w:space="0" w:color="auto"/>
            </w:tcBorders>
            <w:shd w:val="clear" w:color="000000" w:fill="B7DEE8"/>
            <w:noWrap/>
            <w:vAlign w:val="bottom"/>
            <w:hideMark/>
          </w:tcPr>
          <w:p w14:paraId="4AEA265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w:t>
            </w:r>
          </w:p>
        </w:tc>
        <w:tc>
          <w:tcPr>
            <w:tcW w:w="0" w:type="auto"/>
            <w:tcBorders>
              <w:top w:val="nil"/>
              <w:left w:val="nil"/>
              <w:bottom w:val="single" w:sz="4" w:space="0" w:color="auto"/>
              <w:right w:val="single" w:sz="4" w:space="0" w:color="auto"/>
            </w:tcBorders>
            <w:shd w:val="clear" w:color="000000" w:fill="DAEEF3"/>
            <w:noWrap/>
            <w:vAlign w:val="bottom"/>
            <w:hideMark/>
          </w:tcPr>
          <w:p w14:paraId="13CD1C6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1.67%</w:t>
            </w:r>
          </w:p>
        </w:tc>
      </w:tr>
      <w:tr w:rsidR="00F20114" w:rsidRPr="008E0033" w14:paraId="2319300F"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4F50DB"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South Gippsland (S)</w:t>
            </w:r>
          </w:p>
        </w:tc>
        <w:tc>
          <w:tcPr>
            <w:tcW w:w="0" w:type="auto"/>
            <w:tcBorders>
              <w:top w:val="nil"/>
              <w:left w:val="nil"/>
              <w:bottom w:val="single" w:sz="4" w:space="0" w:color="auto"/>
              <w:right w:val="single" w:sz="4" w:space="0" w:color="auto"/>
            </w:tcBorders>
            <w:shd w:val="clear" w:color="000000" w:fill="FDE9D9"/>
            <w:noWrap/>
            <w:vAlign w:val="bottom"/>
            <w:hideMark/>
          </w:tcPr>
          <w:p w14:paraId="64DD9F8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0.33%</w:t>
            </w:r>
          </w:p>
        </w:tc>
        <w:tc>
          <w:tcPr>
            <w:tcW w:w="0" w:type="auto"/>
            <w:tcBorders>
              <w:top w:val="nil"/>
              <w:left w:val="nil"/>
              <w:bottom w:val="single" w:sz="4" w:space="0" w:color="auto"/>
              <w:right w:val="single" w:sz="4" w:space="0" w:color="auto"/>
            </w:tcBorders>
            <w:shd w:val="clear" w:color="000000" w:fill="FDE9D9"/>
            <w:noWrap/>
            <w:vAlign w:val="bottom"/>
            <w:hideMark/>
          </w:tcPr>
          <w:p w14:paraId="253DB9D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0.02%</w:t>
            </w:r>
          </w:p>
        </w:tc>
        <w:tc>
          <w:tcPr>
            <w:tcW w:w="0" w:type="auto"/>
            <w:tcBorders>
              <w:top w:val="nil"/>
              <w:left w:val="nil"/>
              <w:bottom w:val="single" w:sz="4" w:space="0" w:color="auto"/>
              <w:right w:val="single" w:sz="4" w:space="0" w:color="auto"/>
            </w:tcBorders>
            <w:shd w:val="clear" w:color="000000" w:fill="FDE9D9"/>
            <w:noWrap/>
            <w:vAlign w:val="bottom"/>
            <w:hideMark/>
          </w:tcPr>
          <w:p w14:paraId="4C0F1EA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0.31%</w:t>
            </w:r>
          </w:p>
        </w:tc>
        <w:tc>
          <w:tcPr>
            <w:tcW w:w="0" w:type="auto"/>
            <w:tcBorders>
              <w:top w:val="nil"/>
              <w:left w:val="nil"/>
              <w:bottom w:val="single" w:sz="4" w:space="0" w:color="auto"/>
              <w:right w:val="single" w:sz="4" w:space="0" w:color="auto"/>
            </w:tcBorders>
            <w:shd w:val="clear" w:color="000000" w:fill="FDE9D9"/>
            <w:noWrap/>
            <w:vAlign w:val="bottom"/>
            <w:hideMark/>
          </w:tcPr>
          <w:p w14:paraId="7B17092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0.33%</w:t>
            </w:r>
          </w:p>
        </w:tc>
        <w:tc>
          <w:tcPr>
            <w:tcW w:w="0" w:type="auto"/>
            <w:tcBorders>
              <w:top w:val="nil"/>
              <w:left w:val="nil"/>
              <w:bottom w:val="single" w:sz="4" w:space="0" w:color="auto"/>
              <w:right w:val="single" w:sz="4" w:space="0" w:color="auto"/>
            </w:tcBorders>
            <w:shd w:val="clear" w:color="000000" w:fill="FDE9D9"/>
            <w:noWrap/>
            <w:vAlign w:val="bottom"/>
            <w:hideMark/>
          </w:tcPr>
          <w:p w14:paraId="3DC761B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0.57%</w:t>
            </w:r>
          </w:p>
        </w:tc>
        <w:tc>
          <w:tcPr>
            <w:tcW w:w="0" w:type="auto"/>
            <w:tcBorders>
              <w:top w:val="nil"/>
              <w:left w:val="nil"/>
              <w:bottom w:val="single" w:sz="4" w:space="0" w:color="auto"/>
              <w:right w:val="single" w:sz="4" w:space="0" w:color="auto"/>
            </w:tcBorders>
            <w:shd w:val="clear" w:color="000000" w:fill="FDE9D9"/>
            <w:noWrap/>
            <w:vAlign w:val="bottom"/>
            <w:hideMark/>
          </w:tcPr>
          <w:p w14:paraId="24FC215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-0.24%</w:t>
            </w:r>
          </w:p>
        </w:tc>
        <w:tc>
          <w:tcPr>
            <w:tcW w:w="0" w:type="auto"/>
            <w:tcBorders>
              <w:top w:val="nil"/>
              <w:left w:val="nil"/>
              <w:bottom w:val="single" w:sz="4" w:space="0" w:color="auto"/>
              <w:right w:val="single" w:sz="4" w:space="0" w:color="auto"/>
            </w:tcBorders>
            <w:shd w:val="clear" w:color="000000" w:fill="B7DEE8"/>
            <w:noWrap/>
            <w:vAlign w:val="bottom"/>
            <w:hideMark/>
          </w:tcPr>
          <w:p w14:paraId="7796DB9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3.37%</w:t>
            </w:r>
          </w:p>
        </w:tc>
        <w:tc>
          <w:tcPr>
            <w:tcW w:w="0" w:type="auto"/>
            <w:tcBorders>
              <w:top w:val="nil"/>
              <w:left w:val="nil"/>
              <w:bottom w:val="single" w:sz="4" w:space="0" w:color="auto"/>
              <w:right w:val="single" w:sz="4" w:space="0" w:color="auto"/>
            </w:tcBorders>
            <w:shd w:val="clear" w:color="000000" w:fill="B7DEE8"/>
            <w:noWrap/>
            <w:vAlign w:val="bottom"/>
            <w:hideMark/>
          </w:tcPr>
          <w:p w14:paraId="7174294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-0.31%</w:t>
            </w:r>
          </w:p>
        </w:tc>
        <w:tc>
          <w:tcPr>
            <w:tcW w:w="0" w:type="auto"/>
            <w:tcBorders>
              <w:top w:val="nil"/>
              <w:left w:val="nil"/>
              <w:bottom w:val="single" w:sz="4" w:space="0" w:color="auto"/>
              <w:right w:val="single" w:sz="4" w:space="0" w:color="auto"/>
            </w:tcBorders>
            <w:shd w:val="clear" w:color="000000" w:fill="B7DEE8"/>
            <w:noWrap/>
            <w:vAlign w:val="bottom"/>
            <w:hideMark/>
          </w:tcPr>
          <w:p w14:paraId="1060131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w:t>
            </w:r>
          </w:p>
        </w:tc>
        <w:tc>
          <w:tcPr>
            <w:tcW w:w="0" w:type="auto"/>
            <w:tcBorders>
              <w:top w:val="nil"/>
              <w:left w:val="nil"/>
              <w:bottom w:val="single" w:sz="4" w:space="0" w:color="auto"/>
              <w:right w:val="single" w:sz="4" w:space="0" w:color="auto"/>
            </w:tcBorders>
            <w:shd w:val="clear" w:color="000000" w:fill="DAEEF3"/>
            <w:noWrap/>
            <w:vAlign w:val="bottom"/>
            <w:hideMark/>
          </w:tcPr>
          <w:p w14:paraId="50C7FBF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2.73%</w:t>
            </w:r>
          </w:p>
        </w:tc>
      </w:tr>
      <w:tr w:rsidR="00F20114" w:rsidRPr="008E0033" w14:paraId="49FAE407"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556B52"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Southern Grampians (S)</w:t>
            </w:r>
          </w:p>
        </w:tc>
        <w:tc>
          <w:tcPr>
            <w:tcW w:w="0" w:type="auto"/>
            <w:tcBorders>
              <w:top w:val="nil"/>
              <w:left w:val="nil"/>
              <w:bottom w:val="single" w:sz="4" w:space="0" w:color="auto"/>
              <w:right w:val="single" w:sz="4" w:space="0" w:color="auto"/>
            </w:tcBorders>
            <w:shd w:val="clear" w:color="000000" w:fill="FDE9D9"/>
            <w:noWrap/>
            <w:vAlign w:val="bottom"/>
            <w:hideMark/>
          </w:tcPr>
          <w:p w14:paraId="2002E14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0.33%</w:t>
            </w:r>
          </w:p>
        </w:tc>
        <w:tc>
          <w:tcPr>
            <w:tcW w:w="0" w:type="auto"/>
            <w:tcBorders>
              <w:top w:val="nil"/>
              <w:left w:val="nil"/>
              <w:bottom w:val="single" w:sz="4" w:space="0" w:color="auto"/>
              <w:right w:val="single" w:sz="4" w:space="0" w:color="auto"/>
            </w:tcBorders>
            <w:shd w:val="clear" w:color="000000" w:fill="FDE9D9"/>
            <w:noWrap/>
            <w:vAlign w:val="bottom"/>
            <w:hideMark/>
          </w:tcPr>
          <w:p w14:paraId="298985B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-1.39%</w:t>
            </w:r>
          </w:p>
        </w:tc>
        <w:tc>
          <w:tcPr>
            <w:tcW w:w="0" w:type="auto"/>
            <w:tcBorders>
              <w:top w:val="nil"/>
              <w:left w:val="nil"/>
              <w:bottom w:val="single" w:sz="4" w:space="0" w:color="auto"/>
              <w:right w:val="single" w:sz="4" w:space="0" w:color="auto"/>
            </w:tcBorders>
            <w:shd w:val="clear" w:color="000000" w:fill="FDE9D9"/>
            <w:noWrap/>
            <w:vAlign w:val="bottom"/>
            <w:hideMark/>
          </w:tcPr>
          <w:p w14:paraId="1BDB68F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1.72%</w:t>
            </w:r>
          </w:p>
        </w:tc>
        <w:tc>
          <w:tcPr>
            <w:tcW w:w="0" w:type="auto"/>
            <w:tcBorders>
              <w:top w:val="nil"/>
              <w:left w:val="nil"/>
              <w:bottom w:val="single" w:sz="4" w:space="0" w:color="auto"/>
              <w:right w:val="single" w:sz="4" w:space="0" w:color="auto"/>
            </w:tcBorders>
            <w:shd w:val="clear" w:color="000000" w:fill="FDE9D9"/>
            <w:noWrap/>
            <w:vAlign w:val="bottom"/>
            <w:hideMark/>
          </w:tcPr>
          <w:p w14:paraId="4B55A68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-1.39%</w:t>
            </w:r>
          </w:p>
        </w:tc>
        <w:tc>
          <w:tcPr>
            <w:tcW w:w="0" w:type="auto"/>
            <w:tcBorders>
              <w:top w:val="nil"/>
              <w:left w:val="nil"/>
              <w:bottom w:val="single" w:sz="4" w:space="0" w:color="auto"/>
              <w:right w:val="single" w:sz="4" w:space="0" w:color="auto"/>
            </w:tcBorders>
            <w:shd w:val="clear" w:color="000000" w:fill="FDE9D9"/>
            <w:noWrap/>
            <w:vAlign w:val="bottom"/>
            <w:hideMark/>
          </w:tcPr>
          <w:p w14:paraId="2FE1DBF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0.30%</w:t>
            </w:r>
          </w:p>
        </w:tc>
        <w:tc>
          <w:tcPr>
            <w:tcW w:w="0" w:type="auto"/>
            <w:tcBorders>
              <w:top w:val="nil"/>
              <w:left w:val="nil"/>
              <w:bottom w:val="single" w:sz="4" w:space="0" w:color="auto"/>
              <w:right w:val="single" w:sz="4" w:space="0" w:color="auto"/>
            </w:tcBorders>
            <w:shd w:val="clear" w:color="000000" w:fill="FDE9D9"/>
            <w:noWrap/>
            <w:vAlign w:val="bottom"/>
            <w:hideMark/>
          </w:tcPr>
          <w:p w14:paraId="06BF52B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-1.69%</w:t>
            </w:r>
          </w:p>
        </w:tc>
        <w:tc>
          <w:tcPr>
            <w:tcW w:w="0" w:type="auto"/>
            <w:tcBorders>
              <w:top w:val="nil"/>
              <w:left w:val="nil"/>
              <w:bottom w:val="single" w:sz="4" w:space="0" w:color="auto"/>
              <w:right w:val="single" w:sz="4" w:space="0" w:color="auto"/>
            </w:tcBorders>
            <w:shd w:val="clear" w:color="000000" w:fill="B7DEE8"/>
            <w:noWrap/>
            <w:vAlign w:val="bottom"/>
            <w:hideMark/>
          </w:tcPr>
          <w:p w14:paraId="74D4153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4.85%</w:t>
            </w:r>
          </w:p>
        </w:tc>
        <w:tc>
          <w:tcPr>
            <w:tcW w:w="0" w:type="auto"/>
            <w:tcBorders>
              <w:top w:val="nil"/>
              <w:left w:val="nil"/>
              <w:bottom w:val="single" w:sz="4" w:space="0" w:color="auto"/>
              <w:right w:val="single" w:sz="4" w:space="0" w:color="auto"/>
            </w:tcBorders>
            <w:shd w:val="clear" w:color="000000" w:fill="B7DEE8"/>
            <w:noWrap/>
            <w:vAlign w:val="bottom"/>
            <w:hideMark/>
          </w:tcPr>
          <w:p w14:paraId="073F7CD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-1.71%</w:t>
            </w:r>
          </w:p>
        </w:tc>
        <w:tc>
          <w:tcPr>
            <w:tcW w:w="0" w:type="auto"/>
            <w:tcBorders>
              <w:top w:val="nil"/>
              <w:left w:val="nil"/>
              <w:bottom w:val="single" w:sz="4" w:space="0" w:color="auto"/>
              <w:right w:val="single" w:sz="4" w:space="0" w:color="auto"/>
            </w:tcBorders>
            <w:shd w:val="clear" w:color="000000" w:fill="B7DEE8"/>
            <w:noWrap/>
            <w:vAlign w:val="bottom"/>
            <w:hideMark/>
          </w:tcPr>
          <w:p w14:paraId="29A4CFB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w:t>
            </w:r>
          </w:p>
        </w:tc>
        <w:tc>
          <w:tcPr>
            <w:tcW w:w="0" w:type="auto"/>
            <w:tcBorders>
              <w:top w:val="nil"/>
              <w:left w:val="nil"/>
              <w:bottom w:val="single" w:sz="4" w:space="0" w:color="auto"/>
              <w:right w:val="single" w:sz="4" w:space="0" w:color="auto"/>
            </w:tcBorders>
            <w:shd w:val="clear" w:color="000000" w:fill="DAEEF3"/>
            <w:noWrap/>
            <w:vAlign w:val="bottom"/>
            <w:hideMark/>
          </w:tcPr>
          <w:p w14:paraId="32C1A59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1.28%</w:t>
            </w:r>
          </w:p>
        </w:tc>
      </w:tr>
      <w:tr w:rsidR="00F20114" w:rsidRPr="008E0033" w14:paraId="40161C41"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0ACDA4"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Stonnington (C)</w:t>
            </w:r>
          </w:p>
        </w:tc>
        <w:tc>
          <w:tcPr>
            <w:tcW w:w="0" w:type="auto"/>
            <w:tcBorders>
              <w:top w:val="nil"/>
              <w:left w:val="nil"/>
              <w:bottom w:val="single" w:sz="4" w:space="0" w:color="auto"/>
              <w:right w:val="single" w:sz="4" w:space="0" w:color="auto"/>
            </w:tcBorders>
            <w:shd w:val="clear" w:color="000000" w:fill="FDE9D9"/>
            <w:noWrap/>
            <w:vAlign w:val="bottom"/>
            <w:hideMark/>
          </w:tcPr>
          <w:p w14:paraId="6E7FD20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2.25%</w:t>
            </w:r>
          </w:p>
        </w:tc>
        <w:tc>
          <w:tcPr>
            <w:tcW w:w="0" w:type="auto"/>
            <w:tcBorders>
              <w:top w:val="nil"/>
              <w:left w:val="nil"/>
              <w:bottom w:val="single" w:sz="4" w:space="0" w:color="auto"/>
              <w:right w:val="single" w:sz="4" w:space="0" w:color="auto"/>
            </w:tcBorders>
            <w:shd w:val="clear" w:color="000000" w:fill="FDE9D9"/>
            <w:noWrap/>
            <w:vAlign w:val="bottom"/>
            <w:hideMark/>
          </w:tcPr>
          <w:p w14:paraId="38A98BB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2.78%</w:t>
            </w:r>
          </w:p>
        </w:tc>
        <w:tc>
          <w:tcPr>
            <w:tcW w:w="0" w:type="auto"/>
            <w:tcBorders>
              <w:top w:val="nil"/>
              <w:left w:val="nil"/>
              <w:bottom w:val="single" w:sz="4" w:space="0" w:color="auto"/>
              <w:right w:val="single" w:sz="4" w:space="0" w:color="auto"/>
            </w:tcBorders>
            <w:shd w:val="clear" w:color="000000" w:fill="FDE9D9"/>
            <w:noWrap/>
            <w:vAlign w:val="bottom"/>
            <w:hideMark/>
          </w:tcPr>
          <w:p w14:paraId="5B61F3A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-0.53%</w:t>
            </w:r>
          </w:p>
        </w:tc>
        <w:tc>
          <w:tcPr>
            <w:tcW w:w="0" w:type="auto"/>
            <w:tcBorders>
              <w:top w:val="nil"/>
              <w:left w:val="nil"/>
              <w:bottom w:val="single" w:sz="4" w:space="0" w:color="auto"/>
              <w:right w:val="single" w:sz="4" w:space="0" w:color="auto"/>
            </w:tcBorders>
            <w:shd w:val="clear" w:color="000000" w:fill="FDE9D9"/>
            <w:noWrap/>
            <w:vAlign w:val="bottom"/>
            <w:hideMark/>
          </w:tcPr>
          <w:p w14:paraId="57CC1C8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2.34%</w:t>
            </w:r>
          </w:p>
        </w:tc>
        <w:tc>
          <w:tcPr>
            <w:tcW w:w="0" w:type="auto"/>
            <w:tcBorders>
              <w:top w:val="nil"/>
              <w:left w:val="nil"/>
              <w:bottom w:val="single" w:sz="4" w:space="0" w:color="auto"/>
              <w:right w:val="single" w:sz="4" w:space="0" w:color="auto"/>
            </w:tcBorders>
            <w:shd w:val="clear" w:color="000000" w:fill="FDE9D9"/>
            <w:noWrap/>
            <w:vAlign w:val="bottom"/>
            <w:hideMark/>
          </w:tcPr>
          <w:p w14:paraId="4C6FA4B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1.79%</w:t>
            </w:r>
          </w:p>
        </w:tc>
        <w:tc>
          <w:tcPr>
            <w:tcW w:w="0" w:type="auto"/>
            <w:tcBorders>
              <w:top w:val="nil"/>
              <w:left w:val="nil"/>
              <w:bottom w:val="single" w:sz="4" w:space="0" w:color="auto"/>
              <w:right w:val="single" w:sz="4" w:space="0" w:color="auto"/>
            </w:tcBorders>
            <w:shd w:val="clear" w:color="000000" w:fill="FDE9D9"/>
            <w:noWrap/>
            <w:vAlign w:val="bottom"/>
            <w:hideMark/>
          </w:tcPr>
          <w:p w14:paraId="720DC38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0.55%</w:t>
            </w:r>
          </w:p>
        </w:tc>
        <w:tc>
          <w:tcPr>
            <w:tcW w:w="0" w:type="auto"/>
            <w:tcBorders>
              <w:top w:val="nil"/>
              <w:left w:val="nil"/>
              <w:bottom w:val="single" w:sz="4" w:space="0" w:color="auto"/>
              <w:right w:val="single" w:sz="4" w:space="0" w:color="auto"/>
            </w:tcBorders>
            <w:shd w:val="clear" w:color="000000" w:fill="B7DEE8"/>
            <w:noWrap/>
            <w:vAlign w:val="bottom"/>
            <w:hideMark/>
          </w:tcPr>
          <w:p w14:paraId="15124EA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2.52%</w:t>
            </w:r>
          </w:p>
        </w:tc>
        <w:tc>
          <w:tcPr>
            <w:tcW w:w="0" w:type="auto"/>
            <w:tcBorders>
              <w:top w:val="nil"/>
              <w:left w:val="nil"/>
              <w:bottom w:val="single" w:sz="4" w:space="0" w:color="auto"/>
              <w:right w:val="single" w:sz="4" w:space="0" w:color="auto"/>
            </w:tcBorders>
            <w:shd w:val="clear" w:color="000000" w:fill="B7DEE8"/>
            <w:noWrap/>
            <w:vAlign w:val="bottom"/>
            <w:hideMark/>
          </w:tcPr>
          <w:p w14:paraId="7A615E2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0.52%</w:t>
            </w:r>
          </w:p>
        </w:tc>
        <w:tc>
          <w:tcPr>
            <w:tcW w:w="0" w:type="auto"/>
            <w:tcBorders>
              <w:top w:val="nil"/>
              <w:left w:val="nil"/>
              <w:bottom w:val="single" w:sz="4" w:space="0" w:color="auto"/>
              <w:right w:val="single" w:sz="4" w:space="0" w:color="auto"/>
            </w:tcBorders>
            <w:shd w:val="clear" w:color="000000" w:fill="B7DEE8"/>
            <w:noWrap/>
            <w:vAlign w:val="bottom"/>
            <w:hideMark/>
          </w:tcPr>
          <w:p w14:paraId="0466AC9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1.2%</w:t>
            </w:r>
          </w:p>
        </w:tc>
        <w:tc>
          <w:tcPr>
            <w:tcW w:w="0" w:type="auto"/>
            <w:tcBorders>
              <w:top w:val="nil"/>
              <w:left w:val="nil"/>
              <w:bottom w:val="single" w:sz="4" w:space="0" w:color="auto"/>
              <w:right w:val="single" w:sz="4" w:space="0" w:color="auto"/>
            </w:tcBorders>
            <w:shd w:val="clear" w:color="000000" w:fill="DAEEF3"/>
            <w:noWrap/>
            <w:vAlign w:val="bottom"/>
            <w:hideMark/>
          </w:tcPr>
          <w:p w14:paraId="71F7878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3.59%</w:t>
            </w:r>
          </w:p>
        </w:tc>
      </w:tr>
      <w:tr w:rsidR="00F20114" w:rsidRPr="008E0033" w14:paraId="749615C9"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46D2E4"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Strathbogie (S)</w:t>
            </w:r>
          </w:p>
        </w:tc>
        <w:tc>
          <w:tcPr>
            <w:tcW w:w="0" w:type="auto"/>
            <w:tcBorders>
              <w:top w:val="nil"/>
              <w:left w:val="nil"/>
              <w:bottom w:val="single" w:sz="4" w:space="0" w:color="auto"/>
              <w:right w:val="single" w:sz="4" w:space="0" w:color="auto"/>
            </w:tcBorders>
            <w:shd w:val="clear" w:color="000000" w:fill="FDE9D9"/>
            <w:noWrap/>
            <w:vAlign w:val="bottom"/>
            <w:hideMark/>
          </w:tcPr>
          <w:p w14:paraId="5715302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0.36%</w:t>
            </w:r>
          </w:p>
        </w:tc>
        <w:tc>
          <w:tcPr>
            <w:tcW w:w="0" w:type="auto"/>
            <w:tcBorders>
              <w:top w:val="nil"/>
              <w:left w:val="nil"/>
              <w:bottom w:val="single" w:sz="4" w:space="0" w:color="auto"/>
              <w:right w:val="single" w:sz="4" w:space="0" w:color="auto"/>
            </w:tcBorders>
            <w:shd w:val="clear" w:color="000000" w:fill="FDE9D9"/>
            <w:noWrap/>
            <w:vAlign w:val="bottom"/>
            <w:hideMark/>
          </w:tcPr>
          <w:p w14:paraId="62E5DC6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1.14%</w:t>
            </w:r>
          </w:p>
        </w:tc>
        <w:tc>
          <w:tcPr>
            <w:tcW w:w="0" w:type="auto"/>
            <w:tcBorders>
              <w:top w:val="nil"/>
              <w:left w:val="nil"/>
              <w:bottom w:val="single" w:sz="4" w:space="0" w:color="auto"/>
              <w:right w:val="single" w:sz="4" w:space="0" w:color="auto"/>
            </w:tcBorders>
            <w:shd w:val="clear" w:color="000000" w:fill="FDE9D9"/>
            <w:noWrap/>
            <w:vAlign w:val="bottom"/>
            <w:hideMark/>
          </w:tcPr>
          <w:p w14:paraId="274636A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-0.78%</w:t>
            </w:r>
          </w:p>
        </w:tc>
        <w:tc>
          <w:tcPr>
            <w:tcW w:w="0" w:type="auto"/>
            <w:tcBorders>
              <w:top w:val="nil"/>
              <w:left w:val="nil"/>
              <w:bottom w:val="single" w:sz="4" w:space="0" w:color="auto"/>
              <w:right w:val="single" w:sz="4" w:space="0" w:color="auto"/>
            </w:tcBorders>
            <w:shd w:val="clear" w:color="000000" w:fill="FDE9D9"/>
            <w:noWrap/>
            <w:vAlign w:val="bottom"/>
            <w:hideMark/>
          </w:tcPr>
          <w:p w14:paraId="4BAADA6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0.74%</w:t>
            </w:r>
          </w:p>
        </w:tc>
        <w:tc>
          <w:tcPr>
            <w:tcW w:w="0" w:type="auto"/>
            <w:tcBorders>
              <w:top w:val="nil"/>
              <w:left w:val="nil"/>
              <w:bottom w:val="single" w:sz="4" w:space="0" w:color="auto"/>
              <w:right w:val="single" w:sz="4" w:space="0" w:color="auto"/>
            </w:tcBorders>
            <w:shd w:val="clear" w:color="000000" w:fill="FDE9D9"/>
            <w:noWrap/>
            <w:vAlign w:val="bottom"/>
            <w:hideMark/>
          </w:tcPr>
          <w:p w14:paraId="7489EE1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0.64%</w:t>
            </w:r>
          </w:p>
        </w:tc>
        <w:tc>
          <w:tcPr>
            <w:tcW w:w="0" w:type="auto"/>
            <w:tcBorders>
              <w:top w:val="nil"/>
              <w:left w:val="nil"/>
              <w:bottom w:val="single" w:sz="4" w:space="0" w:color="auto"/>
              <w:right w:val="single" w:sz="4" w:space="0" w:color="auto"/>
            </w:tcBorders>
            <w:shd w:val="clear" w:color="000000" w:fill="FDE9D9"/>
            <w:noWrap/>
            <w:vAlign w:val="bottom"/>
            <w:hideMark/>
          </w:tcPr>
          <w:p w14:paraId="6A80FE6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0.10%</w:t>
            </w:r>
          </w:p>
        </w:tc>
        <w:tc>
          <w:tcPr>
            <w:tcW w:w="0" w:type="auto"/>
            <w:tcBorders>
              <w:top w:val="nil"/>
              <w:left w:val="nil"/>
              <w:bottom w:val="single" w:sz="4" w:space="0" w:color="auto"/>
              <w:right w:val="single" w:sz="4" w:space="0" w:color="auto"/>
            </w:tcBorders>
            <w:shd w:val="clear" w:color="000000" w:fill="B7DEE8"/>
            <w:noWrap/>
            <w:vAlign w:val="bottom"/>
            <w:hideMark/>
          </w:tcPr>
          <w:p w14:paraId="71AC282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2.26%</w:t>
            </w:r>
          </w:p>
        </w:tc>
        <w:tc>
          <w:tcPr>
            <w:tcW w:w="0" w:type="auto"/>
            <w:tcBorders>
              <w:top w:val="nil"/>
              <w:left w:val="nil"/>
              <w:bottom w:val="single" w:sz="4" w:space="0" w:color="auto"/>
              <w:right w:val="single" w:sz="4" w:space="0" w:color="auto"/>
            </w:tcBorders>
            <w:shd w:val="clear" w:color="000000" w:fill="B7DEE8"/>
            <w:noWrap/>
            <w:vAlign w:val="bottom"/>
            <w:hideMark/>
          </w:tcPr>
          <w:p w14:paraId="748D5A9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0.78%</w:t>
            </w:r>
          </w:p>
        </w:tc>
        <w:tc>
          <w:tcPr>
            <w:tcW w:w="0" w:type="auto"/>
            <w:tcBorders>
              <w:top w:val="nil"/>
              <w:left w:val="nil"/>
              <w:bottom w:val="single" w:sz="4" w:space="0" w:color="auto"/>
              <w:right w:val="single" w:sz="4" w:space="0" w:color="auto"/>
            </w:tcBorders>
            <w:shd w:val="clear" w:color="000000" w:fill="B7DEE8"/>
            <w:noWrap/>
            <w:vAlign w:val="bottom"/>
            <w:hideMark/>
          </w:tcPr>
          <w:p w14:paraId="6DD9982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w:t>
            </w:r>
          </w:p>
        </w:tc>
        <w:tc>
          <w:tcPr>
            <w:tcW w:w="0" w:type="auto"/>
            <w:tcBorders>
              <w:top w:val="nil"/>
              <w:left w:val="nil"/>
              <w:bottom w:val="single" w:sz="4" w:space="0" w:color="auto"/>
              <w:right w:val="single" w:sz="4" w:space="0" w:color="auto"/>
            </w:tcBorders>
            <w:shd w:val="clear" w:color="000000" w:fill="DAEEF3"/>
            <w:noWrap/>
            <w:vAlign w:val="bottom"/>
            <w:hideMark/>
          </w:tcPr>
          <w:p w14:paraId="4FAE80F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3.85%</w:t>
            </w:r>
          </w:p>
        </w:tc>
      </w:tr>
      <w:tr w:rsidR="00F20114" w:rsidRPr="008E0033" w14:paraId="241D4203"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CEB79B"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Surf Coast (S)</w:t>
            </w:r>
          </w:p>
        </w:tc>
        <w:tc>
          <w:tcPr>
            <w:tcW w:w="0" w:type="auto"/>
            <w:tcBorders>
              <w:top w:val="nil"/>
              <w:left w:val="nil"/>
              <w:bottom w:val="single" w:sz="4" w:space="0" w:color="auto"/>
              <w:right w:val="single" w:sz="4" w:space="0" w:color="auto"/>
            </w:tcBorders>
            <w:shd w:val="clear" w:color="000000" w:fill="FDE9D9"/>
            <w:noWrap/>
            <w:vAlign w:val="bottom"/>
            <w:hideMark/>
          </w:tcPr>
          <w:p w14:paraId="61668B4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0.38%</w:t>
            </w:r>
          </w:p>
        </w:tc>
        <w:tc>
          <w:tcPr>
            <w:tcW w:w="0" w:type="auto"/>
            <w:tcBorders>
              <w:top w:val="nil"/>
              <w:left w:val="nil"/>
              <w:bottom w:val="single" w:sz="4" w:space="0" w:color="auto"/>
              <w:right w:val="single" w:sz="4" w:space="0" w:color="auto"/>
            </w:tcBorders>
            <w:shd w:val="clear" w:color="000000" w:fill="FDE9D9"/>
            <w:noWrap/>
            <w:vAlign w:val="bottom"/>
            <w:hideMark/>
          </w:tcPr>
          <w:p w14:paraId="35F8FD3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0.72%</w:t>
            </w:r>
          </w:p>
        </w:tc>
        <w:tc>
          <w:tcPr>
            <w:tcW w:w="0" w:type="auto"/>
            <w:tcBorders>
              <w:top w:val="nil"/>
              <w:left w:val="nil"/>
              <w:bottom w:val="single" w:sz="4" w:space="0" w:color="auto"/>
              <w:right w:val="single" w:sz="4" w:space="0" w:color="auto"/>
            </w:tcBorders>
            <w:shd w:val="clear" w:color="000000" w:fill="FDE9D9"/>
            <w:noWrap/>
            <w:vAlign w:val="bottom"/>
            <w:hideMark/>
          </w:tcPr>
          <w:p w14:paraId="2C167D6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-0.34%</w:t>
            </w:r>
          </w:p>
        </w:tc>
        <w:tc>
          <w:tcPr>
            <w:tcW w:w="0" w:type="auto"/>
            <w:tcBorders>
              <w:top w:val="nil"/>
              <w:left w:val="nil"/>
              <w:bottom w:val="single" w:sz="4" w:space="0" w:color="auto"/>
              <w:right w:val="single" w:sz="4" w:space="0" w:color="auto"/>
            </w:tcBorders>
            <w:shd w:val="clear" w:color="000000" w:fill="FDE9D9"/>
            <w:noWrap/>
            <w:vAlign w:val="bottom"/>
            <w:hideMark/>
          </w:tcPr>
          <w:p w14:paraId="75D56CC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1.82%</w:t>
            </w:r>
          </w:p>
        </w:tc>
        <w:tc>
          <w:tcPr>
            <w:tcW w:w="0" w:type="auto"/>
            <w:tcBorders>
              <w:top w:val="nil"/>
              <w:left w:val="nil"/>
              <w:bottom w:val="single" w:sz="4" w:space="0" w:color="auto"/>
              <w:right w:val="single" w:sz="4" w:space="0" w:color="auto"/>
            </w:tcBorders>
            <w:shd w:val="clear" w:color="000000" w:fill="FDE9D9"/>
            <w:noWrap/>
            <w:vAlign w:val="bottom"/>
            <w:hideMark/>
          </w:tcPr>
          <w:p w14:paraId="17BBB78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0.84%</w:t>
            </w:r>
          </w:p>
        </w:tc>
        <w:tc>
          <w:tcPr>
            <w:tcW w:w="0" w:type="auto"/>
            <w:tcBorders>
              <w:top w:val="nil"/>
              <w:left w:val="nil"/>
              <w:bottom w:val="single" w:sz="4" w:space="0" w:color="auto"/>
              <w:right w:val="single" w:sz="4" w:space="0" w:color="auto"/>
            </w:tcBorders>
            <w:shd w:val="clear" w:color="000000" w:fill="FDE9D9"/>
            <w:noWrap/>
            <w:vAlign w:val="bottom"/>
            <w:hideMark/>
          </w:tcPr>
          <w:p w14:paraId="177CCC2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0.97%</w:t>
            </w:r>
          </w:p>
        </w:tc>
        <w:tc>
          <w:tcPr>
            <w:tcW w:w="0" w:type="auto"/>
            <w:tcBorders>
              <w:top w:val="nil"/>
              <w:left w:val="nil"/>
              <w:bottom w:val="single" w:sz="4" w:space="0" w:color="auto"/>
              <w:right w:val="single" w:sz="4" w:space="0" w:color="auto"/>
            </w:tcBorders>
            <w:shd w:val="clear" w:color="000000" w:fill="B7DEE8"/>
            <w:noWrap/>
            <w:vAlign w:val="bottom"/>
            <w:hideMark/>
          </w:tcPr>
          <w:p w14:paraId="29AFBAC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2.70%</w:t>
            </w:r>
          </w:p>
        </w:tc>
        <w:tc>
          <w:tcPr>
            <w:tcW w:w="0" w:type="auto"/>
            <w:tcBorders>
              <w:top w:val="nil"/>
              <w:left w:val="nil"/>
              <w:bottom w:val="single" w:sz="4" w:space="0" w:color="auto"/>
              <w:right w:val="single" w:sz="4" w:space="0" w:color="auto"/>
            </w:tcBorders>
            <w:shd w:val="clear" w:color="000000" w:fill="B7DEE8"/>
            <w:noWrap/>
            <w:vAlign w:val="bottom"/>
            <w:hideMark/>
          </w:tcPr>
          <w:p w14:paraId="559DEF6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0.34%</w:t>
            </w:r>
          </w:p>
        </w:tc>
        <w:tc>
          <w:tcPr>
            <w:tcW w:w="0" w:type="auto"/>
            <w:tcBorders>
              <w:top w:val="nil"/>
              <w:left w:val="nil"/>
              <w:bottom w:val="single" w:sz="4" w:space="0" w:color="auto"/>
              <w:right w:val="single" w:sz="4" w:space="0" w:color="auto"/>
            </w:tcBorders>
            <w:shd w:val="clear" w:color="000000" w:fill="B7DEE8"/>
            <w:noWrap/>
            <w:vAlign w:val="bottom"/>
            <w:hideMark/>
          </w:tcPr>
          <w:p w14:paraId="26F67E0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w:t>
            </w:r>
          </w:p>
        </w:tc>
        <w:tc>
          <w:tcPr>
            <w:tcW w:w="0" w:type="auto"/>
            <w:tcBorders>
              <w:top w:val="nil"/>
              <w:left w:val="nil"/>
              <w:bottom w:val="single" w:sz="4" w:space="0" w:color="auto"/>
              <w:right w:val="single" w:sz="4" w:space="0" w:color="auto"/>
            </w:tcBorders>
            <w:shd w:val="clear" w:color="000000" w:fill="DAEEF3"/>
            <w:noWrap/>
            <w:vAlign w:val="bottom"/>
            <w:hideMark/>
          </w:tcPr>
          <w:p w14:paraId="594E18E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3.40%</w:t>
            </w:r>
          </w:p>
        </w:tc>
      </w:tr>
      <w:tr w:rsidR="00F20114" w:rsidRPr="008E0033" w14:paraId="5AEF8515"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7A3181"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Swan Hill (RC)</w:t>
            </w:r>
          </w:p>
        </w:tc>
        <w:tc>
          <w:tcPr>
            <w:tcW w:w="0" w:type="auto"/>
            <w:tcBorders>
              <w:top w:val="nil"/>
              <w:left w:val="nil"/>
              <w:bottom w:val="single" w:sz="4" w:space="0" w:color="auto"/>
              <w:right w:val="single" w:sz="4" w:space="0" w:color="auto"/>
            </w:tcBorders>
            <w:shd w:val="clear" w:color="000000" w:fill="FDE9D9"/>
            <w:noWrap/>
            <w:vAlign w:val="bottom"/>
            <w:hideMark/>
          </w:tcPr>
          <w:p w14:paraId="17C9CF1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0.04%</w:t>
            </w:r>
          </w:p>
        </w:tc>
        <w:tc>
          <w:tcPr>
            <w:tcW w:w="0" w:type="auto"/>
            <w:tcBorders>
              <w:top w:val="nil"/>
              <w:left w:val="nil"/>
              <w:bottom w:val="single" w:sz="4" w:space="0" w:color="auto"/>
              <w:right w:val="single" w:sz="4" w:space="0" w:color="auto"/>
            </w:tcBorders>
            <w:shd w:val="clear" w:color="000000" w:fill="FDE9D9"/>
            <w:noWrap/>
            <w:vAlign w:val="bottom"/>
            <w:hideMark/>
          </w:tcPr>
          <w:p w14:paraId="341BA70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-1.32%</w:t>
            </w:r>
          </w:p>
        </w:tc>
        <w:tc>
          <w:tcPr>
            <w:tcW w:w="0" w:type="auto"/>
            <w:tcBorders>
              <w:top w:val="nil"/>
              <w:left w:val="nil"/>
              <w:bottom w:val="single" w:sz="4" w:space="0" w:color="auto"/>
              <w:right w:val="single" w:sz="4" w:space="0" w:color="auto"/>
            </w:tcBorders>
            <w:shd w:val="clear" w:color="000000" w:fill="FDE9D9"/>
            <w:noWrap/>
            <w:vAlign w:val="bottom"/>
            <w:hideMark/>
          </w:tcPr>
          <w:p w14:paraId="23E2F44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1.36%</w:t>
            </w:r>
          </w:p>
        </w:tc>
        <w:tc>
          <w:tcPr>
            <w:tcW w:w="0" w:type="auto"/>
            <w:tcBorders>
              <w:top w:val="nil"/>
              <w:left w:val="nil"/>
              <w:bottom w:val="single" w:sz="4" w:space="0" w:color="auto"/>
              <w:right w:val="single" w:sz="4" w:space="0" w:color="auto"/>
            </w:tcBorders>
            <w:shd w:val="clear" w:color="000000" w:fill="FDE9D9"/>
            <w:noWrap/>
            <w:vAlign w:val="bottom"/>
            <w:hideMark/>
          </w:tcPr>
          <w:p w14:paraId="54C15D7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-0.89%</w:t>
            </w:r>
          </w:p>
        </w:tc>
        <w:tc>
          <w:tcPr>
            <w:tcW w:w="0" w:type="auto"/>
            <w:tcBorders>
              <w:top w:val="nil"/>
              <w:left w:val="nil"/>
              <w:bottom w:val="single" w:sz="4" w:space="0" w:color="auto"/>
              <w:right w:val="single" w:sz="4" w:space="0" w:color="auto"/>
            </w:tcBorders>
            <w:shd w:val="clear" w:color="000000" w:fill="FDE9D9"/>
            <w:noWrap/>
            <w:vAlign w:val="bottom"/>
            <w:hideMark/>
          </w:tcPr>
          <w:p w14:paraId="192BA81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0.38%</w:t>
            </w:r>
          </w:p>
        </w:tc>
        <w:tc>
          <w:tcPr>
            <w:tcW w:w="0" w:type="auto"/>
            <w:tcBorders>
              <w:top w:val="nil"/>
              <w:left w:val="nil"/>
              <w:bottom w:val="single" w:sz="4" w:space="0" w:color="auto"/>
              <w:right w:val="single" w:sz="4" w:space="0" w:color="auto"/>
            </w:tcBorders>
            <w:shd w:val="clear" w:color="000000" w:fill="FDE9D9"/>
            <w:noWrap/>
            <w:vAlign w:val="bottom"/>
            <w:hideMark/>
          </w:tcPr>
          <w:p w14:paraId="3ADCA95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-1.27%</w:t>
            </w:r>
          </w:p>
        </w:tc>
        <w:tc>
          <w:tcPr>
            <w:tcW w:w="0" w:type="auto"/>
            <w:tcBorders>
              <w:top w:val="nil"/>
              <w:left w:val="nil"/>
              <w:bottom w:val="single" w:sz="4" w:space="0" w:color="auto"/>
              <w:right w:val="single" w:sz="4" w:space="0" w:color="auto"/>
            </w:tcBorders>
            <w:shd w:val="clear" w:color="000000" w:fill="B7DEE8"/>
            <w:noWrap/>
            <w:vAlign w:val="bottom"/>
            <w:hideMark/>
          </w:tcPr>
          <w:p w14:paraId="3E5840E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4.47%</w:t>
            </w:r>
          </w:p>
        </w:tc>
        <w:tc>
          <w:tcPr>
            <w:tcW w:w="0" w:type="auto"/>
            <w:tcBorders>
              <w:top w:val="nil"/>
              <w:left w:val="nil"/>
              <w:bottom w:val="single" w:sz="4" w:space="0" w:color="auto"/>
              <w:right w:val="single" w:sz="4" w:space="0" w:color="auto"/>
            </w:tcBorders>
            <w:shd w:val="clear" w:color="000000" w:fill="B7DEE8"/>
            <w:noWrap/>
            <w:vAlign w:val="bottom"/>
            <w:hideMark/>
          </w:tcPr>
          <w:p w14:paraId="5ABF75E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-1.36%</w:t>
            </w:r>
          </w:p>
        </w:tc>
        <w:tc>
          <w:tcPr>
            <w:tcW w:w="0" w:type="auto"/>
            <w:tcBorders>
              <w:top w:val="nil"/>
              <w:left w:val="nil"/>
              <w:bottom w:val="single" w:sz="4" w:space="0" w:color="auto"/>
              <w:right w:val="single" w:sz="4" w:space="0" w:color="auto"/>
            </w:tcBorders>
            <w:shd w:val="clear" w:color="000000" w:fill="B7DEE8"/>
            <w:noWrap/>
            <w:vAlign w:val="bottom"/>
            <w:hideMark/>
          </w:tcPr>
          <w:p w14:paraId="7E1BD6E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w:t>
            </w:r>
          </w:p>
        </w:tc>
        <w:tc>
          <w:tcPr>
            <w:tcW w:w="0" w:type="auto"/>
            <w:tcBorders>
              <w:top w:val="nil"/>
              <w:left w:val="nil"/>
              <w:bottom w:val="single" w:sz="4" w:space="0" w:color="auto"/>
              <w:right w:val="single" w:sz="4" w:space="0" w:color="auto"/>
            </w:tcBorders>
            <w:shd w:val="clear" w:color="000000" w:fill="DAEEF3"/>
            <w:noWrap/>
            <w:vAlign w:val="bottom"/>
            <w:hideMark/>
          </w:tcPr>
          <w:p w14:paraId="0D10DCB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1.65%</w:t>
            </w:r>
          </w:p>
        </w:tc>
      </w:tr>
      <w:tr w:rsidR="00F20114" w:rsidRPr="008E0033" w14:paraId="4FAE562C"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D17077"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Towong (S)</w:t>
            </w:r>
          </w:p>
        </w:tc>
        <w:tc>
          <w:tcPr>
            <w:tcW w:w="0" w:type="auto"/>
            <w:tcBorders>
              <w:top w:val="nil"/>
              <w:left w:val="nil"/>
              <w:bottom w:val="single" w:sz="4" w:space="0" w:color="auto"/>
              <w:right w:val="single" w:sz="4" w:space="0" w:color="auto"/>
            </w:tcBorders>
            <w:shd w:val="clear" w:color="000000" w:fill="FDE9D9"/>
            <w:noWrap/>
            <w:vAlign w:val="bottom"/>
            <w:hideMark/>
          </w:tcPr>
          <w:p w14:paraId="4AD4460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0.48%</w:t>
            </w:r>
          </w:p>
        </w:tc>
        <w:tc>
          <w:tcPr>
            <w:tcW w:w="0" w:type="auto"/>
            <w:tcBorders>
              <w:top w:val="nil"/>
              <w:left w:val="nil"/>
              <w:bottom w:val="single" w:sz="4" w:space="0" w:color="auto"/>
              <w:right w:val="single" w:sz="4" w:space="0" w:color="auto"/>
            </w:tcBorders>
            <w:shd w:val="clear" w:color="000000" w:fill="FDE9D9"/>
            <w:noWrap/>
            <w:vAlign w:val="bottom"/>
            <w:hideMark/>
          </w:tcPr>
          <w:p w14:paraId="4C8FF26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-1.50%</w:t>
            </w:r>
          </w:p>
        </w:tc>
        <w:tc>
          <w:tcPr>
            <w:tcW w:w="0" w:type="auto"/>
            <w:tcBorders>
              <w:top w:val="nil"/>
              <w:left w:val="nil"/>
              <w:bottom w:val="single" w:sz="4" w:space="0" w:color="auto"/>
              <w:right w:val="single" w:sz="4" w:space="0" w:color="auto"/>
            </w:tcBorders>
            <w:shd w:val="clear" w:color="000000" w:fill="FDE9D9"/>
            <w:noWrap/>
            <w:vAlign w:val="bottom"/>
            <w:hideMark/>
          </w:tcPr>
          <w:p w14:paraId="4953548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1.98%</w:t>
            </w:r>
          </w:p>
        </w:tc>
        <w:tc>
          <w:tcPr>
            <w:tcW w:w="0" w:type="auto"/>
            <w:tcBorders>
              <w:top w:val="nil"/>
              <w:left w:val="nil"/>
              <w:bottom w:val="single" w:sz="4" w:space="0" w:color="auto"/>
              <w:right w:val="single" w:sz="4" w:space="0" w:color="auto"/>
            </w:tcBorders>
            <w:shd w:val="clear" w:color="000000" w:fill="FDE9D9"/>
            <w:noWrap/>
            <w:vAlign w:val="bottom"/>
            <w:hideMark/>
          </w:tcPr>
          <w:p w14:paraId="1CDE833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-0.96%</w:t>
            </w:r>
          </w:p>
        </w:tc>
        <w:tc>
          <w:tcPr>
            <w:tcW w:w="0" w:type="auto"/>
            <w:tcBorders>
              <w:top w:val="nil"/>
              <w:left w:val="nil"/>
              <w:bottom w:val="single" w:sz="4" w:space="0" w:color="auto"/>
              <w:right w:val="single" w:sz="4" w:space="0" w:color="auto"/>
            </w:tcBorders>
            <w:shd w:val="clear" w:color="000000" w:fill="FDE9D9"/>
            <w:noWrap/>
            <w:vAlign w:val="bottom"/>
            <w:hideMark/>
          </w:tcPr>
          <w:p w14:paraId="1F5D2D2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0.79%</w:t>
            </w:r>
          </w:p>
        </w:tc>
        <w:tc>
          <w:tcPr>
            <w:tcW w:w="0" w:type="auto"/>
            <w:tcBorders>
              <w:top w:val="nil"/>
              <w:left w:val="nil"/>
              <w:bottom w:val="single" w:sz="4" w:space="0" w:color="auto"/>
              <w:right w:val="single" w:sz="4" w:space="0" w:color="auto"/>
            </w:tcBorders>
            <w:shd w:val="clear" w:color="000000" w:fill="FDE9D9"/>
            <w:noWrap/>
            <w:vAlign w:val="bottom"/>
            <w:hideMark/>
          </w:tcPr>
          <w:p w14:paraId="5499E5E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-1.75%</w:t>
            </w:r>
          </w:p>
        </w:tc>
        <w:tc>
          <w:tcPr>
            <w:tcW w:w="0" w:type="auto"/>
            <w:tcBorders>
              <w:top w:val="nil"/>
              <w:left w:val="nil"/>
              <w:bottom w:val="single" w:sz="4" w:space="0" w:color="auto"/>
              <w:right w:val="single" w:sz="4" w:space="0" w:color="auto"/>
            </w:tcBorders>
            <w:shd w:val="clear" w:color="000000" w:fill="B7DEE8"/>
            <w:noWrap/>
            <w:vAlign w:val="bottom"/>
            <w:hideMark/>
          </w:tcPr>
          <w:p w14:paraId="2F163D6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5.12%</w:t>
            </w:r>
          </w:p>
        </w:tc>
        <w:tc>
          <w:tcPr>
            <w:tcW w:w="0" w:type="auto"/>
            <w:tcBorders>
              <w:top w:val="nil"/>
              <w:left w:val="nil"/>
              <w:bottom w:val="single" w:sz="4" w:space="0" w:color="auto"/>
              <w:right w:val="single" w:sz="4" w:space="0" w:color="auto"/>
            </w:tcBorders>
            <w:shd w:val="clear" w:color="000000" w:fill="B7DEE8"/>
            <w:noWrap/>
            <w:vAlign w:val="bottom"/>
            <w:hideMark/>
          </w:tcPr>
          <w:p w14:paraId="033EEB9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-1.97%</w:t>
            </w:r>
          </w:p>
        </w:tc>
        <w:tc>
          <w:tcPr>
            <w:tcW w:w="0" w:type="auto"/>
            <w:tcBorders>
              <w:top w:val="nil"/>
              <w:left w:val="nil"/>
              <w:bottom w:val="single" w:sz="4" w:space="0" w:color="auto"/>
              <w:right w:val="single" w:sz="4" w:space="0" w:color="auto"/>
            </w:tcBorders>
            <w:shd w:val="clear" w:color="000000" w:fill="B7DEE8"/>
            <w:noWrap/>
            <w:vAlign w:val="bottom"/>
            <w:hideMark/>
          </w:tcPr>
          <w:p w14:paraId="1FDFEE4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w:t>
            </w:r>
          </w:p>
        </w:tc>
        <w:tc>
          <w:tcPr>
            <w:tcW w:w="0" w:type="auto"/>
            <w:tcBorders>
              <w:top w:val="nil"/>
              <w:left w:val="nil"/>
              <w:bottom w:val="single" w:sz="4" w:space="0" w:color="auto"/>
              <w:right w:val="single" w:sz="4" w:space="0" w:color="auto"/>
            </w:tcBorders>
            <w:shd w:val="clear" w:color="000000" w:fill="DAEEF3"/>
            <w:noWrap/>
            <w:vAlign w:val="bottom"/>
            <w:hideMark/>
          </w:tcPr>
          <w:p w14:paraId="6CC4A9A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1.02%</w:t>
            </w:r>
          </w:p>
        </w:tc>
      </w:tr>
      <w:tr w:rsidR="00F20114" w:rsidRPr="008E0033" w14:paraId="58516991"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2CA747"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Wangaratta (RC)</w:t>
            </w:r>
          </w:p>
        </w:tc>
        <w:tc>
          <w:tcPr>
            <w:tcW w:w="0" w:type="auto"/>
            <w:tcBorders>
              <w:top w:val="nil"/>
              <w:left w:val="nil"/>
              <w:bottom w:val="single" w:sz="4" w:space="0" w:color="auto"/>
              <w:right w:val="single" w:sz="4" w:space="0" w:color="auto"/>
            </w:tcBorders>
            <w:shd w:val="clear" w:color="000000" w:fill="FDE9D9"/>
            <w:noWrap/>
            <w:vAlign w:val="bottom"/>
            <w:hideMark/>
          </w:tcPr>
          <w:p w14:paraId="421A521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1.00%</w:t>
            </w:r>
          </w:p>
        </w:tc>
        <w:tc>
          <w:tcPr>
            <w:tcW w:w="0" w:type="auto"/>
            <w:tcBorders>
              <w:top w:val="nil"/>
              <w:left w:val="nil"/>
              <w:bottom w:val="single" w:sz="4" w:space="0" w:color="auto"/>
              <w:right w:val="single" w:sz="4" w:space="0" w:color="auto"/>
            </w:tcBorders>
            <w:shd w:val="clear" w:color="000000" w:fill="FDE9D9"/>
            <w:noWrap/>
            <w:vAlign w:val="bottom"/>
            <w:hideMark/>
          </w:tcPr>
          <w:p w14:paraId="06CB390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-0.22%</w:t>
            </w:r>
          </w:p>
        </w:tc>
        <w:tc>
          <w:tcPr>
            <w:tcW w:w="0" w:type="auto"/>
            <w:tcBorders>
              <w:top w:val="nil"/>
              <w:left w:val="nil"/>
              <w:bottom w:val="single" w:sz="4" w:space="0" w:color="auto"/>
              <w:right w:val="single" w:sz="4" w:space="0" w:color="auto"/>
            </w:tcBorders>
            <w:shd w:val="clear" w:color="000000" w:fill="FDE9D9"/>
            <w:noWrap/>
            <w:vAlign w:val="bottom"/>
            <w:hideMark/>
          </w:tcPr>
          <w:p w14:paraId="3D56CB9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1.21%</w:t>
            </w:r>
          </w:p>
        </w:tc>
        <w:tc>
          <w:tcPr>
            <w:tcW w:w="0" w:type="auto"/>
            <w:tcBorders>
              <w:top w:val="nil"/>
              <w:left w:val="nil"/>
              <w:bottom w:val="single" w:sz="4" w:space="0" w:color="auto"/>
              <w:right w:val="single" w:sz="4" w:space="0" w:color="auto"/>
            </w:tcBorders>
            <w:shd w:val="clear" w:color="000000" w:fill="FDE9D9"/>
            <w:noWrap/>
            <w:vAlign w:val="bottom"/>
            <w:hideMark/>
          </w:tcPr>
          <w:p w14:paraId="45CDD6E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-0.19%</w:t>
            </w:r>
          </w:p>
        </w:tc>
        <w:tc>
          <w:tcPr>
            <w:tcW w:w="0" w:type="auto"/>
            <w:tcBorders>
              <w:top w:val="nil"/>
              <w:left w:val="nil"/>
              <w:bottom w:val="single" w:sz="4" w:space="0" w:color="auto"/>
              <w:right w:val="single" w:sz="4" w:space="0" w:color="auto"/>
            </w:tcBorders>
            <w:shd w:val="clear" w:color="000000" w:fill="FDE9D9"/>
            <w:noWrap/>
            <w:vAlign w:val="bottom"/>
            <w:hideMark/>
          </w:tcPr>
          <w:p w14:paraId="04B9E40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0.59%</w:t>
            </w:r>
          </w:p>
        </w:tc>
        <w:tc>
          <w:tcPr>
            <w:tcW w:w="0" w:type="auto"/>
            <w:tcBorders>
              <w:top w:val="nil"/>
              <w:left w:val="nil"/>
              <w:bottom w:val="single" w:sz="4" w:space="0" w:color="auto"/>
              <w:right w:val="single" w:sz="4" w:space="0" w:color="auto"/>
            </w:tcBorders>
            <w:shd w:val="clear" w:color="000000" w:fill="FDE9D9"/>
            <w:noWrap/>
            <w:vAlign w:val="bottom"/>
            <w:hideMark/>
          </w:tcPr>
          <w:p w14:paraId="6A6D123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-0.78%</w:t>
            </w:r>
          </w:p>
        </w:tc>
        <w:tc>
          <w:tcPr>
            <w:tcW w:w="0" w:type="auto"/>
            <w:tcBorders>
              <w:top w:val="nil"/>
              <w:left w:val="nil"/>
              <w:bottom w:val="single" w:sz="4" w:space="0" w:color="auto"/>
              <w:right w:val="single" w:sz="4" w:space="0" w:color="auto"/>
            </w:tcBorders>
            <w:shd w:val="clear" w:color="000000" w:fill="B7DEE8"/>
            <w:noWrap/>
            <w:vAlign w:val="bottom"/>
            <w:hideMark/>
          </w:tcPr>
          <w:p w14:paraId="7561B57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4.30%</w:t>
            </w:r>
          </w:p>
        </w:tc>
        <w:tc>
          <w:tcPr>
            <w:tcW w:w="0" w:type="auto"/>
            <w:tcBorders>
              <w:top w:val="nil"/>
              <w:left w:val="nil"/>
              <w:bottom w:val="single" w:sz="4" w:space="0" w:color="auto"/>
              <w:right w:val="single" w:sz="4" w:space="0" w:color="auto"/>
            </w:tcBorders>
            <w:shd w:val="clear" w:color="000000" w:fill="B7DEE8"/>
            <w:noWrap/>
            <w:vAlign w:val="bottom"/>
            <w:hideMark/>
          </w:tcPr>
          <w:p w14:paraId="407C0B2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-1.20%</w:t>
            </w:r>
          </w:p>
        </w:tc>
        <w:tc>
          <w:tcPr>
            <w:tcW w:w="0" w:type="auto"/>
            <w:tcBorders>
              <w:top w:val="nil"/>
              <w:left w:val="nil"/>
              <w:bottom w:val="single" w:sz="4" w:space="0" w:color="auto"/>
              <w:right w:val="single" w:sz="4" w:space="0" w:color="auto"/>
            </w:tcBorders>
            <w:shd w:val="clear" w:color="000000" w:fill="B7DEE8"/>
            <w:noWrap/>
            <w:vAlign w:val="bottom"/>
            <w:hideMark/>
          </w:tcPr>
          <w:p w14:paraId="71C5689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w:t>
            </w:r>
          </w:p>
        </w:tc>
        <w:tc>
          <w:tcPr>
            <w:tcW w:w="0" w:type="auto"/>
            <w:tcBorders>
              <w:top w:val="nil"/>
              <w:left w:val="nil"/>
              <w:bottom w:val="single" w:sz="4" w:space="0" w:color="auto"/>
              <w:right w:val="single" w:sz="4" w:space="0" w:color="auto"/>
            </w:tcBorders>
            <w:shd w:val="clear" w:color="000000" w:fill="DAEEF3"/>
            <w:noWrap/>
            <w:vAlign w:val="bottom"/>
            <w:hideMark/>
          </w:tcPr>
          <w:p w14:paraId="3D49EE8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1.82%</w:t>
            </w:r>
          </w:p>
        </w:tc>
      </w:tr>
      <w:tr w:rsidR="00F20114" w:rsidRPr="008E0033" w14:paraId="0E48AEA6"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4BD16B"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Warrnambool (C)</w:t>
            </w:r>
          </w:p>
        </w:tc>
        <w:tc>
          <w:tcPr>
            <w:tcW w:w="0" w:type="auto"/>
            <w:tcBorders>
              <w:top w:val="nil"/>
              <w:left w:val="nil"/>
              <w:bottom w:val="single" w:sz="4" w:space="0" w:color="auto"/>
              <w:right w:val="single" w:sz="4" w:space="0" w:color="auto"/>
            </w:tcBorders>
            <w:shd w:val="clear" w:color="000000" w:fill="FDE9D9"/>
            <w:noWrap/>
            <w:vAlign w:val="bottom"/>
            <w:hideMark/>
          </w:tcPr>
          <w:p w14:paraId="65ADC55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0.56%</w:t>
            </w:r>
          </w:p>
        </w:tc>
        <w:tc>
          <w:tcPr>
            <w:tcW w:w="0" w:type="auto"/>
            <w:tcBorders>
              <w:top w:val="nil"/>
              <w:left w:val="nil"/>
              <w:bottom w:val="single" w:sz="4" w:space="0" w:color="auto"/>
              <w:right w:val="single" w:sz="4" w:space="0" w:color="auto"/>
            </w:tcBorders>
            <w:shd w:val="clear" w:color="000000" w:fill="FDE9D9"/>
            <w:noWrap/>
            <w:vAlign w:val="bottom"/>
            <w:hideMark/>
          </w:tcPr>
          <w:p w14:paraId="56799CA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0.77%</w:t>
            </w:r>
          </w:p>
        </w:tc>
        <w:tc>
          <w:tcPr>
            <w:tcW w:w="0" w:type="auto"/>
            <w:tcBorders>
              <w:top w:val="nil"/>
              <w:left w:val="nil"/>
              <w:bottom w:val="single" w:sz="4" w:space="0" w:color="auto"/>
              <w:right w:val="single" w:sz="4" w:space="0" w:color="auto"/>
            </w:tcBorders>
            <w:shd w:val="clear" w:color="000000" w:fill="FDE9D9"/>
            <w:noWrap/>
            <w:vAlign w:val="bottom"/>
            <w:hideMark/>
          </w:tcPr>
          <w:p w14:paraId="127AEBD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-0.21%</w:t>
            </w:r>
          </w:p>
        </w:tc>
        <w:tc>
          <w:tcPr>
            <w:tcW w:w="0" w:type="auto"/>
            <w:tcBorders>
              <w:top w:val="nil"/>
              <w:left w:val="nil"/>
              <w:bottom w:val="single" w:sz="4" w:space="0" w:color="auto"/>
              <w:right w:val="single" w:sz="4" w:space="0" w:color="auto"/>
            </w:tcBorders>
            <w:shd w:val="clear" w:color="000000" w:fill="FDE9D9"/>
            <w:noWrap/>
            <w:vAlign w:val="bottom"/>
            <w:hideMark/>
          </w:tcPr>
          <w:p w14:paraId="10B73E2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0.75%</w:t>
            </w:r>
          </w:p>
        </w:tc>
        <w:tc>
          <w:tcPr>
            <w:tcW w:w="0" w:type="auto"/>
            <w:tcBorders>
              <w:top w:val="nil"/>
              <w:left w:val="nil"/>
              <w:bottom w:val="single" w:sz="4" w:space="0" w:color="auto"/>
              <w:right w:val="single" w:sz="4" w:space="0" w:color="auto"/>
            </w:tcBorders>
            <w:shd w:val="clear" w:color="000000" w:fill="FDE9D9"/>
            <w:noWrap/>
            <w:vAlign w:val="bottom"/>
            <w:hideMark/>
          </w:tcPr>
          <w:p w14:paraId="60D9035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0.94%</w:t>
            </w:r>
          </w:p>
        </w:tc>
        <w:tc>
          <w:tcPr>
            <w:tcW w:w="0" w:type="auto"/>
            <w:tcBorders>
              <w:top w:val="nil"/>
              <w:left w:val="nil"/>
              <w:bottom w:val="single" w:sz="4" w:space="0" w:color="auto"/>
              <w:right w:val="single" w:sz="4" w:space="0" w:color="auto"/>
            </w:tcBorders>
            <w:shd w:val="clear" w:color="000000" w:fill="FDE9D9"/>
            <w:noWrap/>
            <w:vAlign w:val="bottom"/>
            <w:hideMark/>
          </w:tcPr>
          <w:p w14:paraId="0062D76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-0.19%</w:t>
            </w:r>
          </w:p>
        </w:tc>
        <w:tc>
          <w:tcPr>
            <w:tcW w:w="0" w:type="auto"/>
            <w:tcBorders>
              <w:top w:val="nil"/>
              <w:left w:val="nil"/>
              <w:bottom w:val="single" w:sz="4" w:space="0" w:color="auto"/>
              <w:right w:val="single" w:sz="4" w:space="0" w:color="auto"/>
            </w:tcBorders>
            <w:shd w:val="clear" w:color="000000" w:fill="B7DEE8"/>
            <w:noWrap/>
            <w:vAlign w:val="bottom"/>
            <w:hideMark/>
          </w:tcPr>
          <w:p w14:paraId="6AEE9BB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2.84%</w:t>
            </w:r>
          </w:p>
        </w:tc>
        <w:tc>
          <w:tcPr>
            <w:tcW w:w="0" w:type="auto"/>
            <w:tcBorders>
              <w:top w:val="nil"/>
              <w:left w:val="nil"/>
              <w:bottom w:val="single" w:sz="4" w:space="0" w:color="auto"/>
              <w:right w:val="single" w:sz="4" w:space="0" w:color="auto"/>
            </w:tcBorders>
            <w:shd w:val="clear" w:color="000000" w:fill="B7DEE8"/>
            <w:noWrap/>
            <w:vAlign w:val="bottom"/>
            <w:hideMark/>
          </w:tcPr>
          <w:p w14:paraId="5ED829F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0.21%</w:t>
            </w:r>
          </w:p>
        </w:tc>
        <w:tc>
          <w:tcPr>
            <w:tcW w:w="0" w:type="auto"/>
            <w:tcBorders>
              <w:top w:val="nil"/>
              <w:left w:val="nil"/>
              <w:bottom w:val="single" w:sz="4" w:space="0" w:color="auto"/>
              <w:right w:val="single" w:sz="4" w:space="0" w:color="auto"/>
            </w:tcBorders>
            <w:shd w:val="clear" w:color="000000" w:fill="B7DEE8"/>
            <w:noWrap/>
            <w:vAlign w:val="bottom"/>
            <w:hideMark/>
          </w:tcPr>
          <w:p w14:paraId="25CE242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w:t>
            </w:r>
          </w:p>
        </w:tc>
        <w:tc>
          <w:tcPr>
            <w:tcW w:w="0" w:type="auto"/>
            <w:tcBorders>
              <w:top w:val="nil"/>
              <w:left w:val="nil"/>
              <w:bottom w:val="single" w:sz="4" w:space="0" w:color="auto"/>
              <w:right w:val="single" w:sz="4" w:space="0" w:color="auto"/>
            </w:tcBorders>
            <w:shd w:val="clear" w:color="000000" w:fill="DAEEF3"/>
            <w:noWrap/>
            <w:vAlign w:val="bottom"/>
            <w:hideMark/>
          </w:tcPr>
          <w:p w14:paraId="704E7E1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3.26%</w:t>
            </w:r>
          </w:p>
        </w:tc>
      </w:tr>
      <w:tr w:rsidR="00F20114" w:rsidRPr="008E0033" w14:paraId="5935FA4B"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60CBE2"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Wellington (S)</w:t>
            </w:r>
          </w:p>
        </w:tc>
        <w:tc>
          <w:tcPr>
            <w:tcW w:w="0" w:type="auto"/>
            <w:tcBorders>
              <w:top w:val="nil"/>
              <w:left w:val="nil"/>
              <w:bottom w:val="single" w:sz="4" w:space="0" w:color="auto"/>
              <w:right w:val="single" w:sz="4" w:space="0" w:color="auto"/>
            </w:tcBorders>
            <w:shd w:val="clear" w:color="000000" w:fill="FDE9D9"/>
            <w:noWrap/>
            <w:vAlign w:val="bottom"/>
            <w:hideMark/>
          </w:tcPr>
          <w:p w14:paraId="3D7A4BB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5.69%</w:t>
            </w:r>
          </w:p>
        </w:tc>
        <w:tc>
          <w:tcPr>
            <w:tcW w:w="0" w:type="auto"/>
            <w:tcBorders>
              <w:top w:val="nil"/>
              <w:left w:val="nil"/>
              <w:bottom w:val="single" w:sz="4" w:space="0" w:color="auto"/>
              <w:right w:val="single" w:sz="4" w:space="0" w:color="auto"/>
            </w:tcBorders>
            <w:shd w:val="clear" w:color="000000" w:fill="FDE9D9"/>
            <w:noWrap/>
            <w:vAlign w:val="bottom"/>
            <w:hideMark/>
          </w:tcPr>
          <w:p w14:paraId="17B737D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-0.14%</w:t>
            </w:r>
          </w:p>
        </w:tc>
        <w:tc>
          <w:tcPr>
            <w:tcW w:w="0" w:type="auto"/>
            <w:tcBorders>
              <w:top w:val="nil"/>
              <w:left w:val="nil"/>
              <w:bottom w:val="single" w:sz="4" w:space="0" w:color="auto"/>
              <w:right w:val="single" w:sz="4" w:space="0" w:color="auto"/>
            </w:tcBorders>
            <w:shd w:val="clear" w:color="000000" w:fill="FDE9D9"/>
            <w:noWrap/>
            <w:vAlign w:val="bottom"/>
            <w:hideMark/>
          </w:tcPr>
          <w:p w14:paraId="6AE6322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5.82%</w:t>
            </w:r>
          </w:p>
        </w:tc>
        <w:tc>
          <w:tcPr>
            <w:tcW w:w="0" w:type="auto"/>
            <w:tcBorders>
              <w:top w:val="nil"/>
              <w:left w:val="nil"/>
              <w:bottom w:val="single" w:sz="4" w:space="0" w:color="auto"/>
              <w:right w:val="single" w:sz="4" w:space="0" w:color="auto"/>
            </w:tcBorders>
            <w:shd w:val="clear" w:color="000000" w:fill="FDE9D9"/>
            <w:noWrap/>
            <w:vAlign w:val="bottom"/>
            <w:hideMark/>
          </w:tcPr>
          <w:p w14:paraId="1C20115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-0.09%</w:t>
            </w:r>
          </w:p>
        </w:tc>
        <w:tc>
          <w:tcPr>
            <w:tcW w:w="0" w:type="auto"/>
            <w:tcBorders>
              <w:top w:val="nil"/>
              <w:left w:val="nil"/>
              <w:bottom w:val="single" w:sz="4" w:space="0" w:color="auto"/>
              <w:right w:val="single" w:sz="4" w:space="0" w:color="auto"/>
            </w:tcBorders>
            <w:shd w:val="clear" w:color="000000" w:fill="FDE9D9"/>
            <w:noWrap/>
            <w:vAlign w:val="bottom"/>
            <w:hideMark/>
          </w:tcPr>
          <w:p w14:paraId="1544F49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2.98%</w:t>
            </w:r>
          </w:p>
        </w:tc>
        <w:tc>
          <w:tcPr>
            <w:tcW w:w="0" w:type="auto"/>
            <w:tcBorders>
              <w:top w:val="nil"/>
              <w:left w:val="nil"/>
              <w:bottom w:val="single" w:sz="4" w:space="0" w:color="auto"/>
              <w:right w:val="single" w:sz="4" w:space="0" w:color="auto"/>
            </w:tcBorders>
            <w:shd w:val="clear" w:color="000000" w:fill="FDE9D9"/>
            <w:noWrap/>
            <w:vAlign w:val="bottom"/>
            <w:hideMark/>
          </w:tcPr>
          <w:p w14:paraId="116920F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-3.06%</w:t>
            </w:r>
          </w:p>
        </w:tc>
        <w:tc>
          <w:tcPr>
            <w:tcW w:w="0" w:type="auto"/>
            <w:tcBorders>
              <w:top w:val="nil"/>
              <w:left w:val="nil"/>
              <w:bottom w:val="single" w:sz="4" w:space="0" w:color="auto"/>
              <w:right w:val="single" w:sz="4" w:space="0" w:color="auto"/>
            </w:tcBorders>
            <w:shd w:val="clear" w:color="000000" w:fill="B7DEE8"/>
            <w:noWrap/>
            <w:vAlign w:val="bottom"/>
            <w:hideMark/>
          </w:tcPr>
          <w:p w14:paraId="0922C68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9.06%</w:t>
            </w:r>
          </w:p>
        </w:tc>
        <w:tc>
          <w:tcPr>
            <w:tcW w:w="0" w:type="auto"/>
            <w:tcBorders>
              <w:top w:val="nil"/>
              <w:left w:val="nil"/>
              <w:bottom w:val="single" w:sz="4" w:space="0" w:color="auto"/>
              <w:right w:val="single" w:sz="4" w:space="0" w:color="auto"/>
            </w:tcBorders>
            <w:shd w:val="clear" w:color="000000" w:fill="B7DEE8"/>
            <w:noWrap/>
            <w:vAlign w:val="bottom"/>
            <w:hideMark/>
          </w:tcPr>
          <w:p w14:paraId="1627DDC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-5.51%</w:t>
            </w:r>
          </w:p>
        </w:tc>
        <w:tc>
          <w:tcPr>
            <w:tcW w:w="0" w:type="auto"/>
            <w:tcBorders>
              <w:top w:val="nil"/>
              <w:left w:val="nil"/>
              <w:bottom w:val="single" w:sz="4" w:space="0" w:color="auto"/>
              <w:right w:val="single" w:sz="4" w:space="0" w:color="auto"/>
            </w:tcBorders>
            <w:shd w:val="clear" w:color="000000" w:fill="B7DEE8"/>
            <w:noWrap/>
            <w:vAlign w:val="bottom"/>
            <w:hideMark/>
          </w:tcPr>
          <w:p w14:paraId="1272D00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1.3%</w:t>
            </w:r>
          </w:p>
        </w:tc>
        <w:tc>
          <w:tcPr>
            <w:tcW w:w="0" w:type="auto"/>
            <w:tcBorders>
              <w:top w:val="nil"/>
              <w:left w:val="nil"/>
              <w:bottom w:val="single" w:sz="4" w:space="0" w:color="auto"/>
              <w:right w:val="single" w:sz="4" w:space="0" w:color="auto"/>
            </w:tcBorders>
            <w:shd w:val="clear" w:color="000000" w:fill="DAEEF3"/>
            <w:noWrap/>
            <w:vAlign w:val="bottom"/>
            <w:hideMark/>
          </w:tcPr>
          <w:p w14:paraId="59A2E4F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-2.63%</w:t>
            </w:r>
          </w:p>
        </w:tc>
      </w:tr>
      <w:tr w:rsidR="00F20114" w:rsidRPr="008E0033" w14:paraId="5C84374B"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CFFC0C"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West Wimmera (S)</w:t>
            </w:r>
          </w:p>
        </w:tc>
        <w:tc>
          <w:tcPr>
            <w:tcW w:w="0" w:type="auto"/>
            <w:tcBorders>
              <w:top w:val="nil"/>
              <w:left w:val="nil"/>
              <w:bottom w:val="single" w:sz="4" w:space="0" w:color="auto"/>
              <w:right w:val="single" w:sz="4" w:space="0" w:color="auto"/>
            </w:tcBorders>
            <w:shd w:val="clear" w:color="000000" w:fill="FDE9D9"/>
            <w:noWrap/>
            <w:vAlign w:val="bottom"/>
            <w:hideMark/>
          </w:tcPr>
          <w:p w14:paraId="740501F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-0.40%</w:t>
            </w:r>
          </w:p>
        </w:tc>
        <w:tc>
          <w:tcPr>
            <w:tcW w:w="0" w:type="auto"/>
            <w:tcBorders>
              <w:top w:val="nil"/>
              <w:left w:val="nil"/>
              <w:bottom w:val="single" w:sz="4" w:space="0" w:color="auto"/>
              <w:right w:val="single" w:sz="4" w:space="0" w:color="auto"/>
            </w:tcBorders>
            <w:shd w:val="clear" w:color="000000" w:fill="FDE9D9"/>
            <w:noWrap/>
            <w:vAlign w:val="bottom"/>
            <w:hideMark/>
          </w:tcPr>
          <w:p w14:paraId="7F28737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-2.55%</w:t>
            </w:r>
          </w:p>
        </w:tc>
        <w:tc>
          <w:tcPr>
            <w:tcW w:w="0" w:type="auto"/>
            <w:tcBorders>
              <w:top w:val="nil"/>
              <w:left w:val="nil"/>
              <w:bottom w:val="single" w:sz="4" w:space="0" w:color="auto"/>
              <w:right w:val="single" w:sz="4" w:space="0" w:color="auto"/>
            </w:tcBorders>
            <w:shd w:val="clear" w:color="000000" w:fill="FDE9D9"/>
            <w:noWrap/>
            <w:vAlign w:val="bottom"/>
            <w:hideMark/>
          </w:tcPr>
          <w:p w14:paraId="4DE33C5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2.14%</w:t>
            </w:r>
          </w:p>
        </w:tc>
        <w:tc>
          <w:tcPr>
            <w:tcW w:w="0" w:type="auto"/>
            <w:tcBorders>
              <w:top w:val="nil"/>
              <w:left w:val="nil"/>
              <w:bottom w:val="single" w:sz="4" w:space="0" w:color="auto"/>
              <w:right w:val="single" w:sz="4" w:space="0" w:color="auto"/>
            </w:tcBorders>
            <w:shd w:val="clear" w:color="000000" w:fill="FDE9D9"/>
            <w:noWrap/>
            <w:vAlign w:val="bottom"/>
            <w:hideMark/>
          </w:tcPr>
          <w:p w14:paraId="218E4C1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-2.57%</w:t>
            </w:r>
          </w:p>
        </w:tc>
        <w:tc>
          <w:tcPr>
            <w:tcW w:w="0" w:type="auto"/>
            <w:tcBorders>
              <w:top w:val="nil"/>
              <w:left w:val="nil"/>
              <w:bottom w:val="single" w:sz="4" w:space="0" w:color="auto"/>
              <w:right w:val="single" w:sz="4" w:space="0" w:color="auto"/>
            </w:tcBorders>
            <w:shd w:val="clear" w:color="000000" w:fill="FDE9D9"/>
            <w:noWrap/>
            <w:vAlign w:val="bottom"/>
            <w:hideMark/>
          </w:tcPr>
          <w:p w14:paraId="6B09E59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0.42%</w:t>
            </w:r>
          </w:p>
        </w:tc>
        <w:tc>
          <w:tcPr>
            <w:tcW w:w="0" w:type="auto"/>
            <w:tcBorders>
              <w:top w:val="nil"/>
              <w:left w:val="nil"/>
              <w:bottom w:val="single" w:sz="4" w:space="0" w:color="auto"/>
              <w:right w:val="single" w:sz="4" w:space="0" w:color="auto"/>
            </w:tcBorders>
            <w:shd w:val="clear" w:color="000000" w:fill="FDE9D9"/>
            <w:noWrap/>
            <w:vAlign w:val="bottom"/>
            <w:hideMark/>
          </w:tcPr>
          <w:p w14:paraId="75B8FC5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-2.99%</w:t>
            </w:r>
          </w:p>
        </w:tc>
        <w:tc>
          <w:tcPr>
            <w:tcW w:w="0" w:type="auto"/>
            <w:tcBorders>
              <w:top w:val="nil"/>
              <w:left w:val="nil"/>
              <w:bottom w:val="single" w:sz="4" w:space="0" w:color="auto"/>
              <w:right w:val="single" w:sz="4" w:space="0" w:color="auto"/>
            </w:tcBorders>
            <w:shd w:val="clear" w:color="000000" w:fill="B7DEE8"/>
            <w:noWrap/>
            <w:vAlign w:val="bottom"/>
            <w:hideMark/>
          </w:tcPr>
          <w:p w14:paraId="54B64C0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5.30%</w:t>
            </w:r>
          </w:p>
        </w:tc>
        <w:tc>
          <w:tcPr>
            <w:tcW w:w="0" w:type="auto"/>
            <w:tcBorders>
              <w:top w:val="nil"/>
              <w:left w:val="nil"/>
              <w:bottom w:val="single" w:sz="4" w:space="0" w:color="auto"/>
              <w:right w:val="single" w:sz="4" w:space="0" w:color="auto"/>
            </w:tcBorders>
            <w:shd w:val="clear" w:color="000000" w:fill="B7DEE8"/>
            <w:noWrap/>
            <w:vAlign w:val="bottom"/>
            <w:hideMark/>
          </w:tcPr>
          <w:p w14:paraId="708FBD6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-2.14%</w:t>
            </w:r>
          </w:p>
        </w:tc>
        <w:tc>
          <w:tcPr>
            <w:tcW w:w="0" w:type="auto"/>
            <w:tcBorders>
              <w:top w:val="nil"/>
              <w:left w:val="nil"/>
              <w:bottom w:val="single" w:sz="4" w:space="0" w:color="auto"/>
              <w:right w:val="single" w:sz="4" w:space="0" w:color="auto"/>
            </w:tcBorders>
            <w:shd w:val="clear" w:color="000000" w:fill="B7DEE8"/>
            <w:noWrap/>
            <w:vAlign w:val="bottom"/>
            <w:hideMark/>
          </w:tcPr>
          <w:p w14:paraId="5562D55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w:t>
            </w:r>
          </w:p>
        </w:tc>
        <w:tc>
          <w:tcPr>
            <w:tcW w:w="0" w:type="auto"/>
            <w:tcBorders>
              <w:top w:val="nil"/>
              <w:left w:val="nil"/>
              <w:bottom w:val="single" w:sz="4" w:space="0" w:color="auto"/>
              <w:right w:val="single" w:sz="4" w:space="0" w:color="auto"/>
            </w:tcBorders>
            <w:shd w:val="clear" w:color="000000" w:fill="DAEEF3"/>
            <w:noWrap/>
            <w:vAlign w:val="bottom"/>
            <w:hideMark/>
          </w:tcPr>
          <w:p w14:paraId="4BA037A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0.85%</w:t>
            </w:r>
          </w:p>
        </w:tc>
      </w:tr>
      <w:tr w:rsidR="00F20114" w:rsidRPr="008E0033" w14:paraId="7E989E55"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4A1D79"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Whitehorse (C)</w:t>
            </w:r>
          </w:p>
        </w:tc>
        <w:tc>
          <w:tcPr>
            <w:tcW w:w="0" w:type="auto"/>
            <w:tcBorders>
              <w:top w:val="nil"/>
              <w:left w:val="nil"/>
              <w:bottom w:val="single" w:sz="4" w:space="0" w:color="auto"/>
              <w:right w:val="single" w:sz="4" w:space="0" w:color="auto"/>
            </w:tcBorders>
            <w:shd w:val="clear" w:color="000000" w:fill="FDE9D9"/>
            <w:noWrap/>
            <w:vAlign w:val="bottom"/>
            <w:hideMark/>
          </w:tcPr>
          <w:p w14:paraId="5159940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0.72%</w:t>
            </w:r>
          </w:p>
        </w:tc>
        <w:tc>
          <w:tcPr>
            <w:tcW w:w="0" w:type="auto"/>
            <w:tcBorders>
              <w:top w:val="nil"/>
              <w:left w:val="nil"/>
              <w:bottom w:val="single" w:sz="4" w:space="0" w:color="auto"/>
              <w:right w:val="single" w:sz="4" w:space="0" w:color="auto"/>
            </w:tcBorders>
            <w:shd w:val="clear" w:color="000000" w:fill="FDE9D9"/>
            <w:noWrap/>
            <w:vAlign w:val="bottom"/>
            <w:hideMark/>
          </w:tcPr>
          <w:p w14:paraId="748FDD8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1.30%</w:t>
            </w:r>
          </w:p>
        </w:tc>
        <w:tc>
          <w:tcPr>
            <w:tcW w:w="0" w:type="auto"/>
            <w:tcBorders>
              <w:top w:val="nil"/>
              <w:left w:val="nil"/>
              <w:bottom w:val="single" w:sz="4" w:space="0" w:color="auto"/>
              <w:right w:val="single" w:sz="4" w:space="0" w:color="auto"/>
            </w:tcBorders>
            <w:shd w:val="clear" w:color="000000" w:fill="FDE9D9"/>
            <w:noWrap/>
            <w:vAlign w:val="bottom"/>
            <w:hideMark/>
          </w:tcPr>
          <w:p w14:paraId="4E3264D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-0.58%</w:t>
            </w:r>
          </w:p>
        </w:tc>
        <w:tc>
          <w:tcPr>
            <w:tcW w:w="0" w:type="auto"/>
            <w:tcBorders>
              <w:top w:val="nil"/>
              <w:left w:val="nil"/>
              <w:bottom w:val="single" w:sz="4" w:space="0" w:color="auto"/>
              <w:right w:val="single" w:sz="4" w:space="0" w:color="auto"/>
            </w:tcBorders>
            <w:shd w:val="clear" w:color="000000" w:fill="FDE9D9"/>
            <w:noWrap/>
            <w:vAlign w:val="bottom"/>
            <w:hideMark/>
          </w:tcPr>
          <w:p w14:paraId="7E53CCB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1.37%</w:t>
            </w:r>
          </w:p>
        </w:tc>
        <w:tc>
          <w:tcPr>
            <w:tcW w:w="0" w:type="auto"/>
            <w:tcBorders>
              <w:top w:val="nil"/>
              <w:left w:val="nil"/>
              <w:bottom w:val="single" w:sz="4" w:space="0" w:color="auto"/>
              <w:right w:val="single" w:sz="4" w:space="0" w:color="auto"/>
            </w:tcBorders>
            <w:shd w:val="clear" w:color="000000" w:fill="FDE9D9"/>
            <w:noWrap/>
            <w:vAlign w:val="bottom"/>
            <w:hideMark/>
          </w:tcPr>
          <w:p w14:paraId="6FE2952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1.04%</w:t>
            </w:r>
          </w:p>
        </w:tc>
        <w:tc>
          <w:tcPr>
            <w:tcW w:w="0" w:type="auto"/>
            <w:tcBorders>
              <w:top w:val="nil"/>
              <w:left w:val="nil"/>
              <w:bottom w:val="single" w:sz="4" w:space="0" w:color="auto"/>
              <w:right w:val="single" w:sz="4" w:space="0" w:color="auto"/>
            </w:tcBorders>
            <w:shd w:val="clear" w:color="000000" w:fill="FDE9D9"/>
            <w:noWrap/>
            <w:vAlign w:val="bottom"/>
            <w:hideMark/>
          </w:tcPr>
          <w:p w14:paraId="6280C3D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0.33%</w:t>
            </w:r>
          </w:p>
        </w:tc>
        <w:tc>
          <w:tcPr>
            <w:tcW w:w="0" w:type="auto"/>
            <w:tcBorders>
              <w:top w:val="nil"/>
              <w:left w:val="nil"/>
              <w:bottom w:val="single" w:sz="4" w:space="0" w:color="auto"/>
              <w:right w:val="single" w:sz="4" w:space="0" w:color="auto"/>
            </w:tcBorders>
            <w:shd w:val="clear" w:color="000000" w:fill="B7DEE8"/>
            <w:noWrap/>
            <w:vAlign w:val="bottom"/>
            <w:hideMark/>
          </w:tcPr>
          <w:p w14:paraId="00E71F9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2.46%</w:t>
            </w:r>
          </w:p>
        </w:tc>
        <w:tc>
          <w:tcPr>
            <w:tcW w:w="0" w:type="auto"/>
            <w:tcBorders>
              <w:top w:val="nil"/>
              <w:left w:val="nil"/>
              <w:bottom w:val="single" w:sz="4" w:space="0" w:color="auto"/>
              <w:right w:val="single" w:sz="4" w:space="0" w:color="auto"/>
            </w:tcBorders>
            <w:shd w:val="clear" w:color="000000" w:fill="B7DEE8"/>
            <w:noWrap/>
            <w:vAlign w:val="bottom"/>
            <w:hideMark/>
          </w:tcPr>
          <w:p w14:paraId="3DB4056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0.58%</w:t>
            </w:r>
          </w:p>
        </w:tc>
        <w:tc>
          <w:tcPr>
            <w:tcW w:w="0" w:type="auto"/>
            <w:tcBorders>
              <w:top w:val="nil"/>
              <w:left w:val="nil"/>
              <w:bottom w:val="single" w:sz="4" w:space="0" w:color="auto"/>
              <w:right w:val="single" w:sz="4" w:space="0" w:color="auto"/>
            </w:tcBorders>
            <w:shd w:val="clear" w:color="000000" w:fill="B7DEE8"/>
            <w:noWrap/>
            <w:vAlign w:val="bottom"/>
            <w:hideMark/>
          </w:tcPr>
          <w:p w14:paraId="3E400B9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w:t>
            </w:r>
          </w:p>
        </w:tc>
        <w:tc>
          <w:tcPr>
            <w:tcW w:w="0" w:type="auto"/>
            <w:tcBorders>
              <w:top w:val="nil"/>
              <w:left w:val="nil"/>
              <w:bottom w:val="single" w:sz="4" w:space="0" w:color="auto"/>
              <w:right w:val="single" w:sz="4" w:space="0" w:color="auto"/>
            </w:tcBorders>
            <w:shd w:val="clear" w:color="000000" w:fill="DAEEF3"/>
            <w:noWrap/>
            <w:vAlign w:val="bottom"/>
            <w:hideMark/>
          </w:tcPr>
          <w:p w14:paraId="3A08CC7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3.65%</w:t>
            </w:r>
          </w:p>
        </w:tc>
      </w:tr>
      <w:tr w:rsidR="00F20114" w:rsidRPr="008E0033" w14:paraId="38A367D0"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FF306B"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lastRenderedPageBreak/>
              <w:t>Whittlesea (C)</w:t>
            </w:r>
          </w:p>
        </w:tc>
        <w:tc>
          <w:tcPr>
            <w:tcW w:w="0" w:type="auto"/>
            <w:tcBorders>
              <w:top w:val="nil"/>
              <w:left w:val="nil"/>
              <w:bottom w:val="single" w:sz="4" w:space="0" w:color="auto"/>
              <w:right w:val="single" w:sz="4" w:space="0" w:color="auto"/>
            </w:tcBorders>
            <w:shd w:val="clear" w:color="000000" w:fill="FDE9D9"/>
            <w:noWrap/>
            <w:vAlign w:val="bottom"/>
            <w:hideMark/>
          </w:tcPr>
          <w:p w14:paraId="3BF1575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2.79%</w:t>
            </w:r>
          </w:p>
        </w:tc>
        <w:tc>
          <w:tcPr>
            <w:tcW w:w="0" w:type="auto"/>
            <w:tcBorders>
              <w:top w:val="nil"/>
              <w:left w:val="nil"/>
              <w:bottom w:val="single" w:sz="4" w:space="0" w:color="auto"/>
              <w:right w:val="single" w:sz="4" w:space="0" w:color="auto"/>
            </w:tcBorders>
            <w:shd w:val="clear" w:color="000000" w:fill="FDE9D9"/>
            <w:noWrap/>
            <w:vAlign w:val="bottom"/>
            <w:hideMark/>
          </w:tcPr>
          <w:p w14:paraId="34B119C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4.40%</w:t>
            </w:r>
          </w:p>
        </w:tc>
        <w:tc>
          <w:tcPr>
            <w:tcW w:w="0" w:type="auto"/>
            <w:tcBorders>
              <w:top w:val="nil"/>
              <w:left w:val="nil"/>
              <w:bottom w:val="single" w:sz="4" w:space="0" w:color="auto"/>
              <w:right w:val="single" w:sz="4" w:space="0" w:color="auto"/>
            </w:tcBorders>
            <w:shd w:val="clear" w:color="000000" w:fill="FDE9D9"/>
            <w:noWrap/>
            <w:vAlign w:val="bottom"/>
            <w:hideMark/>
          </w:tcPr>
          <w:p w14:paraId="093680F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-1.60%</w:t>
            </w:r>
          </w:p>
        </w:tc>
        <w:tc>
          <w:tcPr>
            <w:tcW w:w="0" w:type="auto"/>
            <w:tcBorders>
              <w:top w:val="nil"/>
              <w:left w:val="nil"/>
              <w:bottom w:val="single" w:sz="4" w:space="0" w:color="auto"/>
              <w:right w:val="single" w:sz="4" w:space="0" w:color="auto"/>
            </w:tcBorders>
            <w:shd w:val="clear" w:color="000000" w:fill="FDE9D9"/>
            <w:noWrap/>
            <w:vAlign w:val="bottom"/>
            <w:hideMark/>
          </w:tcPr>
          <w:p w14:paraId="0AFF75B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4.90%</w:t>
            </w:r>
          </w:p>
        </w:tc>
        <w:tc>
          <w:tcPr>
            <w:tcW w:w="0" w:type="auto"/>
            <w:tcBorders>
              <w:top w:val="nil"/>
              <w:left w:val="nil"/>
              <w:bottom w:val="single" w:sz="4" w:space="0" w:color="auto"/>
              <w:right w:val="single" w:sz="4" w:space="0" w:color="auto"/>
            </w:tcBorders>
            <w:shd w:val="clear" w:color="000000" w:fill="FDE9D9"/>
            <w:noWrap/>
            <w:vAlign w:val="bottom"/>
            <w:hideMark/>
          </w:tcPr>
          <w:p w14:paraId="0554382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3.23%</w:t>
            </w:r>
          </w:p>
        </w:tc>
        <w:tc>
          <w:tcPr>
            <w:tcW w:w="0" w:type="auto"/>
            <w:tcBorders>
              <w:top w:val="nil"/>
              <w:left w:val="nil"/>
              <w:bottom w:val="single" w:sz="4" w:space="0" w:color="auto"/>
              <w:right w:val="single" w:sz="4" w:space="0" w:color="auto"/>
            </w:tcBorders>
            <w:shd w:val="clear" w:color="000000" w:fill="FDE9D9"/>
            <w:noWrap/>
            <w:vAlign w:val="bottom"/>
            <w:hideMark/>
          </w:tcPr>
          <w:p w14:paraId="0AFB63B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1.67%</w:t>
            </w:r>
          </w:p>
        </w:tc>
        <w:tc>
          <w:tcPr>
            <w:tcW w:w="0" w:type="auto"/>
            <w:tcBorders>
              <w:top w:val="nil"/>
              <w:left w:val="nil"/>
              <w:bottom w:val="single" w:sz="4" w:space="0" w:color="auto"/>
              <w:right w:val="single" w:sz="4" w:space="0" w:color="auto"/>
            </w:tcBorders>
            <w:shd w:val="clear" w:color="000000" w:fill="B7DEE8"/>
            <w:noWrap/>
            <w:vAlign w:val="bottom"/>
            <w:hideMark/>
          </w:tcPr>
          <w:p w14:paraId="692C859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1.47%</w:t>
            </w:r>
          </w:p>
        </w:tc>
        <w:tc>
          <w:tcPr>
            <w:tcW w:w="0" w:type="auto"/>
            <w:tcBorders>
              <w:top w:val="nil"/>
              <w:left w:val="nil"/>
              <w:bottom w:val="single" w:sz="4" w:space="0" w:color="auto"/>
              <w:right w:val="single" w:sz="4" w:space="0" w:color="auto"/>
            </w:tcBorders>
            <w:shd w:val="clear" w:color="000000" w:fill="B7DEE8"/>
            <w:noWrap/>
            <w:vAlign w:val="bottom"/>
            <w:hideMark/>
          </w:tcPr>
          <w:p w14:paraId="6C0E019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1.56%</w:t>
            </w:r>
          </w:p>
        </w:tc>
        <w:tc>
          <w:tcPr>
            <w:tcW w:w="0" w:type="auto"/>
            <w:tcBorders>
              <w:top w:val="nil"/>
              <w:left w:val="nil"/>
              <w:bottom w:val="single" w:sz="4" w:space="0" w:color="auto"/>
              <w:right w:val="single" w:sz="4" w:space="0" w:color="auto"/>
            </w:tcBorders>
            <w:shd w:val="clear" w:color="000000" w:fill="B7DEE8"/>
            <w:noWrap/>
            <w:vAlign w:val="bottom"/>
            <w:hideMark/>
          </w:tcPr>
          <w:p w14:paraId="705F005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3.1%</w:t>
            </w:r>
          </w:p>
        </w:tc>
        <w:tc>
          <w:tcPr>
            <w:tcW w:w="0" w:type="auto"/>
            <w:tcBorders>
              <w:top w:val="nil"/>
              <w:left w:val="nil"/>
              <w:bottom w:val="single" w:sz="4" w:space="0" w:color="auto"/>
              <w:right w:val="single" w:sz="4" w:space="0" w:color="auto"/>
            </w:tcBorders>
            <w:shd w:val="clear" w:color="000000" w:fill="DAEEF3"/>
            <w:noWrap/>
            <w:vAlign w:val="bottom"/>
            <w:hideMark/>
          </w:tcPr>
          <w:p w14:paraId="079D4D1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4.66%</w:t>
            </w:r>
          </w:p>
        </w:tc>
      </w:tr>
      <w:tr w:rsidR="00F20114" w:rsidRPr="008E0033" w14:paraId="4AA892E1"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D26516"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Wodonga (C)</w:t>
            </w:r>
          </w:p>
        </w:tc>
        <w:tc>
          <w:tcPr>
            <w:tcW w:w="0" w:type="auto"/>
            <w:tcBorders>
              <w:top w:val="nil"/>
              <w:left w:val="nil"/>
              <w:bottom w:val="single" w:sz="4" w:space="0" w:color="auto"/>
              <w:right w:val="single" w:sz="4" w:space="0" w:color="auto"/>
            </w:tcBorders>
            <w:shd w:val="clear" w:color="000000" w:fill="FDE9D9"/>
            <w:noWrap/>
            <w:vAlign w:val="bottom"/>
            <w:hideMark/>
          </w:tcPr>
          <w:p w14:paraId="757CE49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1.49%</w:t>
            </w:r>
          </w:p>
        </w:tc>
        <w:tc>
          <w:tcPr>
            <w:tcW w:w="0" w:type="auto"/>
            <w:tcBorders>
              <w:top w:val="nil"/>
              <w:left w:val="nil"/>
              <w:bottom w:val="single" w:sz="4" w:space="0" w:color="auto"/>
              <w:right w:val="single" w:sz="4" w:space="0" w:color="auto"/>
            </w:tcBorders>
            <w:shd w:val="clear" w:color="000000" w:fill="FDE9D9"/>
            <w:noWrap/>
            <w:vAlign w:val="bottom"/>
            <w:hideMark/>
          </w:tcPr>
          <w:p w14:paraId="535B635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2.18%</w:t>
            </w:r>
          </w:p>
        </w:tc>
        <w:tc>
          <w:tcPr>
            <w:tcW w:w="0" w:type="auto"/>
            <w:tcBorders>
              <w:top w:val="nil"/>
              <w:left w:val="nil"/>
              <w:bottom w:val="single" w:sz="4" w:space="0" w:color="auto"/>
              <w:right w:val="single" w:sz="4" w:space="0" w:color="auto"/>
            </w:tcBorders>
            <w:shd w:val="clear" w:color="000000" w:fill="FDE9D9"/>
            <w:noWrap/>
            <w:vAlign w:val="bottom"/>
            <w:hideMark/>
          </w:tcPr>
          <w:p w14:paraId="73FE76F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-0.69%</w:t>
            </w:r>
          </w:p>
        </w:tc>
        <w:tc>
          <w:tcPr>
            <w:tcW w:w="0" w:type="auto"/>
            <w:tcBorders>
              <w:top w:val="nil"/>
              <w:left w:val="nil"/>
              <w:bottom w:val="single" w:sz="4" w:space="0" w:color="auto"/>
              <w:right w:val="single" w:sz="4" w:space="0" w:color="auto"/>
            </w:tcBorders>
            <w:shd w:val="clear" w:color="000000" w:fill="FDE9D9"/>
            <w:noWrap/>
            <w:vAlign w:val="bottom"/>
            <w:hideMark/>
          </w:tcPr>
          <w:p w14:paraId="0425C4D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2.10%</w:t>
            </w:r>
          </w:p>
        </w:tc>
        <w:tc>
          <w:tcPr>
            <w:tcW w:w="0" w:type="auto"/>
            <w:tcBorders>
              <w:top w:val="nil"/>
              <w:left w:val="nil"/>
              <w:bottom w:val="single" w:sz="4" w:space="0" w:color="auto"/>
              <w:right w:val="single" w:sz="4" w:space="0" w:color="auto"/>
            </w:tcBorders>
            <w:shd w:val="clear" w:color="000000" w:fill="FDE9D9"/>
            <w:noWrap/>
            <w:vAlign w:val="bottom"/>
            <w:hideMark/>
          </w:tcPr>
          <w:p w14:paraId="37FCEB9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1.66%</w:t>
            </w:r>
          </w:p>
        </w:tc>
        <w:tc>
          <w:tcPr>
            <w:tcW w:w="0" w:type="auto"/>
            <w:tcBorders>
              <w:top w:val="nil"/>
              <w:left w:val="nil"/>
              <w:bottom w:val="single" w:sz="4" w:space="0" w:color="auto"/>
              <w:right w:val="single" w:sz="4" w:space="0" w:color="auto"/>
            </w:tcBorders>
            <w:shd w:val="clear" w:color="000000" w:fill="FDE9D9"/>
            <w:noWrap/>
            <w:vAlign w:val="bottom"/>
            <w:hideMark/>
          </w:tcPr>
          <w:p w14:paraId="7CE6828D"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0.45%</w:t>
            </w:r>
          </w:p>
        </w:tc>
        <w:tc>
          <w:tcPr>
            <w:tcW w:w="0" w:type="auto"/>
            <w:tcBorders>
              <w:top w:val="nil"/>
              <w:left w:val="nil"/>
              <w:bottom w:val="single" w:sz="4" w:space="0" w:color="auto"/>
              <w:right w:val="single" w:sz="4" w:space="0" w:color="auto"/>
            </w:tcBorders>
            <w:shd w:val="clear" w:color="000000" w:fill="B7DEE8"/>
            <w:noWrap/>
            <w:vAlign w:val="bottom"/>
            <w:hideMark/>
          </w:tcPr>
          <w:p w14:paraId="322B49B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2.35%</w:t>
            </w:r>
          </w:p>
        </w:tc>
        <w:tc>
          <w:tcPr>
            <w:tcW w:w="0" w:type="auto"/>
            <w:tcBorders>
              <w:top w:val="nil"/>
              <w:left w:val="nil"/>
              <w:bottom w:val="single" w:sz="4" w:space="0" w:color="auto"/>
              <w:right w:val="single" w:sz="4" w:space="0" w:color="auto"/>
            </w:tcBorders>
            <w:shd w:val="clear" w:color="000000" w:fill="B7DEE8"/>
            <w:noWrap/>
            <w:vAlign w:val="bottom"/>
            <w:hideMark/>
          </w:tcPr>
          <w:p w14:paraId="41B8D4D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0.68%</w:t>
            </w:r>
          </w:p>
        </w:tc>
        <w:tc>
          <w:tcPr>
            <w:tcW w:w="0" w:type="auto"/>
            <w:tcBorders>
              <w:top w:val="nil"/>
              <w:left w:val="nil"/>
              <w:bottom w:val="single" w:sz="4" w:space="0" w:color="auto"/>
              <w:right w:val="single" w:sz="4" w:space="0" w:color="auto"/>
            </w:tcBorders>
            <w:shd w:val="clear" w:color="000000" w:fill="B7DEE8"/>
            <w:noWrap/>
            <w:vAlign w:val="bottom"/>
            <w:hideMark/>
          </w:tcPr>
          <w:p w14:paraId="6ACB102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w:t>
            </w:r>
          </w:p>
        </w:tc>
        <w:tc>
          <w:tcPr>
            <w:tcW w:w="0" w:type="auto"/>
            <w:tcBorders>
              <w:top w:val="nil"/>
              <w:left w:val="nil"/>
              <w:bottom w:val="single" w:sz="4" w:space="0" w:color="auto"/>
              <w:right w:val="single" w:sz="4" w:space="0" w:color="auto"/>
            </w:tcBorders>
            <w:shd w:val="clear" w:color="000000" w:fill="DAEEF3"/>
            <w:noWrap/>
            <w:vAlign w:val="bottom"/>
            <w:hideMark/>
          </w:tcPr>
          <w:p w14:paraId="0B36A6C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3.75%</w:t>
            </w:r>
          </w:p>
        </w:tc>
      </w:tr>
      <w:tr w:rsidR="00F20114" w:rsidRPr="008E0033" w14:paraId="7503AA18"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17AE3C"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Wyndham (C)</w:t>
            </w:r>
          </w:p>
        </w:tc>
        <w:tc>
          <w:tcPr>
            <w:tcW w:w="0" w:type="auto"/>
            <w:tcBorders>
              <w:top w:val="nil"/>
              <w:left w:val="nil"/>
              <w:bottom w:val="single" w:sz="4" w:space="0" w:color="auto"/>
              <w:right w:val="single" w:sz="4" w:space="0" w:color="auto"/>
            </w:tcBorders>
            <w:shd w:val="clear" w:color="000000" w:fill="FDE9D9"/>
            <w:noWrap/>
            <w:vAlign w:val="bottom"/>
            <w:hideMark/>
          </w:tcPr>
          <w:p w14:paraId="67840E3C"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1.89%</w:t>
            </w:r>
          </w:p>
        </w:tc>
        <w:tc>
          <w:tcPr>
            <w:tcW w:w="0" w:type="auto"/>
            <w:tcBorders>
              <w:top w:val="nil"/>
              <w:left w:val="nil"/>
              <w:bottom w:val="single" w:sz="4" w:space="0" w:color="auto"/>
              <w:right w:val="single" w:sz="4" w:space="0" w:color="auto"/>
            </w:tcBorders>
            <w:shd w:val="clear" w:color="000000" w:fill="FDE9D9"/>
            <w:noWrap/>
            <w:vAlign w:val="bottom"/>
            <w:hideMark/>
          </w:tcPr>
          <w:p w14:paraId="5022F6D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5.61%</w:t>
            </w:r>
          </w:p>
        </w:tc>
        <w:tc>
          <w:tcPr>
            <w:tcW w:w="0" w:type="auto"/>
            <w:tcBorders>
              <w:top w:val="nil"/>
              <w:left w:val="nil"/>
              <w:bottom w:val="single" w:sz="4" w:space="0" w:color="auto"/>
              <w:right w:val="single" w:sz="4" w:space="0" w:color="auto"/>
            </w:tcBorders>
            <w:shd w:val="clear" w:color="000000" w:fill="FDE9D9"/>
            <w:noWrap/>
            <w:vAlign w:val="bottom"/>
            <w:hideMark/>
          </w:tcPr>
          <w:p w14:paraId="6864E7F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-3.72%</w:t>
            </w:r>
          </w:p>
        </w:tc>
        <w:tc>
          <w:tcPr>
            <w:tcW w:w="0" w:type="auto"/>
            <w:tcBorders>
              <w:top w:val="nil"/>
              <w:left w:val="nil"/>
              <w:bottom w:val="single" w:sz="4" w:space="0" w:color="auto"/>
              <w:right w:val="single" w:sz="4" w:space="0" w:color="auto"/>
            </w:tcBorders>
            <w:shd w:val="clear" w:color="000000" w:fill="FDE9D9"/>
            <w:noWrap/>
            <w:vAlign w:val="bottom"/>
            <w:hideMark/>
          </w:tcPr>
          <w:p w14:paraId="0224596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5.67%</w:t>
            </w:r>
          </w:p>
        </w:tc>
        <w:tc>
          <w:tcPr>
            <w:tcW w:w="0" w:type="auto"/>
            <w:tcBorders>
              <w:top w:val="nil"/>
              <w:left w:val="nil"/>
              <w:bottom w:val="single" w:sz="4" w:space="0" w:color="auto"/>
              <w:right w:val="single" w:sz="4" w:space="0" w:color="auto"/>
            </w:tcBorders>
            <w:shd w:val="clear" w:color="000000" w:fill="FDE9D9"/>
            <w:noWrap/>
            <w:vAlign w:val="bottom"/>
            <w:hideMark/>
          </w:tcPr>
          <w:p w14:paraId="4786C0B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2.41%</w:t>
            </w:r>
          </w:p>
        </w:tc>
        <w:tc>
          <w:tcPr>
            <w:tcW w:w="0" w:type="auto"/>
            <w:tcBorders>
              <w:top w:val="nil"/>
              <w:left w:val="nil"/>
              <w:bottom w:val="single" w:sz="4" w:space="0" w:color="auto"/>
              <w:right w:val="single" w:sz="4" w:space="0" w:color="auto"/>
            </w:tcBorders>
            <w:shd w:val="clear" w:color="000000" w:fill="FDE9D9"/>
            <w:noWrap/>
            <w:vAlign w:val="bottom"/>
            <w:hideMark/>
          </w:tcPr>
          <w:p w14:paraId="179C602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3.26%</w:t>
            </w:r>
          </w:p>
        </w:tc>
        <w:tc>
          <w:tcPr>
            <w:tcW w:w="0" w:type="auto"/>
            <w:tcBorders>
              <w:top w:val="nil"/>
              <w:left w:val="nil"/>
              <w:bottom w:val="single" w:sz="4" w:space="0" w:color="auto"/>
              <w:right w:val="single" w:sz="4" w:space="0" w:color="auto"/>
            </w:tcBorders>
            <w:shd w:val="clear" w:color="000000" w:fill="B7DEE8"/>
            <w:noWrap/>
            <w:vAlign w:val="bottom"/>
            <w:hideMark/>
          </w:tcPr>
          <w:p w14:paraId="6521E56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-0.58%</w:t>
            </w:r>
          </w:p>
        </w:tc>
        <w:tc>
          <w:tcPr>
            <w:tcW w:w="0" w:type="auto"/>
            <w:tcBorders>
              <w:top w:val="nil"/>
              <w:left w:val="nil"/>
              <w:bottom w:val="single" w:sz="4" w:space="0" w:color="auto"/>
              <w:right w:val="single" w:sz="4" w:space="0" w:color="auto"/>
            </w:tcBorders>
            <w:shd w:val="clear" w:color="000000" w:fill="B7DEE8"/>
            <w:noWrap/>
            <w:vAlign w:val="bottom"/>
            <w:hideMark/>
          </w:tcPr>
          <w:p w14:paraId="606A787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3.65%</w:t>
            </w:r>
          </w:p>
        </w:tc>
        <w:tc>
          <w:tcPr>
            <w:tcW w:w="0" w:type="auto"/>
            <w:tcBorders>
              <w:top w:val="nil"/>
              <w:left w:val="nil"/>
              <w:bottom w:val="single" w:sz="4" w:space="0" w:color="auto"/>
              <w:right w:val="single" w:sz="4" w:space="0" w:color="auto"/>
            </w:tcBorders>
            <w:shd w:val="clear" w:color="000000" w:fill="B7DEE8"/>
            <w:noWrap/>
            <w:vAlign w:val="bottom"/>
            <w:hideMark/>
          </w:tcPr>
          <w:p w14:paraId="6F9C0AC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1.2%</w:t>
            </w:r>
          </w:p>
        </w:tc>
        <w:tc>
          <w:tcPr>
            <w:tcW w:w="0" w:type="auto"/>
            <w:tcBorders>
              <w:top w:val="nil"/>
              <w:left w:val="nil"/>
              <w:bottom w:val="single" w:sz="4" w:space="0" w:color="auto"/>
              <w:right w:val="single" w:sz="4" w:space="0" w:color="auto"/>
            </w:tcBorders>
            <w:shd w:val="clear" w:color="000000" w:fill="DAEEF3"/>
            <w:noWrap/>
            <w:vAlign w:val="bottom"/>
            <w:hideMark/>
          </w:tcPr>
          <w:p w14:paraId="5055575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6.81%</w:t>
            </w:r>
          </w:p>
        </w:tc>
      </w:tr>
      <w:tr w:rsidR="00F20114" w:rsidRPr="008E0033" w14:paraId="46BFD751"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A15B99"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Yarra (C)</w:t>
            </w:r>
          </w:p>
        </w:tc>
        <w:tc>
          <w:tcPr>
            <w:tcW w:w="0" w:type="auto"/>
            <w:tcBorders>
              <w:top w:val="nil"/>
              <w:left w:val="nil"/>
              <w:bottom w:val="single" w:sz="4" w:space="0" w:color="auto"/>
              <w:right w:val="single" w:sz="4" w:space="0" w:color="auto"/>
            </w:tcBorders>
            <w:shd w:val="clear" w:color="000000" w:fill="FDE9D9"/>
            <w:noWrap/>
            <w:vAlign w:val="bottom"/>
            <w:hideMark/>
          </w:tcPr>
          <w:p w14:paraId="5143C03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3.06%</w:t>
            </w:r>
          </w:p>
        </w:tc>
        <w:tc>
          <w:tcPr>
            <w:tcW w:w="0" w:type="auto"/>
            <w:tcBorders>
              <w:top w:val="nil"/>
              <w:left w:val="nil"/>
              <w:bottom w:val="single" w:sz="4" w:space="0" w:color="auto"/>
              <w:right w:val="single" w:sz="4" w:space="0" w:color="auto"/>
            </w:tcBorders>
            <w:shd w:val="clear" w:color="000000" w:fill="FDE9D9"/>
            <w:noWrap/>
            <w:vAlign w:val="bottom"/>
            <w:hideMark/>
          </w:tcPr>
          <w:p w14:paraId="2F32E53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3.56%</w:t>
            </w:r>
          </w:p>
        </w:tc>
        <w:tc>
          <w:tcPr>
            <w:tcW w:w="0" w:type="auto"/>
            <w:tcBorders>
              <w:top w:val="nil"/>
              <w:left w:val="nil"/>
              <w:bottom w:val="single" w:sz="4" w:space="0" w:color="auto"/>
              <w:right w:val="single" w:sz="4" w:space="0" w:color="auto"/>
            </w:tcBorders>
            <w:shd w:val="clear" w:color="000000" w:fill="FDE9D9"/>
            <w:noWrap/>
            <w:vAlign w:val="bottom"/>
            <w:hideMark/>
          </w:tcPr>
          <w:p w14:paraId="4E8F340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-0.50%</w:t>
            </w:r>
          </w:p>
        </w:tc>
        <w:tc>
          <w:tcPr>
            <w:tcW w:w="0" w:type="auto"/>
            <w:tcBorders>
              <w:top w:val="nil"/>
              <w:left w:val="nil"/>
              <w:bottom w:val="single" w:sz="4" w:space="0" w:color="auto"/>
              <w:right w:val="single" w:sz="4" w:space="0" w:color="auto"/>
            </w:tcBorders>
            <w:shd w:val="clear" w:color="000000" w:fill="FDE9D9"/>
            <w:noWrap/>
            <w:vAlign w:val="bottom"/>
            <w:hideMark/>
          </w:tcPr>
          <w:p w14:paraId="66CC0FB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3.35%</w:t>
            </w:r>
          </w:p>
        </w:tc>
        <w:tc>
          <w:tcPr>
            <w:tcW w:w="0" w:type="auto"/>
            <w:tcBorders>
              <w:top w:val="nil"/>
              <w:left w:val="nil"/>
              <w:bottom w:val="single" w:sz="4" w:space="0" w:color="auto"/>
              <w:right w:val="single" w:sz="4" w:space="0" w:color="auto"/>
            </w:tcBorders>
            <w:shd w:val="clear" w:color="000000" w:fill="FDE9D9"/>
            <w:noWrap/>
            <w:vAlign w:val="bottom"/>
            <w:hideMark/>
          </w:tcPr>
          <w:p w14:paraId="3D82CBA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2.63%</w:t>
            </w:r>
          </w:p>
        </w:tc>
        <w:tc>
          <w:tcPr>
            <w:tcW w:w="0" w:type="auto"/>
            <w:tcBorders>
              <w:top w:val="nil"/>
              <w:left w:val="nil"/>
              <w:bottom w:val="single" w:sz="4" w:space="0" w:color="auto"/>
              <w:right w:val="single" w:sz="4" w:space="0" w:color="auto"/>
            </w:tcBorders>
            <w:shd w:val="clear" w:color="000000" w:fill="FDE9D9"/>
            <w:noWrap/>
            <w:vAlign w:val="bottom"/>
            <w:hideMark/>
          </w:tcPr>
          <w:p w14:paraId="5DCB6AA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0.72%</w:t>
            </w:r>
          </w:p>
        </w:tc>
        <w:tc>
          <w:tcPr>
            <w:tcW w:w="0" w:type="auto"/>
            <w:tcBorders>
              <w:top w:val="nil"/>
              <w:left w:val="nil"/>
              <w:bottom w:val="single" w:sz="4" w:space="0" w:color="auto"/>
              <w:right w:val="single" w:sz="4" w:space="0" w:color="auto"/>
            </w:tcBorders>
            <w:shd w:val="clear" w:color="000000" w:fill="B7DEE8"/>
            <w:noWrap/>
            <w:vAlign w:val="bottom"/>
            <w:hideMark/>
          </w:tcPr>
          <w:p w14:paraId="5FC88B1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2.55%</w:t>
            </w:r>
          </w:p>
        </w:tc>
        <w:tc>
          <w:tcPr>
            <w:tcW w:w="0" w:type="auto"/>
            <w:tcBorders>
              <w:top w:val="nil"/>
              <w:left w:val="nil"/>
              <w:bottom w:val="single" w:sz="4" w:space="0" w:color="auto"/>
              <w:right w:val="single" w:sz="4" w:space="0" w:color="auto"/>
            </w:tcBorders>
            <w:shd w:val="clear" w:color="000000" w:fill="B7DEE8"/>
            <w:noWrap/>
            <w:vAlign w:val="bottom"/>
            <w:hideMark/>
          </w:tcPr>
          <w:p w14:paraId="2B8C270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0.49%</w:t>
            </w:r>
          </w:p>
        </w:tc>
        <w:tc>
          <w:tcPr>
            <w:tcW w:w="0" w:type="auto"/>
            <w:tcBorders>
              <w:top w:val="nil"/>
              <w:left w:val="nil"/>
              <w:bottom w:val="single" w:sz="4" w:space="0" w:color="auto"/>
              <w:right w:val="single" w:sz="4" w:space="0" w:color="auto"/>
            </w:tcBorders>
            <w:shd w:val="clear" w:color="000000" w:fill="B7DEE8"/>
            <w:noWrap/>
            <w:vAlign w:val="bottom"/>
            <w:hideMark/>
          </w:tcPr>
          <w:p w14:paraId="3AC20A3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1.4%</w:t>
            </w:r>
          </w:p>
        </w:tc>
        <w:tc>
          <w:tcPr>
            <w:tcW w:w="0" w:type="auto"/>
            <w:tcBorders>
              <w:top w:val="nil"/>
              <w:left w:val="nil"/>
              <w:bottom w:val="single" w:sz="4" w:space="0" w:color="auto"/>
              <w:right w:val="single" w:sz="4" w:space="0" w:color="auto"/>
            </w:tcBorders>
            <w:shd w:val="clear" w:color="000000" w:fill="DAEEF3"/>
            <w:noWrap/>
            <w:vAlign w:val="bottom"/>
            <w:hideMark/>
          </w:tcPr>
          <w:p w14:paraId="410DBAB0"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3.55%</w:t>
            </w:r>
          </w:p>
        </w:tc>
      </w:tr>
      <w:tr w:rsidR="00F20114" w:rsidRPr="008E0033" w14:paraId="769E4F27"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B40F0C" w14:textId="77777777" w:rsidR="00F20114" w:rsidRPr="008E0033" w:rsidRDefault="00F20114" w:rsidP="00F20114">
            <w:pPr>
              <w:rPr>
                <w:rFonts w:ascii="Calibri" w:hAnsi="Calibri"/>
                <w:sz w:val="16"/>
                <w:szCs w:val="16"/>
                <w:lang w:eastAsia="en-AU"/>
              </w:rPr>
            </w:pPr>
            <w:r w:rsidRPr="008E0033">
              <w:rPr>
                <w:rFonts w:ascii="Calibri" w:hAnsi="Calibri"/>
                <w:sz w:val="16"/>
                <w:szCs w:val="16"/>
                <w:lang w:eastAsia="en-AU"/>
              </w:rPr>
              <w:t>Yarra Ranges (S)</w:t>
            </w:r>
          </w:p>
        </w:tc>
        <w:tc>
          <w:tcPr>
            <w:tcW w:w="0" w:type="auto"/>
            <w:tcBorders>
              <w:top w:val="nil"/>
              <w:left w:val="nil"/>
              <w:bottom w:val="single" w:sz="4" w:space="0" w:color="auto"/>
              <w:right w:val="single" w:sz="4" w:space="0" w:color="auto"/>
            </w:tcBorders>
            <w:shd w:val="clear" w:color="000000" w:fill="FDE9D9"/>
            <w:noWrap/>
            <w:vAlign w:val="bottom"/>
            <w:hideMark/>
          </w:tcPr>
          <w:p w14:paraId="3EB22A48"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0.81%</w:t>
            </w:r>
          </w:p>
        </w:tc>
        <w:tc>
          <w:tcPr>
            <w:tcW w:w="0" w:type="auto"/>
            <w:tcBorders>
              <w:top w:val="nil"/>
              <w:left w:val="nil"/>
              <w:bottom w:val="single" w:sz="4" w:space="0" w:color="auto"/>
              <w:right w:val="single" w:sz="4" w:space="0" w:color="auto"/>
            </w:tcBorders>
            <w:shd w:val="clear" w:color="000000" w:fill="FDE9D9"/>
            <w:noWrap/>
            <w:vAlign w:val="bottom"/>
            <w:hideMark/>
          </w:tcPr>
          <w:p w14:paraId="540CEDB6"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0.44%</w:t>
            </w:r>
          </w:p>
        </w:tc>
        <w:tc>
          <w:tcPr>
            <w:tcW w:w="0" w:type="auto"/>
            <w:tcBorders>
              <w:top w:val="nil"/>
              <w:left w:val="nil"/>
              <w:bottom w:val="single" w:sz="4" w:space="0" w:color="auto"/>
              <w:right w:val="single" w:sz="4" w:space="0" w:color="auto"/>
            </w:tcBorders>
            <w:shd w:val="clear" w:color="000000" w:fill="FDE9D9"/>
            <w:noWrap/>
            <w:vAlign w:val="bottom"/>
            <w:hideMark/>
          </w:tcPr>
          <w:p w14:paraId="0F084BFE"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0.37%</w:t>
            </w:r>
          </w:p>
        </w:tc>
        <w:tc>
          <w:tcPr>
            <w:tcW w:w="0" w:type="auto"/>
            <w:tcBorders>
              <w:top w:val="nil"/>
              <w:left w:val="nil"/>
              <w:bottom w:val="single" w:sz="4" w:space="0" w:color="auto"/>
              <w:right w:val="single" w:sz="4" w:space="0" w:color="auto"/>
            </w:tcBorders>
            <w:shd w:val="clear" w:color="000000" w:fill="FDE9D9"/>
            <w:noWrap/>
            <w:vAlign w:val="bottom"/>
            <w:hideMark/>
          </w:tcPr>
          <w:p w14:paraId="4C57FFD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0.29%</w:t>
            </w:r>
          </w:p>
        </w:tc>
        <w:tc>
          <w:tcPr>
            <w:tcW w:w="0" w:type="auto"/>
            <w:tcBorders>
              <w:top w:val="nil"/>
              <w:left w:val="nil"/>
              <w:bottom w:val="single" w:sz="4" w:space="0" w:color="auto"/>
              <w:right w:val="single" w:sz="4" w:space="0" w:color="auto"/>
            </w:tcBorders>
            <w:shd w:val="clear" w:color="000000" w:fill="FDE9D9"/>
            <w:noWrap/>
            <w:vAlign w:val="bottom"/>
            <w:hideMark/>
          </w:tcPr>
          <w:p w14:paraId="66FE367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0.73%</w:t>
            </w:r>
          </w:p>
        </w:tc>
        <w:tc>
          <w:tcPr>
            <w:tcW w:w="0" w:type="auto"/>
            <w:tcBorders>
              <w:top w:val="nil"/>
              <w:left w:val="nil"/>
              <w:bottom w:val="single" w:sz="4" w:space="0" w:color="auto"/>
              <w:right w:val="single" w:sz="4" w:space="0" w:color="auto"/>
            </w:tcBorders>
            <w:shd w:val="clear" w:color="000000" w:fill="FDE9D9"/>
            <w:noWrap/>
            <w:vAlign w:val="bottom"/>
            <w:hideMark/>
          </w:tcPr>
          <w:p w14:paraId="417C53E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-0.44%</w:t>
            </w:r>
          </w:p>
        </w:tc>
        <w:tc>
          <w:tcPr>
            <w:tcW w:w="0" w:type="auto"/>
            <w:tcBorders>
              <w:top w:val="nil"/>
              <w:left w:val="nil"/>
              <w:bottom w:val="single" w:sz="4" w:space="0" w:color="auto"/>
              <w:right w:val="single" w:sz="4" w:space="0" w:color="auto"/>
            </w:tcBorders>
            <w:shd w:val="clear" w:color="000000" w:fill="B7DEE8"/>
            <w:noWrap/>
            <w:vAlign w:val="bottom"/>
            <w:hideMark/>
          </w:tcPr>
          <w:p w14:paraId="59AB1171"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3.43%</w:t>
            </w:r>
          </w:p>
        </w:tc>
        <w:tc>
          <w:tcPr>
            <w:tcW w:w="0" w:type="auto"/>
            <w:tcBorders>
              <w:top w:val="nil"/>
              <w:left w:val="nil"/>
              <w:bottom w:val="single" w:sz="4" w:space="0" w:color="auto"/>
              <w:right w:val="single" w:sz="4" w:space="0" w:color="auto"/>
            </w:tcBorders>
            <w:shd w:val="clear" w:color="000000" w:fill="B7DEE8"/>
            <w:noWrap/>
            <w:vAlign w:val="bottom"/>
            <w:hideMark/>
          </w:tcPr>
          <w:p w14:paraId="12C8FE0F"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-0.37%</w:t>
            </w:r>
          </w:p>
        </w:tc>
        <w:tc>
          <w:tcPr>
            <w:tcW w:w="0" w:type="auto"/>
            <w:tcBorders>
              <w:top w:val="nil"/>
              <w:left w:val="nil"/>
              <w:bottom w:val="single" w:sz="4" w:space="0" w:color="auto"/>
              <w:right w:val="single" w:sz="4" w:space="0" w:color="auto"/>
            </w:tcBorders>
            <w:shd w:val="clear" w:color="000000" w:fill="B7DEE8"/>
            <w:noWrap/>
            <w:vAlign w:val="bottom"/>
            <w:hideMark/>
          </w:tcPr>
          <w:p w14:paraId="43C74F6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0.0%</w:t>
            </w:r>
          </w:p>
        </w:tc>
        <w:tc>
          <w:tcPr>
            <w:tcW w:w="0" w:type="auto"/>
            <w:tcBorders>
              <w:top w:val="nil"/>
              <w:left w:val="nil"/>
              <w:bottom w:val="single" w:sz="4" w:space="0" w:color="auto"/>
              <w:right w:val="single" w:sz="4" w:space="0" w:color="auto"/>
            </w:tcBorders>
            <w:shd w:val="clear" w:color="000000" w:fill="DAEEF3"/>
            <w:noWrap/>
            <w:vAlign w:val="bottom"/>
            <w:hideMark/>
          </w:tcPr>
          <w:p w14:paraId="503E06F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2.67%</w:t>
            </w:r>
          </w:p>
        </w:tc>
      </w:tr>
      <w:tr w:rsidR="00F20114" w:rsidRPr="008E0033" w14:paraId="1DF04373" w14:textId="77777777" w:rsidTr="00F2011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4F7D0F" w14:textId="77777777" w:rsidR="00F20114" w:rsidRPr="008E0033" w:rsidRDefault="00F20114" w:rsidP="00F20114">
            <w:pPr>
              <w:rPr>
                <w:rFonts w:ascii="Calibri" w:hAnsi="Calibri"/>
                <w:sz w:val="16"/>
                <w:szCs w:val="16"/>
                <w:lang w:eastAsia="en-AU"/>
              </w:rPr>
            </w:pPr>
            <w:proofErr w:type="spellStart"/>
            <w:r w:rsidRPr="008E0033">
              <w:rPr>
                <w:rFonts w:ascii="Calibri" w:hAnsi="Calibri"/>
                <w:sz w:val="16"/>
                <w:szCs w:val="16"/>
                <w:lang w:eastAsia="en-AU"/>
              </w:rPr>
              <w:t>Yarriambiack</w:t>
            </w:r>
            <w:proofErr w:type="spellEnd"/>
            <w:r w:rsidRPr="008E0033">
              <w:rPr>
                <w:rFonts w:ascii="Calibri" w:hAnsi="Calibri"/>
                <w:sz w:val="16"/>
                <w:szCs w:val="16"/>
                <w:lang w:eastAsia="en-AU"/>
              </w:rPr>
              <w:t xml:space="preserve"> (S)</w:t>
            </w:r>
          </w:p>
        </w:tc>
        <w:tc>
          <w:tcPr>
            <w:tcW w:w="0" w:type="auto"/>
            <w:tcBorders>
              <w:top w:val="nil"/>
              <w:left w:val="nil"/>
              <w:bottom w:val="single" w:sz="4" w:space="0" w:color="auto"/>
              <w:right w:val="single" w:sz="4" w:space="0" w:color="auto"/>
            </w:tcBorders>
            <w:shd w:val="clear" w:color="000000" w:fill="FDE9D9"/>
            <w:noWrap/>
            <w:vAlign w:val="bottom"/>
            <w:hideMark/>
          </w:tcPr>
          <w:p w14:paraId="2E7D85E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0.40%</w:t>
            </w:r>
          </w:p>
        </w:tc>
        <w:tc>
          <w:tcPr>
            <w:tcW w:w="0" w:type="auto"/>
            <w:tcBorders>
              <w:top w:val="nil"/>
              <w:left w:val="nil"/>
              <w:bottom w:val="single" w:sz="4" w:space="0" w:color="auto"/>
              <w:right w:val="single" w:sz="4" w:space="0" w:color="auto"/>
            </w:tcBorders>
            <w:shd w:val="clear" w:color="000000" w:fill="FDE9D9"/>
            <w:noWrap/>
            <w:vAlign w:val="bottom"/>
            <w:hideMark/>
          </w:tcPr>
          <w:p w14:paraId="20861C59"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-1.94%</w:t>
            </w:r>
          </w:p>
        </w:tc>
        <w:tc>
          <w:tcPr>
            <w:tcW w:w="0" w:type="auto"/>
            <w:tcBorders>
              <w:top w:val="nil"/>
              <w:left w:val="nil"/>
              <w:bottom w:val="single" w:sz="4" w:space="0" w:color="auto"/>
              <w:right w:val="single" w:sz="4" w:space="0" w:color="auto"/>
            </w:tcBorders>
            <w:shd w:val="clear" w:color="000000" w:fill="FDE9D9"/>
            <w:noWrap/>
            <w:vAlign w:val="bottom"/>
            <w:hideMark/>
          </w:tcPr>
          <w:p w14:paraId="53FA55BA"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2.33%</w:t>
            </w:r>
          </w:p>
        </w:tc>
        <w:tc>
          <w:tcPr>
            <w:tcW w:w="0" w:type="auto"/>
            <w:tcBorders>
              <w:top w:val="nil"/>
              <w:left w:val="nil"/>
              <w:bottom w:val="single" w:sz="4" w:space="0" w:color="auto"/>
              <w:right w:val="single" w:sz="4" w:space="0" w:color="auto"/>
            </w:tcBorders>
            <w:shd w:val="clear" w:color="000000" w:fill="FDE9D9"/>
            <w:noWrap/>
            <w:vAlign w:val="bottom"/>
            <w:hideMark/>
          </w:tcPr>
          <w:p w14:paraId="45B7A0C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-1.49%</w:t>
            </w:r>
          </w:p>
        </w:tc>
        <w:tc>
          <w:tcPr>
            <w:tcW w:w="0" w:type="auto"/>
            <w:tcBorders>
              <w:top w:val="nil"/>
              <w:left w:val="nil"/>
              <w:bottom w:val="single" w:sz="4" w:space="0" w:color="auto"/>
              <w:right w:val="single" w:sz="4" w:space="0" w:color="auto"/>
            </w:tcBorders>
            <w:shd w:val="clear" w:color="000000" w:fill="FDE9D9"/>
            <w:noWrap/>
            <w:vAlign w:val="bottom"/>
            <w:hideMark/>
          </w:tcPr>
          <w:p w14:paraId="309FD4D3"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0.50%</w:t>
            </w:r>
          </w:p>
        </w:tc>
        <w:tc>
          <w:tcPr>
            <w:tcW w:w="0" w:type="auto"/>
            <w:tcBorders>
              <w:top w:val="nil"/>
              <w:left w:val="nil"/>
              <w:bottom w:val="single" w:sz="4" w:space="0" w:color="auto"/>
              <w:right w:val="single" w:sz="4" w:space="0" w:color="auto"/>
            </w:tcBorders>
            <w:shd w:val="clear" w:color="000000" w:fill="FDE9D9"/>
            <w:noWrap/>
            <w:vAlign w:val="bottom"/>
            <w:hideMark/>
          </w:tcPr>
          <w:p w14:paraId="7EB47705"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-1.99%</w:t>
            </w:r>
          </w:p>
        </w:tc>
        <w:tc>
          <w:tcPr>
            <w:tcW w:w="0" w:type="auto"/>
            <w:tcBorders>
              <w:top w:val="nil"/>
              <w:left w:val="nil"/>
              <w:bottom w:val="single" w:sz="4" w:space="0" w:color="auto"/>
              <w:right w:val="single" w:sz="4" w:space="0" w:color="auto"/>
            </w:tcBorders>
            <w:shd w:val="clear" w:color="000000" w:fill="B7DEE8"/>
            <w:noWrap/>
            <w:vAlign w:val="bottom"/>
            <w:hideMark/>
          </w:tcPr>
          <w:p w14:paraId="6C46E8E2"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5.49%</w:t>
            </w:r>
          </w:p>
        </w:tc>
        <w:tc>
          <w:tcPr>
            <w:tcW w:w="0" w:type="auto"/>
            <w:tcBorders>
              <w:top w:val="nil"/>
              <w:left w:val="nil"/>
              <w:bottom w:val="single" w:sz="4" w:space="0" w:color="auto"/>
              <w:right w:val="single" w:sz="4" w:space="0" w:color="auto"/>
            </w:tcBorders>
            <w:shd w:val="clear" w:color="000000" w:fill="B7DEE8"/>
            <w:noWrap/>
            <w:vAlign w:val="bottom"/>
            <w:hideMark/>
          </w:tcPr>
          <w:p w14:paraId="77611FDB"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-2.31%</w:t>
            </w:r>
          </w:p>
        </w:tc>
        <w:tc>
          <w:tcPr>
            <w:tcW w:w="0" w:type="auto"/>
            <w:tcBorders>
              <w:top w:val="nil"/>
              <w:left w:val="nil"/>
              <w:bottom w:val="single" w:sz="4" w:space="0" w:color="auto"/>
              <w:right w:val="single" w:sz="4" w:space="0" w:color="auto"/>
            </w:tcBorders>
            <w:shd w:val="clear" w:color="000000" w:fill="B7DEE8"/>
            <w:noWrap/>
            <w:vAlign w:val="bottom"/>
            <w:hideMark/>
          </w:tcPr>
          <w:p w14:paraId="64101B34"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0.1%</w:t>
            </w:r>
          </w:p>
        </w:tc>
        <w:tc>
          <w:tcPr>
            <w:tcW w:w="0" w:type="auto"/>
            <w:tcBorders>
              <w:top w:val="nil"/>
              <w:left w:val="nil"/>
              <w:bottom w:val="single" w:sz="4" w:space="0" w:color="auto"/>
              <w:right w:val="single" w:sz="4" w:space="0" w:color="auto"/>
            </w:tcBorders>
            <w:shd w:val="clear" w:color="000000" w:fill="DAEEF3"/>
            <w:noWrap/>
            <w:vAlign w:val="bottom"/>
            <w:hideMark/>
          </w:tcPr>
          <w:p w14:paraId="58F08377" w14:textId="77777777" w:rsidR="00F20114" w:rsidRPr="008E0033" w:rsidRDefault="00F20114" w:rsidP="00F20114">
            <w:pPr>
              <w:jc w:val="right"/>
              <w:rPr>
                <w:rFonts w:ascii="Calibri" w:hAnsi="Calibri"/>
                <w:color w:val="000000"/>
                <w:sz w:val="16"/>
                <w:szCs w:val="16"/>
                <w:lang w:eastAsia="en-AU"/>
              </w:rPr>
            </w:pPr>
            <w:r w:rsidRPr="008E0033">
              <w:rPr>
                <w:rFonts w:ascii="Calibri" w:hAnsi="Calibri"/>
                <w:color w:val="000000"/>
                <w:sz w:val="16"/>
                <w:szCs w:val="16"/>
                <w:lang w:eastAsia="en-AU"/>
              </w:rPr>
              <w:t>0.66%</w:t>
            </w:r>
          </w:p>
        </w:tc>
      </w:tr>
    </w:tbl>
    <w:p w14:paraId="255856BD" w14:textId="77777777" w:rsidR="00F20114" w:rsidRDefault="00F20114" w:rsidP="00F20114">
      <w:pPr>
        <w:rPr>
          <w:sz w:val="16"/>
          <w:szCs w:val="16"/>
        </w:rPr>
      </w:pPr>
      <w:r w:rsidRPr="0062612E">
        <w:rPr>
          <w:sz w:val="16"/>
          <w:szCs w:val="16"/>
        </w:rPr>
        <w:t>Notes:</w:t>
      </w:r>
    </w:p>
    <w:p w14:paraId="490460D5" w14:textId="77777777" w:rsidR="00F20114" w:rsidRDefault="00F20114" w:rsidP="00F20114">
      <w:pPr>
        <w:rPr>
          <w:sz w:val="16"/>
          <w:szCs w:val="16"/>
        </w:rPr>
      </w:pPr>
      <w:r>
        <w:rPr>
          <w:sz w:val="16"/>
          <w:szCs w:val="16"/>
        </w:rPr>
        <w:t>2014-15 trends based on previous year change for assessments and population</w:t>
      </w:r>
    </w:p>
    <w:p w14:paraId="4803B2DB" w14:textId="77777777" w:rsidR="00F20114" w:rsidRPr="0062612E" w:rsidRDefault="00F20114" w:rsidP="00F20114">
      <w:pPr>
        <w:rPr>
          <w:sz w:val="16"/>
          <w:szCs w:val="16"/>
        </w:rPr>
      </w:pPr>
      <w:r>
        <w:rPr>
          <w:sz w:val="16"/>
          <w:szCs w:val="16"/>
        </w:rPr>
        <w:t>Supplementary rates based on experience over 3 years to 2013-14</w:t>
      </w:r>
      <w:r w:rsidRPr="0062612E">
        <w:rPr>
          <w:sz w:val="16"/>
          <w:szCs w:val="16"/>
        </w:rPr>
        <w:br w:type="page"/>
      </w:r>
    </w:p>
    <w:p w14:paraId="50F14F7A" w14:textId="25E83940" w:rsidR="00F20114" w:rsidRDefault="00F20114" w:rsidP="00F20114">
      <w:pPr>
        <w:pStyle w:val="Heading3"/>
      </w:pPr>
      <w:r>
        <w:lastRenderedPageBreak/>
        <w:t>Possibility of Adverse Impacts on Total Rates Revenue from Reduced Assessments</w:t>
      </w:r>
    </w:p>
    <w:p w14:paraId="5482E5F1" w14:textId="77777777" w:rsidR="00F20114" w:rsidRPr="00F20114" w:rsidRDefault="00F20114" w:rsidP="00F20114"/>
    <w:p w14:paraId="3CBC3A99" w14:textId="77777777" w:rsidR="00F20114" w:rsidRDefault="00F20114" w:rsidP="00F20114">
      <w:r>
        <w:t xml:space="preserve">While it has been argued that council costs are driven less by the number of assessments than population there are a range of council services where the relationship between service costs and both these variables is weak or tenuous. Their use effectively as de facto indicators of “rates need” poses particular issues where services tend to be neutral to changes in their number. Even where services may be argued to be more closely correlated to assessments and/or population it may be difficult to reduce, maintain or constrain costs dictated by capped levels of rates because of fixed costs. </w:t>
      </w:r>
    </w:p>
    <w:p w14:paraId="1C20D694" w14:textId="77777777" w:rsidR="00F20114" w:rsidRDefault="00F20114" w:rsidP="00F20114"/>
    <w:p w14:paraId="32D49AD2" w14:textId="3C8C7A87" w:rsidR="00F20114" w:rsidRDefault="00F20114" w:rsidP="00F20114">
      <w:r>
        <w:t xml:space="preserve">Given that the bound of total rate revenue (increase) is determined by the amount per assessment there will be situations where </w:t>
      </w:r>
      <w:r w:rsidRPr="00BF25E5">
        <w:rPr>
          <w:i/>
        </w:rPr>
        <w:t>total rates</w:t>
      </w:r>
      <w:r>
        <w:t xml:space="preserve"> rendered by the cap will increase at a lesser rate than the cap because the number of assessments may have fallen.  Assume, for example, that required total council expenses for a service which is largely unaffected by the number of assessments</w:t>
      </w:r>
      <w:r w:rsidR="00C93A42">
        <w:t>,</w:t>
      </w:r>
      <w:r>
        <w:t xml:space="preserve"> increases at the same rate as the cap but there is a decline in the number of assessments.  It follows that the available </w:t>
      </w:r>
      <w:r w:rsidRPr="00335DB3">
        <w:rPr>
          <w:i/>
        </w:rPr>
        <w:t>total rates</w:t>
      </w:r>
      <w:r>
        <w:t xml:space="preserve"> revenue delivered by the cap for this service will b</w:t>
      </w:r>
      <w:r w:rsidR="005F0E18">
        <w:t xml:space="preserve">e less than the cap itself. </w:t>
      </w:r>
    </w:p>
    <w:p w14:paraId="214446D4" w14:textId="77777777" w:rsidR="00F20114" w:rsidRDefault="00F20114" w:rsidP="00F20114"/>
    <w:p w14:paraId="535DF301" w14:textId="6ADBAD9D" w:rsidR="00F20114" w:rsidRDefault="00F20114" w:rsidP="00F20114">
      <w:r>
        <w:t xml:space="preserve">Some simple modelling shows the potential for “lower-than cap” movements in </w:t>
      </w:r>
      <w:r w:rsidRPr="000A2AC2">
        <w:rPr>
          <w:i/>
        </w:rPr>
        <w:t>total</w:t>
      </w:r>
      <w:r>
        <w:t xml:space="preserve"> rate revenues arising from a decline in assessment numbers - noting that the same issue would also arise if rates per head were to be used. Shaded cells in the table below show instances in past years where the change in total rates revenue is less than the cap as proposed by the ESC.  It shows several cases in most years where the increase in total rates is less than the capped increase per assessment – even accounting for supplementary rates growth. Surprisingly, it also shows some instances of decline in total rate revenues</w:t>
      </w:r>
      <w:r>
        <w:rPr>
          <w:rStyle w:val="FootnoteReference"/>
        </w:rPr>
        <w:footnoteReference w:id="3"/>
      </w:r>
      <w:r>
        <w:t xml:space="preserve">.  </w:t>
      </w:r>
    </w:p>
    <w:p w14:paraId="56404BD9" w14:textId="77777777" w:rsidR="00F20114" w:rsidRDefault="00F20114" w:rsidP="00F20114"/>
    <w:tbl>
      <w:tblPr>
        <w:tblW w:w="9500" w:type="dxa"/>
        <w:tblInd w:w="93" w:type="dxa"/>
        <w:tblLook w:val="04A0" w:firstRow="1" w:lastRow="0" w:firstColumn="1" w:lastColumn="0" w:noHBand="0" w:noVBand="1"/>
      </w:tblPr>
      <w:tblGrid>
        <w:gridCol w:w="2500"/>
        <w:gridCol w:w="960"/>
        <w:gridCol w:w="1220"/>
        <w:gridCol w:w="960"/>
        <w:gridCol w:w="960"/>
        <w:gridCol w:w="960"/>
        <w:gridCol w:w="960"/>
        <w:gridCol w:w="980"/>
      </w:tblGrid>
      <w:tr w:rsidR="00F20114" w:rsidRPr="00934350" w14:paraId="2A543EB3" w14:textId="77777777" w:rsidTr="00F20114">
        <w:trPr>
          <w:trHeight w:val="255"/>
          <w:tblHeader/>
        </w:trPr>
        <w:tc>
          <w:tcPr>
            <w:tcW w:w="250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7BAA9F8A"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BB77DEC" w14:textId="77777777" w:rsidR="00F20114" w:rsidRPr="00934350" w:rsidRDefault="00F20114" w:rsidP="00F20114">
            <w:pPr>
              <w:jc w:val="center"/>
              <w:rPr>
                <w:rFonts w:ascii="Calibri" w:hAnsi="Calibri"/>
                <w:b/>
                <w:bCs/>
                <w:color w:val="000000"/>
                <w:sz w:val="20"/>
                <w:lang w:eastAsia="en-AU"/>
              </w:rPr>
            </w:pPr>
            <w:r w:rsidRPr="00934350">
              <w:rPr>
                <w:rFonts w:ascii="Calibri" w:hAnsi="Calibri"/>
                <w:b/>
                <w:bCs/>
                <w:color w:val="000000"/>
                <w:sz w:val="20"/>
                <w:lang w:eastAsia="en-AU"/>
              </w:rPr>
              <w:t>2008-09</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966AC44" w14:textId="77777777" w:rsidR="00F20114" w:rsidRPr="00934350" w:rsidRDefault="00F20114" w:rsidP="00F20114">
            <w:pPr>
              <w:jc w:val="center"/>
              <w:rPr>
                <w:rFonts w:ascii="Calibri" w:hAnsi="Calibri"/>
                <w:b/>
                <w:bCs/>
                <w:color w:val="000000"/>
                <w:sz w:val="20"/>
                <w:lang w:eastAsia="en-AU"/>
              </w:rPr>
            </w:pPr>
            <w:r w:rsidRPr="00934350">
              <w:rPr>
                <w:rFonts w:ascii="Calibri" w:hAnsi="Calibri"/>
                <w:b/>
                <w:bCs/>
                <w:color w:val="000000"/>
                <w:sz w:val="20"/>
                <w:lang w:eastAsia="en-AU"/>
              </w:rPr>
              <w:t>2009-10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2EB64E6" w14:textId="77777777" w:rsidR="00F20114" w:rsidRPr="00934350" w:rsidRDefault="00F20114" w:rsidP="00F20114">
            <w:pPr>
              <w:jc w:val="center"/>
              <w:rPr>
                <w:rFonts w:ascii="Calibri" w:hAnsi="Calibri"/>
                <w:b/>
                <w:bCs/>
                <w:color w:val="000000"/>
                <w:sz w:val="20"/>
                <w:lang w:eastAsia="en-AU"/>
              </w:rPr>
            </w:pPr>
            <w:r w:rsidRPr="00934350">
              <w:rPr>
                <w:rFonts w:ascii="Calibri" w:hAnsi="Calibri"/>
                <w:b/>
                <w:bCs/>
                <w:color w:val="000000"/>
                <w:sz w:val="20"/>
                <w:lang w:eastAsia="en-AU"/>
              </w:rPr>
              <w:t>2010-11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B8AAE3B" w14:textId="77777777" w:rsidR="00F20114" w:rsidRPr="00934350" w:rsidRDefault="00F20114" w:rsidP="00F20114">
            <w:pPr>
              <w:jc w:val="center"/>
              <w:rPr>
                <w:rFonts w:ascii="Calibri" w:hAnsi="Calibri"/>
                <w:b/>
                <w:bCs/>
                <w:color w:val="000000"/>
                <w:sz w:val="20"/>
                <w:lang w:eastAsia="en-AU"/>
              </w:rPr>
            </w:pPr>
            <w:r w:rsidRPr="00934350">
              <w:rPr>
                <w:rFonts w:ascii="Calibri" w:hAnsi="Calibri"/>
                <w:b/>
                <w:bCs/>
                <w:color w:val="000000"/>
                <w:sz w:val="20"/>
                <w:lang w:eastAsia="en-AU"/>
              </w:rPr>
              <w:t>2011-12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24B161B" w14:textId="77777777" w:rsidR="00F20114" w:rsidRPr="00934350" w:rsidRDefault="00F20114" w:rsidP="00F20114">
            <w:pPr>
              <w:jc w:val="center"/>
              <w:rPr>
                <w:rFonts w:ascii="Calibri" w:hAnsi="Calibri"/>
                <w:b/>
                <w:bCs/>
                <w:color w:val="000000"/>
                <w:sz w:val="20"/>
                <w:lang w:eastAsia="en-AU"/>
              </w:rPr>
            </w:pPr>
            <w:r w:rsidRPr="00934350">
              <w:rPr>
                <w:rFonts w:ascii="Calibri" w:hAnsi="Calibri"/>
                <w:b/>
                <w:bCs/>
                <w:color w:val="000000"/>
                <w:sz w:val="20"/>
                <w:lang w:eastAsia="en-AU"/>
              </w:rPr>
              <w:t>2012-13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59BC945" w14:textId="77777777" w:rsidR="00F20114" w:rsidRPr="00934350" w:rsidRDefault="00F20114" w:rsidP="00F20114">
            <w:pPr>
              <w:jc w:val="center"/>
              <w:rPr>
                <w:rFonts w:ascii="Calibri" w:hAnsi="Calibri"/>
                <w:b/>
                <w:bCs/>
                <w:color w:val="000000"/>
                <w:sz w:val="20"/>
                <w:lang w:eastAsia="en-AU"/>
              </w:rPr>
            </w:pPr>
            <w:r w:rsidRPr="00934350">
              <w:rPr>
                <w:rFonts w:ascii="Calibri" w:hAnsi="Calibri"/>
                <w:b/>
                <w:bCs/>
                <w:color w:val="000000"/>
                <w:sz w:val="20"/>
                <w:lang w:eastAsia="en-AU"/>
              </w:rPr>
              <w:t>2013-14</w:t>
            </w:r>
          </w:p>
        </w:tc>
        <w:tc>
          <w:tcPr>
            <w:tcW w:w="980" w:type="dxa"/>
            <w:tcBorders>
              <w:top w:val="single" w:sz="4" w:space="0" w:color="auto"/>
              <w:left w:val="nil"/>
              <w:bottom w:val="single" w:sz="4" w:space="0" w:color="auto"/>
              <w:right w:val="single" w:sz="4" w:space="0" w:color="auto"/>
            </w:tcBorders>
            <w:shd w:val="clear" w:color="000000" w:fill="000000"/>
            <w:noWrap/>
            <w:vAlign w:val="bottom"/>
            <w:hideMark/>
          </w:tcPr>
          <w:p w14:paraId="24855680"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 </w:t>
            </w:r>
          </w:p>
        </w:tc>
      </w:tr>
      <w:tr w:rsidR="00F20114" w:rsidRPr="00934350" w14:paraId="3A869CD2" w14:textId="77777777" w:rsidTr="00F20114">
        <w:trPr>
          <w:trHeight w:val="255"/>
          <w:tblHeader/>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CF61677" w14:textId="77777777" w:rsidR="00F20114" w:rsidRPr="00934350" w:rsidRDefault="00F20114" w:rsidP="00F20114">
            <w:pPr>
              <w:rPr>
                <w:rFonts w:ascii="Calibri" w:hAnsi="Calibri"/>
                <w:b/>
                <w:bCs/>
                <w:sz w:val="20"/>
                <w:lang w:eastAsia="en-AU"/>
              </w:rPr>
            </w:pPr>
            <w:r w:rsidRPr="00934350">
              <w:rPr>
                <w:rFonts w:ascii="Calibri" w:hAnsi="Calibri"/>
                <w:b/>
                <w:bCs/>
                <w:sz w:val="20"/>
                <w:lang w:eastAsia="en-AU"/>
              </w:rPr>
              <w:t xml:space="preserve">Cap on Rates </w:t>
            </w:r>
            <w:r w:rsidRPr="00934350">
              <w:rPr>
                <w:rFonts w:ascii="Calibri" w:hAnsi="Calibri"/>
                <w:b/>
                <w:bCs/>
                <w:i/>
                <w:iCs/>
                <w:sz w:val="20"/>
                <w:lang w:eastAsia="en-AU"/>
              </w:rPr>
              <w:t>per Assessment</w:t>
            </w:r>
          </w:p>
        </w:tc>
        <w:tc>
          <w:tcPr>
            <w:tcW w:w="960" w:type="dxa"/>
            <w:tcBorders>
              <w:top w:val="nil"/>
              <w:left w:val="nil"/>
              <w:bottom w:val="single" w:sz="4" w:space="0" w:color="auto"/>
              <w:right w:val="single" w:sz="4" w:space="0" w:color="auto"/>
            </w:tcBorders>
            <w:shd w:val="clear" w:color="auto" w:fill="auto"/>
            <w:vAlign w:val="center"/>
            <w:hideMark/>
          </w:tcPr>
          <w:p w14:paraId="07C8D157" w14:textId="77777777" w:rsidR="00F20114" w:rsidRPr="00934350" w:rsidRDefault="00F20114" w:rsidP="00F20114">
            <w:pPr>
              <w:jc w:val="center"/>
              <w:rPr>
                <w:rFonts w:ascii="Calibri" w:hAnsi="Calibri"/>
                <w:color w:val="000000"/>
                <w:sz w:val="20"/>
                <w:lang w:eastAsia="en-AU"/>
              </w:rPr>
            </w:pPr>
            <w:r w:rsidRPr="00934350">
              <w:rPr>
                <w:rFonts w:ascii="Calibri" w:hAnsi="Calibri"/>
                <w:color w:val="000000"/>
                <w:sz w:val="20"/>
                <w:lang w:eastAsia="en-AU"/>
              </w:rPr>
              <w:t>3.30%</w:t>
            </w:r>
          </w:p>
        </w:tc>
        <w:tc>
          <w:tcPr>
            <w:tcW w:w="1220" w:type="dxa"/>
            <w:tcBorders>
              <w:top w:val="nil"/>
              <w:left w:val="nil"/>
              <w:bottom w:val="single" w:sz="4" w:space="0" w:color="auto"/>
              <w:right w:val="single" w:sz="4" w:space="0" w:color="auto"/>
            </w:tcBorders>
            <w:shd w:val="clear" w:color="auto" w:fill="auto"/>
            <w:vAlign w:val="center"/>
            <w:hideMark/>
          </w:tcPr>
          <w:p w14:paraId="3E139EB1" w14:textId="77777777" w:rsidR="00F20114" w:rsidRPr="00934350" w:rsidRDefault="00F20114" w:rsidP="00F20114">
            <w:pPr>
              <w:jc w:val="center"/>
              <w:rPr>
                <w:rFonts w:ascii="Calibri" w:hAnsi="Calibri"/>
                <w:color w:val="000000"/>
                <w:sz w:val="20"/>
                <w:lang w:eastAsia="en-AU"/>
              </w:rPr>
            </w:pPr>
            <w:r w:rsidRPr="00934350">
              <w:rPr>
                <w:rFonts w:ascii="Calibri" w:hAnsi="Calibri"/>
                <w:color w:val="000000"/>
                <w:sz w:val="20"/>
                <w:lang w:eastAsia="en-AU"/>
              </w:rPr>
              <w:t>2.35%</w:t>
            </w:r>
          </w:p>
        </w:tc>
        <w:tc>
          <w:tcPr>
            <w:tcW w:w="960" w:type="dxa"/>
            <w:tcBorders>
              <w:top w:val="nil"/>
              <w:left w:val="nil"/>
              <w:bottom w:val="single" w:sz="4" w:space="0" w:color="auto"/>
              <w:right w:val="single" w:sz="4" w:space="0" w:color="auto"/>
            </w:tcBorders>
            <w:shd w:val="clear" w:color="auto" w:fill="auto"/>
            <w:vAlign w:val="center"/>
            <w:hideMark/>
          </w:tcPr>
          <w:p w14:paraId="11BBCCF6" w14:textId="77777777" w:rsidR="00F20114" w:rsidRPr="00934350" w:rsidRDefault="00F20114" w:rsidP="00F20114">
            <w:pPr>
              <w:jc w:val="center"/>
              <w:rPr>
                <w:rFonts w:ascii="Calibri" w:hAnsi="Calibri"/>
                <w:color w:val="000000"/>
                <w:sz w:val="20"/>
                <w:lang w:eastAsia="en-AU"/>
              </w:rPr>
            </w:pPr>
            <w:r w:rsidRPr="00934350">
              <w:rPr>
                <w:rFonts w:ascii="Calibri" w:hAnsi="Calibri"/>
                <w:color w:val="000000"/>
                <w:sz w:val="20"/>
                <w:lang w:eastAsia="en-AU"/>
              </w:rPr>
              <w:t>3.00%</w:t>
            </w:r>
          </w:p>
        </w:tc>
        <w:tc>
          <w:tcPr>
            <w:tcW w:w="960" w:type="dxa"/>
            <w:tcBorders>
              <w:top w:val="nil"/>
              <w:left w:val="nil"/>
              <w:bottom w:val="single" w:sz="4" w:space="0" w:color="auto"/>
              <w:right w:val="single" w:sz="4" w:space="0" w:color="auto"/>
            </w:tcBorders>
            <w:shd w:val="clear" w:color="auto" w:fill="auto"/>
            <w:vAlign w:val="center"/>
            <w:hideMark/>
          </w:tcPr>
          <w:p w14:paraId="6CB2B8FB" w14:textId="77777777" w:rsidR="00F20114" w:rsidRPr="00934350" w:rsidRDefault="00F20114" w:rsidP="00F20114">
            <w:pPr>
              <w:jc w:val="center"/>
              <w:rPr>
                <w:rFonts w:ascii="Calibri" w:hAnsi="Calibri"/>
                <w:color w:val="000000"/>
                <w:sz w:val="20"/>
                <w:lang w:eastAsia="en-AU"/>
              </w:rPr>
            </w:pPr>
            <w:r w:rsidRPr="00934350">
              <w:rPr>
                <w:rFonts w:ascii="Calibri" w:hAnsi="Calibri"/>
                <w:color w:val="000000"/>
                <w:sz w:val="20"/>
                <w:lang w:eastAsia="en-AU"/>
              </w:rPr>
              <w:t>3.00%</w:t>
            </w:r>
          </w:p>
        </w:tc>
        <w:tc>
          <w:tcPr>
            <w:tcW w:w="960" w:type="dxa"/>
            <w:tcBorders>
              <w:top w:val="nil"/>
              <w:left w:val="nil"/>
              <w:bottom w:val="single" w:sz="4" w:space="0" w:color="auto"/>
              <w:right w:val="single" w:sz="4" w:space="0" w:color="auto"/>
            </w:tcBorders>
            <w:shd w:val="clear" w:color="auto" w:fill="auto"/>
            <w:vAlign w:val="center"/>
            <w:hideMark/>
          </w:tcPr>
          <w:p w14:paraId="1F6F5731" w14:textId="77777777" w:rsidR="00F20114" w:rsidRPr="00934350" w:rsidRDefault="00F20114" w:rsidP="00F20114">
            <w:pPr>
              <w:jc w:val="center"/>
              <w:rPr>
                <w:rFonts w:ascii="Calibri" w:hAnsi="Calibri"/>
                <w:color w:val="000000"/>
                <w:sz w:val="20"/>
                <w:lang w:eastAsia="en-AU"/>
              </w:rPr>
            </w:pPr>
            <w:r w:rsidRPr="00934350">
              <w:rPr>
                <w:rFonts w:ascii="Calibri" w:hAnsi="Calibri"/>
                <w:color w:val="000000"/>
                <w:sz w:val="20"/>
                <w:lang w:eastAsia="en-AU"/>
              </w:rPr>
              <w:t>2.65%</w:t>
            </w:r>
          </w:p>
        </w:tc>
        <w:tc>
          <w:tcPr>
            <w:tcW w:w="960" w:type="dxa"/>
            <w:tcBorders>
              <w:top w:val="nil"/>
              <w:left w:val="nil"/>
              <w:bottom w:val="single" w:sz="4" w:space="0" w:color="auto"/>
              <w:right w:val="single" w:sz="4" w:space="0" w:color="auto"/>
            </w:tcBorders>
            <w:shd w:val="clear" w:color="auto" w:fill="auto"/>
            <w:vAlign w:val="center"/>
            <w:hideMark/>
          </w:tcPr>
          <w:p w14:paraId="0D70BCC2" w14:textId="77777777" w:rsidR="00F20114" w:rsidRPr="00934350" w:rsidRDefault="00F20114" w:rsidP="00F20114">
            <w:pPr>
              <w:jc w:val="center"/>
              <w:rPr>
                <w:rFonts w:ascii="Calibri" w:hAnsi="Calibri"/>
                <w:color w:val="000000"/>
                <w:sz w:val="20"/>
                <w:lang w:eastAsia="en-AU"/>
              </w:rPr>
            </w:pPr>
            <w:r w:rsidRPr="00934350">
              <w:rPr>
                <w:rFonts w:ascii="Calibri" w:hAnsi="Calibri"/>
                <w:color w:val="000000"/>
                <w:sz w:val="20"/>
                <w:lang w:eastAsia="en-AU"/>
              </w:rPr>
              <w:t>2.45%</w:t>
            </w:r>
          </w:p>
        </w:tc>
        <w:tc>
          <w:tcPr>
            <w:tcW w:w="980" w:type="dxa"/>
            <w:tcBorders>
              <w:top w:val="nil"/>
              <w:left w:val="nil"/>
              <w:bottom w:val="single" w:sz="4" w:space="0" w:color="auto"/>
              <w:right w:val="single" w:sz="4" w:space="0" w:color="auto"/>
            </w:tcBorders>
            <w:shd w:val="clear" w:color="000000" w:fill="000000"/>
            <w:vAlign w:val="bottom"/>
            <w:hideMark/>
          </w:tcPr>
          <w:p w14:paraId="39061CAB"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 </w:t>
            </w:r>
          </w:p>
        </w:tc>
      </w:tr>
      <w:tr w:rsidR="00F20114" w:rsidRPr="00934350" w14:paraId="045AD32A" w14:textId="77777777" w:rsidTr="00F20114">
        <w:trPr>
          <w:trHeight w:val="255"/>
          <w:tblHeader/>
        </w:trPr>
        <w:tc>
          <w:tcPr>
            <w:tcW w:w="2500" w:type="dxa"/>
            <w:tcBorders>
              <w:top w:val="nil"/>
              <w:left w:val="single" w:sz="4" w:space="0" w:color="auto"/>
              <w:bottom w:val="single" w:sz="4" w:space="0" w:color="auto"/>
              <w:right w:val="single" w:sz="4" w:space="0" w:color="auto"/>
            </w:tcBorders>
            <w:shd w:val="clear" w:color="000000" w:fill="000000"/>
            <w:noWrap/>
            <w:vAlign w:val="bottom"/>
            <w:hideMark/>
          </w:tcPr>
          <w:p w14:paraId="593AEFD1" w14:textId="77777777" w:rsidR="00F20114" w:rsidRPr="00934350" w:rsidRDefault="00F20114" w:rsidP="00F20114">
            <w:pPr>
              <w:rPr>
                <w:rFonts w:ascii="Calibri" w:hAnsi="Calibri"/>
                <w:b/>
                <w:bCs/>
                <w:sz w:val="20"/>
                <w:lang w:eastAsia="en-AU"/>
              </w:rPr>
            </w:pPr>
            <w:r w:rsidRPr="00934350">
              <w:rPr>
                <w:rFonts w:ascii="Calibri" w:hAnsi="Calibri"/>
                <w:b/>
                <w:bCs/>
                <w:sz w:val="20"/>
                <w:lang w:eastAsia="en-AU"/>
              </w:rPr>
              <w:t> </w:t>
            </w:r>
          </w:p>
        </w:tc>
        <w:tc>
          <w:tcPr>
            <w:tcW w:w="960" w:type="dxa"/>
            <w:tcBorders>
              <w:top w:val="nil"/>
              <w:left w:val="nil"/>
              <w:bottom w:val="single" w:sz="4" w:space="0" w:color="auto"/>
              <w:right w:val="single" w:sz="4" w:space="0" w:color="auto"/>
            </w:tcBorders>
            <w:shd w:val="clear" w:color="000000" w:fill="000000"/>
            <w:noWrap/>
            <w:vAlign w:val="bottom"/>
            <w:hideMark/>
          </w:tcPr>
          <w:p w14:paraId="450F025D"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 </w:t>
            </w:r>
          </w:p>
        </w:tc>
        <w:tc>
          <w:tcPr>
            <w:tcW w:w="1220" w:type="dxa"/>
            <w:tcBorders>
              <w:top w:val="nil"/>
              <w:left w:val="nil"/>
              <w:bottom w:val="single" w:sz="4" w:space="0" w:color="auto"/>
              <w:right w:val="single" w:sz="4" w:space="0" w:color="auto"/>
            </w:tcBorders>
            <w:shd w:val="clear" w:color="000000" w:fill="000000"/>
            <w:noWrap/>
            <w:vAlign w:val="bottom"/>
            <w:hideMark/>
          </w:tcPr>
          <w:p w14:paraId="6BDA70AA"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 </w:t>
            </w:r>
          </w:p>
        </w:tc>
        <w:tc>
          <w:tcPr>
            <w:tcW w:w="960" w:type="dxa"/>
            <w:tcBorders>
              <w:top w:val="nil"/>
              <w:left w:val="nil"/>
              <w:bottom w:val="single" w:sz="4" w:space="0" w:color="auto"/>
              <w:right w:val="single" w:sz="4" w:space="0" w:color="auto"/>
            </w:tcBorders>
            <w:shd w:val="clear" w:color="000000" w:fill="000000"/>
            <w:noWrap/>
            <w:vAlign w:val="bottom"/>
            <w:hideMark/>
          </w:tcPr>
          <w:p w14:paraId="36212384"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 </w:t>
            </w:r>
          </w:p>
        </w:tc>
        <w:tc>
          <w:tcPr>
            <w:tcW w:w="960" w:type="dxa"/>
            <w:tcBorders>
              <w:top w:val="nil"/>
              <w:left w:val="nil"/>
              <w:bottom w:val="single" w:sz="4" w:space="0" w:color="auto"/>
              <w:right w:val="single" w:sz="4" w:space="0" w:color="auto"/>
            </w:tcBorders>
            <w:shd w:val="clear" w:color="000000" w:fill="000000"/>
            <w:noWrap/>
            <w:vAlign w:val="bottom"/>
            <w:hideMark/>
          </w:tcPr>
          <w:p w14:paraId="305C5F3D"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 </w:t>
            </w:r>
          </w:p>
        </w:tc>
        <w:tc>
          <w:tcPr>
            <w:tcW w:w="960" w:type="dxa"/>
            <w:tcBorders>
              <w:top w:val="nil"/>
              <w:left w:val="nil"/>
              <w:bottom w:val="single" w:sz="4" w:space="0" w:color="auto"/>
              <w:right w:val="single" w:sz="4" w:space="0" w:color="auto"/>
            </w:tcBorders>
            <w:shd w:val="clear" w:color="000000" w:fill="000000"/>
            <w:noWrap/>
            <w:vAlign w:val="bottom"/>
            <w:hideMark/>
          </w:tcPr>
          <w:p w14:paraId="62BE6A4B"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 </w:t>
            </w:r>
          </w:p>
        </w:tc>
        <w:tc>
          <w:tcPr>
            <w:tcW w:w="960" w:type="dxa"/>
            <w:tcBorders>
              <w:top w:val="nil"/>
              <w:left w:val="nil"/>
              <w:bottom w:val="single" w:sz="4" w:space="0" w:color="auto"/>
              <w:right w:val="single" w:sz="4" w:space="0" w:color="auto"/>
            </w:tcBorders>
            <w:shd w:val="clear" w:color="000000" w:fill="000000"/>
            <w:noWrap/>
            <w:vAlign w:val="bottom"/>
            <w:hideMark/>
          </w:tcPr>
          <w:p w14:paraId="3E00B5DC"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 </w:t>
            </w:r>
          </w:p>
        </w:tc>
        <w:tc>
          <w:tcPr>
            <w:tcW w:w="980" w:type="dxa"/>
            <w:tcBorders>
              <w:top w:val="nil"/>
              <w:left w:val="nil"/>
              <w:bottom w:val="single" w:sz="4" w:space="0" w:color="auto"/>
              <w:right w:val="single" w:sz="4" w:space="0" w:color="auto"/>
            </w:tcBorders>
            <w:shd w:val="clear" w:color="000000" w:fill="000000"/>
            <w:noWrap/>
            <w:vAlign w:val="bottom"/>
            <w:hideMark/>
          </w:tcPr>
          <w:p w14:paraId="3C4D8101"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 </w:t>
            </w:r>
          </w:p>
        </w:tc>
      </w:tr>
      <w:tr w:rsidR="00F20114" w:rsidRPr="00934350" w14:paraId="65D216B4" w14:textId="77777777" w:rsidTr="00F20114">
        <w:trPr>
          <w:trHeight w:val="1260"/>
          <w:tblHeader/>
        </w:trPr>
        <w:tc>
          <w:tcPr>
            <w:tcW w:w="2500" w:type="dxa"/>
            <w:tcBorders>
              <w:top w:val="nil"/>
              <w:left w:val="single" w:sz="4" w:space="0" w:color="auto"/>
              <w:bottom w:val="single" w:sz="4" w:space="0" w:color="auto"/>
              <w:right w:val="single" w:sz="4" w:space="0" w:color="auto"/>
            </w:tcBorders>
            <w:shd w:val="clear" w:color="000000" w:fill="000000"/>
            <w:vAlign w:val="bottom"/>
            <w:hideMark/>
          </w:tcPr>
          <w:p w14:paraId="2B63B6E5" w14:textId="77777777" w:rsidR="00F20114" w:rsidRPr="00934350" w:rsidRDefault="00F20114" w:rsidP="00F20114">
            <w:pPr>
              <w:rPr>
                <w:rFonts w:ascii="Calibri" w:hAnsi="Calibri"/>
                <w:b/>
                <w:bCs/>
                <w:sz w:val="20"/>
                <w:lang w:eastAsia="en-AU"/>
              </w:rPr>
            </w:pPr>
            <w:r w:rsidRPr="00934350">
              <w:rPr>
                <w:rFonts w:ascii="Calibri" w:hAnsi="Calibri"/>
                <w:b/>
                <w:bCs/>
                <w:sz w:val="20"/>
                <w:lang w:eastAsia="en-AU"/>
              </w:rPr>
              <w:t> </w:t>
            </w:r>
          </w:p>
        </w:tc>
        <w:tc>
          <w:tcPr>
            <w:tcW w:w="6020" w:type="dxa"/>
            <w:gridSpan w:val="6"/>
            <w:tcBorders>
              <w:top w:val="single" w:sz="4" w:space="0" w:color="auto"/>
              <w:left w:val="nil"/>
              <w:bottom w:val="single" w:sz="4" w:space="0" w:color="auto"/>
              <w:right w:val="single" w:sz="4" w:space="0" w:color="auto"/>
            </w:tcBorders>
            <w:shd w:val="clear" w:color="auto" w:fill="auto"/>
            <w:vAlign w:val="bottom"/>
            <w:hideMark/>
          </w:tcPr>
          <w:p w14:paraId="2B6C315B" w14:textId="77777777" w:rsidR="00F20114" w:rsidRPr="00934350" w:rsidRDefault="00F20114" w:rsidP="00F20114">
            <w:pPr>
              <w:jc w:val="center"/>
              <w:rPr>
                <w:rFonts w:ascii="Calibri" w:hAnsi="Calibri"/>
                <w:b/>
                <w:bCs/>
                <w:color w:val="000000"/>
                <w:sz w:val="20"/>
                <w:lang w:eastAsia="en-AU"/>
              </w:rPr>
            </w:pPr>
            <w:r w:rsidRPr="00934350">
              <w:rPr>
                <w:rFonts w:ascii="Calibri" w:hAnsi="Calibri"/>
                <w:b/>
                <w:bCs/>
                <w:color w:val="000000"/>
                <w:sz w:val="20"/>
                <w:lang w:eastAsia="en-AU"/>
              </w:rPr>
              <w:t xml:space="preserve">% Change in </w:t>
            </w:r>
            <w:r w:rsidRPr="00934350">
              <w:rPr>
                <w:rFonts w:ascii="Calibri" w:hAnsi="Calibri"/>
                <w:b/>
                <w:bCs/>
                <w:i/>
                <w:iCs/>
                <w:color w:val="000000"/>
                <w:sz w:val="20"/>
                <w:lang w:eastAsia="en-AU"/>
              </w:rPr>
              <w:t xml:space="preserve">Total Rate Revenue </w:t>
            </w:r>
            <w:r w:rsidRPr="00934350">
              <w:rPr>
                <w:rFonts w:ascii="Calibri" w:hAnsi="Calibri"/>
                <w:b/>
                <w:bCs/>
                <w:color w:val="000000"/>
                <w:sz w:val="20"/>
                <w:lang w:eastAsia="en-AU"/>
              </w:rPr>
              <w:t>(Municipal Charge &amp; General Rates) at Capped Rates per Assessment</w:t>
            </w:r>
          </w:p>
        </w:tc>
        <w:tc>
          <w:tcPr>
            <w:tcW w:w="980" w:type="dxa"/>
            <w:tcBorders>
              <w:top w:val="nil"/>
              <w:left w:val="nil"/>
              <w:bottom w:val="single" w:sz="4" w:space="0" w:color="auto"/>
              <w:right w:val="single" w:sz="4" w:space="0" w:color="auto"/>
            </w:tcBorders>
            <w:shd w:val="clear" w:color="auto" w:fill="auto"/>
            <w:vAlign w:val="bottom"/>
            <w:hideMark/>
          </w:tcPr>
          <w:p w14:paraId="70AE3271" w14:textId="77777777" w:rsidR="00F20114" w:rsidRPr="00934350" w:rsidRDefault="00F20114" w:rsidP="00F20114">
            <w:pPr>
              <w:rPr>
                <w:rFonts w:ascii="Calibri" w:hAnsi="Calibri"/>
                <w:b/>
                <w:bCs/>
                <w:color w:val="000000"/>
                <w:sz w:val="20"/>
                <w:lang w:eastAsia="en-AU"/>
              </w:rPr>
            </w:pPr>
            <w:r w:rsidRPr="00934350">
              <w:rPr>
                <w:rFonts w:ascii="Calibri" w:hAnsi="Calibri"/>
                <w:b/>
                <w:bCs/>
                <w:color w:val="000000"/>
                <w:sz w:val="20"/>
                <w:lang w:eastAsia="en-AU"/>
              </w:rPr>
              <w:t xml:space="preserve">Average Annual Change in </w:t>
            </w:r>
            <w:proofErr w:type="spellStart"/>
            <w:r w:rsidRPr="00934350">
              <w:rPr>
                <w:rFonts w:ascii="Calibri" w:hAnsi="Calibri"/>
                <w:b/>
                <w:bCs/>
                <w:color w:val="000000"/>
                <w:sz w:val="20"/>
                <w:lang w:eastAsia="en-AU"/>
              </w:rPr>
              <w:t>Supps</w:t>
            </w:r>
            <w:proofErr w:type="spellEnd"/>
            <w:r w:rsidRPr="00934350">
              <w:rPr>
                <w:rFonts w:ascii="Calibri" w:hAnsi="Calibri"/>
                <w:b/>
                <w:bCs/>
                <w:color w:val="000000"/>
                <w:sz w:val="20"/>
                <w:lang w:eastAsia="en-AU"/>
              </w:rPr>
              <w:t xml:space="preserve"> Rate Revenue</w:t>
            </w:r>
          </w:p>
        </w:tc>
      </w:tr>
      <w:tr w:rsidR="00F20114" w:rsidRPr="00934350" w14:paraId="7969FF0B"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7BDE8C2"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ALPINE(S)</w:t>
            </w:r>
          </w:p>
        </w:tc>
        <w:tc>
          <w:tcPr>
            <w:tcW w:w="960" w:type="dxa"/>
            <w:tcBorders>
              <w:top w:val="nil"/>
              <w:left w:val="nil"/>
              <w:bottom w:val="single" w:sz="4" w:space="0" w:color="auto"/>
              <w:right w:val="single" w:sz="4" w:space="0" w:color="auto"/>
            </w:tcBorders>
            <w:shd w:val="clear" w:color="auto" w:fill="auto"/>
            <w:noWrap/>
            <w:vAlign w:val="bottom"/>
            <w:hideMark/>
          </w:tcPr>
          <w:p w14:paraId="5B972D7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3.72%</w:t>
            </w:r>
          </w:p>
        </w:tc>
        <w:tc>
          <w:tcPr>
            <w:tcW w:w="1220" w:type="dxa"/>
            <w:tcBorders>
              <w:top w:val="nil"/>
              <w:left w:val="nil"/>
              <w:bottom w:val="single" w:sz="4" w:space="0" w:color="auto"/>
              <w:right w:val="single" w:sz="4" w:space="0" w:color="auto"/>
            </w:tcBorders>
            <w:shd w:val="clear" w:color="auto" w:fill="auto"/>
            <w:noWrap/>
            <w:vAlign w:val="bottom"/>
            <w:hideMark/>
          </w:tcPr>
          <w:p w14:paraId="51B944D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3.2%</w:t>
            </w:r>
          </w:p>
        </w:tc>
        <w:tc>
          <w:tcPr>
            <w:tcW w:w="960" w:type="dxa"/>
            <w:tcBorders>
              <w:top w:val="nil"/>
              <w:left w:val="nil"/>
              <w:bottom w:val="single" w:sz="4" w:space="0" w:color="auto"/>
              <w:right w:val="single" w:sz="4" w:space="0" w:color="auto"/>
            </w:tcBorders>
            <w:shd w:val="clear" w:color="auto" w:fill="auto"/>
            <w:noWrap/>
            <w:vAlign w:val="bottom"/>
            <w:hideMark/>
          </w:tcPr>
          <w:p w14:paraId="4B93C96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3.8%</w:t>
            </w:r>
          </w:p>
        </w:tc>
        <w:tc>
          <w:tcPr>
            <w:tcW w:w="960" w:type="dxa"/>
            <w:tcBorders>
              <w:top w:val="nil"/>
              <w:left w:val="nil"/>
              <w:bottom w:val="single" w:sz="4" w:space="0" w:color="auto"/>
              <w:right w:val="single" w:sz="4" w:space="0" w:color="auto"/>
            </w:tcBorders>
            <w:shd w:val="clear" w:color="auto" w:fill="auto"/>
            <w:noWrap/>
            <w:vAlign w:val="bottom"/>
            <w:hideMark/>
          </w:tcPr>
          <w:p w14:paraId="7FA306B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3.43%</w:t>
            </w:r>
          </w:p>
        </w:tc>
        <w:tc>
          <w:tcPr>
            <w:tcW w:w="960" w:type="dxa"/>
            <w:tcBorders>
              <w:top w:val="nil"/>
              <w:left w:val="nil"/>
              <w:bottom w:val="single" w:sz="4" w:space="0" w:color="auto"/>
              <w:right w:val="single" w:sz="4" w:space="0" w:color="auto"/>
            </w:tcBorders>
            <w:shd w:val="clear" w:color="auto" w:fill="auto"/>
            <w:noWrap/>
            <w:vAlign w:val="bottom"/>
            <w:hideMark/>
          </w:tcPr>
          <w:p w14:paraId="2C460D4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3.16%</w:t>
            </w:r>
          </w:p>
        </w:tc>
        <w:tc>
          <w:tcPr>
            <w:tcW w:w="960" w:type="dxa"/>
            <w:tcBorders>
              <w:top w:val="nil"/>
              <w:left w:val="nil"/>
              <w:bottom w:val="single" w:sz="4" w:space="0" w:color="auto"/>
              <w:right w:val="single" w:sz="4" w:space="0" w:color="auto"/>
            </w:tcBorders>
            <w:shd w:val="clear" w:color="auto" w:fill="auto"/>
            <w:noWrap/>
            <w:vAlign w:val="bottom"/>
            <w:hideMark/>
          </w:tcPr>
          <w:p w14:paraId="16771782"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3.19%</w:t>
            </w:r>
          </w:p>
        </w:tc>
        <w:tc>
          <w:tcPr>
            <w:tcW w:w="980" w:type="dxa"/>
            <w:tcBorders>
              <w:top w:val="nil"/>
              <w:left w:val="nil"/>
              <w:bottom w:val="single" w:sz="4" w:space="0" w:color="auto"/>
              <w:right w:val="single" w:sz="4" w:space="0" w:color="auto"/>
            </w:tcBorders>
            <w:shd w:val="clear" w:color="auto" w:fill="auto"/>
            <w:noWrap/>
            <w:vAlign w:val="bottom"/>
            <w:hideMark/>
          </w:tcPr>
          <w:p w14:paraId="71CDA61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0.67%</w:t>
            </w:r>
          </w:p>
        </w:tc>
      </w:tr>
      <w:tr w:rsidR="00F20114" w:rsidRPr="00934350" w14:paraId="30B966AB"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26A53D6"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ARARAT(RC)</w:t>
            </w:r>
          </w:p>
        </w:tc>
        <w:tc>
          <w:tcPr>
            <w:tcW w:w="960" w:type="dxa"/>
            <w:tcBorders>
              <w:top w:val="nil"/>
              <w:left w:val="nil"/>
              <w:bottom w:val="single" w:sz="4" w:space="0" w:color="auto"/>
              <w:right w:val="single" w:sz="4" w:space="0" w:color="auto"/>
            </w:tcBorders>
            <w:shd w:val="clear" w:color="auto" w:fill="auto"/>
            <w:noWrap/>
            <w:vAlign w:val="bottom"/>
            <w:hideMark/>
          </w:tcPr>
          <w:p w14:paraId="741F28E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3.98%</w:t>
            </w:r>
          </w:p>
        </w:tc>
        <w:tc>
          <w:tcPr>
            <w:tcW w:w="1220" w:type="dxa"/>
            <w:tcBorders>
              <w:top w:val="nil"/>
              <w:left w:val="nil"/>
              <w:bottom w:val="single" w:sz="4" w:space="0" w:color="auto"/>
              <w:right w:val="single" w:sz="4" w:space="0" w:color="auto"/>
            </w:tcBorders>
            <w:shd w:val="clear" w:color="auto" w:fill="auto"/>
            <w:noWrap/>
            <w:vAlign w:val="bottom"/>
            <w:hideMark/>
          </w:tcPr>
          <w:p w14:paraId="6A71495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2.6%</w:t>
            </w:r>
          </w:p>
        </w:tc>
        <w:tc>
          <w:tcPr>
            <w:tcW w:w="960" w:type="dxa"/>
            <w:tcBorders>
              <w:top w:val="nil"/>
              <w:left w:val="nil"/>
              <w:bottom w:val="single" w:sz="4" w:space="0" w:color="auto"/>
              <w:right w:val="single" w:sz="4" w:space="0" w:color="auto"/>
            </w:tcBorders>
            <w:shd w:val="clear" w:color="auto" w:fill="auto"/>
            <w:noWrap/>
            <w:vAlign w:val="bottom"/>
            <w:hideMark/>
          </w:tcPr>
          <w:p w14:paraId="1717483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3.6%</w:t>
            </w:r>
          </w:p>
        </w:tc>
        <w:tc>
          <w:tcPr>
            <w:tcW w:w="960" w:type="dxa"/>
            <w:tcBorders>
              <w:top w:val="nil"/>
              <w:left w:val="nil"/>
              <w:bottom w:val="single" w:sz="4" w:space="0" w:color="auto"/>
              <w:right w:val="single" w:sz="4" w:space="0" w:color="auto"/>
            </w:tcBorders>
            <w:shd w:val="clear" w:color="auto" w:fill="auto"/>
            <w:noWrap/>
            <w:vAlign w:val="bottom"/>
            <w:hideMark/>
          </w:tcPr>
          <w:p w14:paraId="733AA6B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3.59%</w:t>
            </w:r>
          </w:p>
        </w:tc>
        <w:tc>
          <w:tcPr>
            <w:tcW w:w="960" w:type="dxa"/>
            <w:tcBorders>
              <w:top w:val="nil"/>
              <w:left w:val="nil"/>
              <w:bottom w:val="single" w:sz="4" w:space="0" w:color="auto"/>
              <w:right w:val="single" w:sz="4" w:space="0" w:color="auto"/>
            </w:tcBorders>
            <w:shd w:val="clear" w:color="auto" w:fill="auto"/>
            <w:noWrap/>
            <w:vAlign w:val="bottom"/>
            <w:hideMark/>
          </w:tcPr>
          <w:p w14:paraId="2C19DB6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3.70%</w:t>
            </w:r>
          </w:p>
        </w:tc>
        <w:tc>
          <w:tcPr>
            <w:tcW w:w="960" w:type="dxa"/>
            <w:tcBorders>
              <w:top w:val="nil"/>
              <w:left w:val="nil"/>
              <w:bottom w:val="single" w:sz="4" w:space="0" w:color="auto"/>
              <w:right w:val="single" w:sz="4" w:space="0" w:color="auto"/>
            </w:tcBorders>
            <w:shd w:val="clear" w:color="auto" w:fill="auto"/>
            <w:noWrap/>
            <w:vAlign w:val="bottom"/>
            <w:hideMark/>
          </w:tcPr>
          <w:p w14:paraId="77029EB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2.86%</w:t>
            </w:r>
          </w:p>
        </w:tc>
        <w:tc>
          <w:tcPr>
            <w:tcW w:w="980" w:type="dxa"/>
            <w:tcBorders>
              <w:top w:val="nil"/>
              <w:left w:val="nil"/>
              <w:bottom w:val="single" w:sz="4" w:space="0" w:color="auto"/>
              <w:right w:val="single" w:sz="4" w:space="0" w:color="auto"/>
            </w:tcBorders>
            <w:shd w:val="clear" w:color="auto" w:fill="auto"/>
            <w:noWrap/>
            <w:vAlign w:val="bottom"/>
            <w:hideMark/>
          </w:tcPr>
          <w:p w14:paraId="3A8F90F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0.02%</w:t>
            </w:r>
          </w:p>
        </w:tc>
      </w:tr>
      <w:tr w:rsidR="00F20114" w:rsidRPr="00934350" w14:paraId="500F5F86"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3A4692A"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BALLARAT(C)</w:t>
            </w:r>
          </w:p>
        </w:tc>
        <w:tc>
          <w:tcPr>
            <w:tcW w:w="960" w:type="dxa"/>
            <w:tcBorders>
              <w:top w:val="nil"/>
              <w:left w:val="nil"/>
              <w:bottom w:val="single" w:sz="4" w:space="0" w:color="auto"/>
              <w:right w:val="single" w:sz="4" w:space="0" w:color="auto"/>
            </w:tcBorders>
            <w:shd w:val="clear" w:color="auto" w:fill="auto"/>
            <w:noWrap/>
            <w:vAlign w:val="bottom"/>
            <w:hideMark/>
          </w:tcPr>
          <w:p w14:paraId="65634F3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5.12%</w:t>
            </w:r>
          </w:p>
        </w:tc>
        <w:tc>
          <w:tcPr>
            <w:tcW w:w="1220" w:type="dxa"/>
            <w:tcBorders>
              <w:top w:val="nil"/>
              <w:left w:val="nil"/>
              <w:bottom w:val="single" w:sz="4" w:space="0" w:color="auto"/>
              <w:right w:val="single" w:sz="4" w:space="0" w:color="auto"/>
            </w:tcBorders>
            <w:shd w:val="clear" w:color="auto" w:fill="auto"/>
            <w:noWrap/>
            <w:vAlign w:val="bottom"/>
            <w:hideMark/>
          </w:tcPr>
          <w:p w14:paraId="2DE1E9F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4.5%</w:t>
            </w:r>
          </w:p>
        </w:tc>
        <w:tc>
          <w:tcPr>
            <w:tcW w:w="960" w:type="dxa"/>
            <w:tcBorders>
              <w:top w:val="nil"/>
              <w:left w:val="nil"/>
              <w:bottom w:val="single" w:sz="4" w:space="0" w:color="auto"/>
              <w:right w:val="single" w:sz="4" w:space="0" w:color="auto"/>
            </w:tcBorders>
            <w:shd w:val="clear" w:color="auto" w:fill="auto"/>
            <w:noWrap/>
            <w:vAlign w:val="bottom"/>
            <w:hideMark/>
          </w:tcPr>
          <w:p w14:paraId="4ED9501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12.6%</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01E183E1" w14:textId="77777777" w:rsidR="00F20114" w:rsidRPr="00934350" w:rsidRDefault="00F20114" w:rsidP="00F20114">
            <w:pPr>
              <w:jc w:val="right"/>
              <w:rPr>
                <w:rFonts w:ascii="Calibri" w:hAnsi="Calibri"/>
                <w:color w:val="9C0006"/>
                <w:sz w:val="20"/>
                <w:lang w:eastAsia="en-AU"/>
              </w:rPr>
            </w:pPr>
            <w:r w:rsidRPr="00934350">
              <w:rPr>
                <w:rFonts w:ascii="Calibri" w:hAnsi="Calibri"/>
                <w:color w:val="9C0006"/>
                <w:sz w:val="20"/>
                <w:lang w:eastAsia="en-AU"/>
              </w:rPr>
              <w:t>-1.14%</w:t>
            </w:r>
          </w:p>
        </w:tc>
        <w:tc>
          <w:tcPr>
            <w:tcW w:w="960" w:type="dxa"/>
            <w:tcBorders>
              <w:top w:val="nil"/>
              <w:left w:val="nil"/>
              <w:bottom w:val="single" w:sz="4" w:space="0" w:color="auto"/>
              <w:right w:val="single" w:sz="4" w:space="0" w:color="auto"/>
            </w:tcBorders>
            <w:shd w:val="clear" w:color="auto" w:fill="auto"/>
            <w:noWrap/>
            <w:vAlign w:val="bottom"/>
            <w:hideMark/>
          </w:tcPr>
          <w:p w14:paraId="438D113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4.57%</w:t>
            </w:r>
          </w:p>
        </w:tc>
        <w:tc>
          <w:tcPr>
            <w:tcW w:w="960" w:type="dxa"/>
            <w:tcBorders>
              <w:top w:val="nil"/>
              <w:left w:val="nil"/>
              <w:bottom w:val="single" w:sz="4" w:space="0" w:color="auto"/>
              <w:right w:val="single" w:sz="4" w:space="0" w:color="auto"/>
            </w:tcBorders>
            <w:shd w:val="clear" w:color="auto" w:fill="auto"/>
            <w:noWrap/>
            <w:vAlign w:val="bottom"/>
            <w:hideMark/>
          </w:tcPr>
          <w:p w14:paraId="15D9AFCB"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4.15%</w:t>
            </w:r>
          </w:p>
        </w:tc>
        <w:tc>
          <w:tcPr>
            <w:tcW w:w="980" w:type="dxa"/>
            <w:tcBorders>
              <w:top w:val="nil"/>
              <w:left w:val="nil"/>
              <w:bottom w:val="single" w:sz="4" w:space="0" w:color="auto"/>
              <w:right w:val="single" w:sz="4" w:space="0" w:color="auto"/>
            </w:tcBorders>
            <w:shd w:val="clear" w:color="auto" w:fill="auto"/>
            <w:noWrap/>
            <w:vAlign w:val="bottom"/>
            <w:hideMark/>
          </w:tcPr>
          <w:p w14:paraId="5B39B63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0.62%</w:t>
            </w:r>
          </w:p>
        </w:tc>
      </w:tr>
      <w:tr w:rsidR="00F20114" w:rsidRPr="00934350" w14:paraId="040EC6FA"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8D07CD4"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BANYULE(C)</w:t>
            </w:r>
          </w:p>
        </w:tc>
        <w:tc>
          <w:tcPr>
            <w:tcW w:w="960" w:type="dxa"/>
            <w:tcBorders>
              <w:top w:val="nil"/>
              <w:left w:val="nil"/>
              <w:bottom w:val="single" w:sz="4" w:space="0" w:color="auto"/>
              <w:right w:val="single" w:sz="4" w:space="0" w:color="auto"/>
            </w:tcBorders>
            <w:shd w:val="clear" w:color="auto" w:fill="auto"/>
            <w:noWrap/>
            <w:vAlign w:val="bottom"/>
            <w:hideMark/>
          </w:tcPr>
          <w:p w14:paraId="7151D97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4.37%</w:t>
            </w:r>
          </w:p>
        </w:tc>
        <w:tc>
          <w:tcPr>
            <w:tcW w:w="1220" w:type="dxa"/>
            <w:tcBorders>
              <w:top w:val="nil"/>
              <w:left w:val="nil"/>
              <w:bottom w:val="single" w:sz="4" w:space="0" w:color="auto"/>
              <w:right w:val="single" w:sz="4" w:space="0" w:color="auto"/>
            </w:tcBorders>
            <w:shd w:val="clear" w:color="auto" w:fill="auto"/>
            <w:noWrap/>
            <w:vAlign w:val="bottom"/>
            <w:hideMark/>
          </w:tcPr>
          <w:p w14:paraId="6C1054D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2.9%</w:t>
            </w:r>
          </w:p>
        </w:tc>
        <w:tc>
          <w:tcPr>
            <w:tcW w:w="960" w:type="dxa"/>
            <w:tcBorders>
              <w:top w:val="nil"/>
              <w:left w:val="nil"/>
              <w:bottom w:val="single" w:sz="4" w:space="0" w:color="auto"/>
              <w:right w:val="single" w:sz="4" w:space="0" w:color="auto"/>
            </w:tcBorders>
            <w:shd w:val="clear" w:color="auto" w:fill="auto"/>
            <w:noWrap/>
            <w:vAlign w:val="bottom"/>
            <w:hideMark/>
          </w:tcPr>
          <w:p w14:paraId="499489C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3.5%</w:t>
            </w:r>
          </w:p>
        </w:tc>
        <w:tc>
          <w:tcPr>
            <w:tcW w:w="960" w:type="dxa"/>
            <w:tcBorders>
              <w:top w:val="nil"/>
              <w:left w:val="nil"/>
              <w:bottom w:val="single" w:sz="4" w:space="0" w:color="auto"/>
              <w:right w:val="single" w:sz="4" w:space="0" w:color="auto"/>
            </w:tcBorders>
            <w:shd w:val="clear" w:color="auto" w:fill="auto"/>
            <w:noWrap/>
            <w:vAlign w:val="bottom"/>
            <w:hideMark/>
          </w:tcPr>
          <w:p w14:paraId="6275D1D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3.73%</w:t>
            </w:r>
          </w:p>
        </w:tc>
        <w:tc>
          <w:tcPr>
            <w:tcW w:w="960" w:type="dxa"/>
            <w:tcBorders>
              <w:top w:val="nil"/>
              <w:left w:val="nil"/>
              <w:bottom w:val="single" w:sz="4" w:space="0" w:color="auto"/>
              <w:right w:val="single" w:sz="4" w:space="0" w:color="auto"/>
            </w:tcBorders>
            <w:shd w:val="clear" w:color="auto" w:fill="auto"/>
            <w:noWrap/>
            <w:vAlign w:val="bottom"/>
            <w:hideMark/>
          </w:tcPr>
          <w:p w14:paraId="5CFFC9F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3.45%</w:t>
            </w:r>
          </w:p>
        </w:tc>
        <w:tc>
          <w:tcPr>
            <w:tcW w:w="960" w:type="dxa"/>
            <w:tcBorders>
              <w:top w:val="nil"/>
              <w:left w:val="nil"/>
              <w:bottom w:val="single" w:sz="4" w:space="0" w:color="auto"/>
              <w:right w:val="single" w:sz="4" w:space="0" w:color="auto"/>
            </w:tcBorders>
            <w:shd w:val="clear" w:color="auto" w:fill="auto"/>
            <w:noWrap/>
            <w:vAlign w:val="bottom"/>
            <w:hideMark/>
          </w:tcPr>
          <w:p w14:paraId="5BF4170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2.86%</w:t>
            </w:r>
          </w:p>
        </w:tc>
        <w:tc>
          <w:tcPr>
            <w:tcW w:w="980" w:type="dxa"/>
            <w:tcBorders>
              <w:top w:val="nil"/>
              <w:left w:val="nil"/>
              <w:bottom w:val="single" w:sz="4" w:space="0" w:color="auto"/>
              <w:right w:val="single" w:sz="4" w:space="0" w:color="auto"/>
            </w:tcBorders>
            <w:shd w:val="clear" w:color="auto" w:fill="auto"/>
            <w:noWrap/>
            <w:vAlign w:val="bottom"/>
            <w:hideMark/>
          </w:tcPr>
          <w:p w14:paraId="3E23F22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0.33%</w:t>
            </w:r>
          </w:p>
        </w:tc>
      </w:tr>
      <w:tr w:rsidR="00F20114" w:rsidRPr="00934350" w14:paraId="48BFA28A"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5F40663"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BASS COAST(S)</w:t>
            </w:r>
          </w:p>
        </w:tc>
        <w:tc>
          <w:tcPr>
            <w:tcW w:w="960" w:type="dxa"/>
            <w:tcBorders>
              <w:top w:val="nil"/>
              <w:left w:val="nil"/>
              <w:bottom w:val="single" w:sz="4" w:space="0" w:color="auto"/>
              <w:right w:val="single" w:sz="4" w:space="0" w:color="auto"/>
            </w:tcBorders>
            <w:shd w:val="clear" w:color="auto" w:fill="auto"/>
            <w:noWrap/>
            <w:vAlign w:val="bottom"/>
            <w:hideMark/>
          </w:tcPr>
          <w:p w14:paraId="3DA5EC3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5.63%</w:t>
            </w:r>
          </w:p>
        </w:tc>
        <w:tc>
          <w:tcPr>
            <w:tcW w:w="1220" w:type="dxa"/>
            <w:tcBorders>
              <w:top w:val="nil"/>
              <w:left w:val="nil"/>
              <w:bottom w:val="single" w:sz="4" w:space="0" w:color="auto"/>
              <w:right w:val="single" w:sz="4" w:space="0" w:color="auto"/>
            </w:tcBorders>
            <w:shd w:val="clear" w:color="auto" w:fill="auto"/>
            <w:noWrap/>
            <w:vAlign w:val="bottom"/>
            <w:hideMark/>
          </w:tcPr>
          <w:p w14:paraId="2162E0A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4.5%</w:t>
            </w:r>
          </w:p>
        </w:tc>
        <w:tc>
          <w:tcPr>
            <w:tcW w:w="960" w:type="dxa"/>
            <w:tcBorders>
              <w:top w:val="nil"/>
              <w:left w:val="nil"/>
              <w:bottom w:val="single" w:sz="4" w:space="0" w:color="auto"/>
              <w:right w:val="single" w:sz="4" w:space="0" w:color="auto"/>
            </w:tcBorders>
            <w:shd w:val="clear" w:color="auto" w:fill="auto"/>
            <w:noWrap/>
            <w:vAlign w:val="bottom"/>
            <w:hideMark/>
          </w:tcPr>
          <w:p w14:paraId="6952349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4.4%</w:t>
            </w:r>
          </w:p>
        </w:tc>
        <w:tc>
          <w:tcPr>
            <w:tcW w:w="960" w:type="dxa"/>
            <w:tcBorders>
              <w:top w:val="nil"/>
              <w:left w:val="nil"/>
              <w:bottom w:val="single" w:sz="4" w:space="0" w:color="auto"/>
              <w:right w:val="single" w:sz="4" w:space="0" w:color="auto"/>
            </w:tcBorders>
            <w:shd w:val="clear" w:color="auto" w:fill="auto"/>
            <w:noWrap/>
            <w:vAlign w:val="bottom"/>
            <w:hideMark/>
          </w:tcPr>
          <w:p w14:paraId="11B9A78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4.61%</w:t>
            </w:r>
          </w:p>
        </w:tc>
        <w:tc>
          <w:tcPr>
            <w:tcW w:w="960" w:type="dxa"/>
            <w:tcBorders>
              <w:top w:val="nil"/>
              <w:left w:val="nil"/>
              <w:bottom w:val="single" w:sz="4" w:space="0" w:color="auto"/>
              <w:right w:val="single" w:sz="4" w:space="0" w:color="auto"/>
            </w:tcBorders>
            <w:shd w:val="clear" w:color="auto" w:fill="auto"/>
            <w:noWrap/>
            <w:vAlign w:val="bottom"/>
            <w:hideMark/>
          </w:tcPr>
          <w:p w14:paraId="1A5DCCB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4.53%</w:t>
            </w:r>
          </w:p>
        </w:tc>
        <w:tc>
          <w:tcPr>
            <w:tcW w:w="960" w:type="dxa"/>
            <w:tcBorders>
              <w:top w:val="nil"/>
              <w:left w:val="nil"/>
              <w:bottom w:val="single" w:sz="4" w:space="0" w:color="auto"/>
              <w:right w:val="single" w:sz="4" w:space="0" w:color="auto"/>
            </w:tcBorders>
            <w:shd w:val="clear" w:color="auto" w:fill="auto"/>
            <w:noWrap/>
            <w:vAlign w:val="bottom"/>
            <w:hideMark/>
          </w:tcPr>
          <w:p w14:paraId="1B83C2C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3.02%</w:t>
            </w:r>
          </w:p>
        </w:tc>
        <w:tc>
          <w:tcPr>
            <w:tcW w:w="980" w:type="dxa"/>
            <w:tcBorders>
              <w:top w:val="nil"/>
              <w:left w:val="nil"/>
              <w:bottom w:val="single" w:sz="4" w:space="0" w:color="auto"/>
              <w:right w:val="single" w:sz="4" w:space="0" w:color="auto"/>
            </w:tcBorders>
            <w:shd w:val="clear" w:color="auto" w:fill="auto"/>
            <w:noWrap/>
            <w:vAlign w:val="bottom"/>
            <w:hideMark/>
          </w:tcPr>
          <w:p w14:paraId="28D32F0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1.37%</w:t>
            </w:r>
          </w:p>
        </w:tc>
      </w:tr>
      <w:tr w:rsidR="00F20114" w:rsidRPr="00934350" w14:paraId="6A888E86"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ACB6C29"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BAW BAW(S)</w:t>
            </w:r>
          </w:p>
        </w:tc>
        <w:tc>
          <w:tcPr>
            <w:tcW w:w="960" w:type="dxa"/>
            <w:tcBorders>
              <w:top w:val="nil"/>
              <w:left w:val="nil"/>
              <w:bottom w:val="single" w:sz="4" w:space="0" w:color="auto"/>
              <w:right w:val="single" w:sz="4" w:space="0" w:color="auto"/>
            </w:tcBorders>
            <w:shd w:val="clear" w:color="auto" w:fill="auto"/>
            <w:noWrap/>
            <w:vAlign w:val="bottom"/>
            <w:hideMark/>
          </w:tcPr>
          <w:p w14:paraId="69014D8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6.17%</w:t>
            </w:r>
          </w:p>
        </w:tc>
        <w:tc>
          <w:tcPr>
            <w:tcW w:w="1220" w:type="dxa"/>
            <w:tcBorders>
              <w:top w:val="nil"/>
              <w:left w:val="nil"/>
              <w:bottom w:val="single" w:sz="4" w:space="0" w:color="auto"/>
              <w:right w:val="single" w:sz="4" w:space="0" w:color="auto"/>
            </w:tcBorders>
            <w:shd w:val="clear" w:color="auto" w:fill="auto"/>
            <w:noWrap/>
            <w:vAlign w:val="bottom"/>
            <w:hideMark/>
          </w:tcPr>
          <w:p w14:paraId="72088F8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4.5%</w:t>
            </w:r>
          </w:p>
        </w:tc>
        <w:tc>
          <w:tcPr>
            <w:tcW w:w="960" w:type="dxa"/>
            <w:tcBorders>
              <w:top w:val="nil"/>
              <w:left w:val="nil"/>
              <w:bottom w:val="single" w:sz="4" w:space="0" w:color="auto"/>
              <w:right w:val="single" w:sz="4" w:space="0" w:color="auto"/>
            </w:tcBorders>
            <w:shd w:val="clear" w:color="auto" w:fill="auto"/>
            <w:noWrap/>
            <w:vAlign w:val="bottom"/>
            <w:hideMark/>
          </w:tcPr>
          <w:p w14:paraId="4D76490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6.0%</w:t>
            </w:r>
          </w:p>
        </w:tc>
        <w:tc>
          <w:tcPr>
            <w:tcW w:w="960" w:type="dxa"/>
            <w:tcBorders>
              <w:top w:val="nil"/>
              <w:left w:val="nil"/>
              <w:bottom w:val="single" w:sz="4" w:space="0" w:color="auto"/>
              <w:right w:val="single" w:sz="4" w:space="0" w:color="auto"/>
            </w:tcBorders>
            <w:shd w:val="clear" w:color="auto" w:fill="auto"/>
            <w:noWrap/>
            <w:vAlign w:val="bottom"/>
            <w:hideMark/>
          </w:tcPr>
          <w:p w14:paraId="4DDCE42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6.85%</w:t>
            </w:r>
          </w:p>
        </w:tc>
        <w:tc>
          <w:tcPr>
            <w:tcW w:w="960" w:type="dxa"/>
            <w:tcBorders>
              <w:top w:val="nil"/>
              <w:left w:val="nil"/>
              <w:bottom w:val="single" w:sz="4" w:space="0" w:color="auto"/>
              <w:right w:val="single" w:sz="4" w:space="0" w:color="auto"/>
            </w:tcBorders>
            <w:shd w:val="clear" w:color="auto" w:fill="auto"/>
            <w:noWrap/>
            <w:vAlign w:val="bottom"/>
            <w:hideMark/>
          </w:tcPr>
          <w:p w14:paraId="2E2A0FC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6.02%</w:t>
            </w:r>
          </w:p>
        </w:tc>
        <w:tc>
          <w:tcPr>
            <w:tcW w:w="960" w:type="dxa"/>
            <w:tcBorders>
              <w:top w:val="nil"/>
              <w:left w:val="nil"/>
              <w:bottom w:val="single" w:sz="4" w:space="0" w:color="auto"/>
              <w:right w:val="single" w:sz="4" w:space="0" w:color="auto"/>
            </w:tcBorders>
            <w:shd w:val="clear" w:color="auto" w:fill="auto"/>
            <w:noWrap/>
            <w:vAlign w:val="bottom"/>
            <w:hideMark/>
          </w:tcPr>
          <w:p w14:paraId="1EACFE92"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2.80%</w:t>
            </w:r>
          </w:p>
        </w:tc>
        <w:tc>
          <w:tcPr>
            <w:tcW w:w="980" w:type="dxa"/>
            <w:tcBorders>
              <w:top w:val="nil"/>
              <w:left w:val="nil"/>
              <w:bottom w:val="single" w:sz="4" w:space="0" w:color="auto"/>
              <w:right w:val="single" w:sz="4" w:space="0" w:color="auto"/>
            </w:tcBorders>
            <w:shd w:val="clear" w:color="auto" w:fill="auto"/>
            <w:noWrap/>
            <w:vAlign w:val="bottom"/>
            <w:hideMark/>
          </w:tcPr>
          <w:p w14:paraId="6DAEEB5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0.21%</w:t>
            </w:r>
          </w:p>
        </w:tc>
      </w:tr>
      <w:tr w:rsidR="00F20114" w:rsidRPr="00934350" w14:paraId="7CF0A75B"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3D0A3FE"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BAYSIDE(C)</w:t>
            </w:r>
          </w:p>
        </w:tc>
        <w:tc>
          <w:tcPr>
            <w:tcW w:w="960" w:type="dxa"/>
            <w:tcBorders>
              <w:top w:val="nil"/>
              <w:left w:val="nil"/>
              <w:bottom w:val="single" w:sz="4" w:space="0" w:color="auto"/>
              <w:right w:val="single" w:sz="4" w:space="0" w:color="auto"/>
            </w:tcBorders>
            <w:shd w:val="clear" w:color="auto" w:fill="auto"/>
            <w:noWrap/>
            <w:vAlign w:val="bottom"/>
            <w:hideMark/>
          </w:tcPr>
          <w:p w14:paraId="462FFDA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4.32%</w:t>
            </w:r>
          </w:p>
        </w:tc>
        <w:tc>
          <w:tcPr>
            <w:tcW w:w="1220" w:type="dxa"/>
            <w:tcBorders>
              <w:top w:val="nil"/>
              <w:left w:val="nil"/>
              <w:bottom w:val="single" w:sz="4" w:space="0" w:color="auto"/>
              <w:right w:val="single" w:sz="4" w:space="0" w:color="auto"/>
            </w:tcBorders>
            <w:shd w:val="clear" w:color="auto" w:fill="auto"/>
            <w:noWrap/>
            <w:vAlign w:val="bottom"/>
            <w:hideMark/>
          </w:tcPr>
          <w:p w14:paraId="3A23846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2.8%</w:t>
            </w:r>
          </w:p>
        </w:tc>
        <w:tc>
          <w:tcPr>
            <w:tcW w:w="960" w:type="dxa"/>
            <w:tcBorders>
              <w:top w:val="nil"/>
              <w:left w:val="nil"/>
              <w:bottom w:val="single" w:sz="4" w:space="0" w:color="auto"/>
              <w:right w:val="single" w:sz="4" w:space="0" w:color="auto"/>
            </w:tcBorders>
            <w:shd w:val="clear" w:color="auto" w:fill="auto"/>
            <w:noWrap/>
            <w:vAlign w:val="bottom"/>
            <w:hideMark/>
          </w:tcPr>
          <w:p w14:paraId="7F9A4F5B"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3.5%</w:t>
            </w:r>
          </w:p>
        </w:tc>
        <w:tc>
          <w:tcPr>
            <w:tcW w:w="960" w:type="dxa"/>
            <w:tcBorders>
              <w:top w:val="nil"/>
              <w:left w:val="nil"/>
              <w:bottom w:val="single" w:sz="4" w:space="0" w:color="auto"/>
              <w:right w:val="single" w:sz="4" w:space="0" w:color="auto"/>
            </w:tcBorders>
            <w:shd w:val="clear" w:color="auto" w:fill="auto"/>
            <w:noWrap/>
            <w:vAlign w:val="bottom"/>
            <w:hideMark/>
          </w:tcPr>
          <w:p w14:paraId="5DE35942"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4.18%</w:t>
            </w:r>
          </w:p>
        </w:tc>
        <w:tc>
          <w:tcPr>
            <w:tcW w:w="960" w:type="dxa"/>
            <w:tcBorders>
              <w:top w:val="nil"/>
              <w:left w:val="nil"/>
              <w:bottom w:val="single" w:sz="4" w:space="0" w:color="auto"/>
              <w:right w:val="single" w:sz="4" w:space="0" w:color="auto"/>
            </w:tcBorders>
            <w:shd w:val="clear" w:color="auto" w:fill="auto"/>
            <w:noWrap/>
            <w:vAlign w:val="bottom"/>
            <w:hideMark/>
          </w:tcPr>
          <w:p w14:paraId="75E414E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4.01%</w:t>
            </w:r>
          </w:p>
        </w:tc>
        <w:tc>
          <w:tcPr>
            <w:tcW w:w="960" w:type="dxa"/>
            <w:tcBorders>
              <w:top w:val="nil"/>
              <w:left w:val="nil"/>
              <w:bottom w:val="single" w:sz="4" w:space="0" w:color="auto"/>
              <w:right w:val="single" w:sz="4" w:space="0" w:color="auto"/>
            </w:tcBorders>
            <w:shd w:val="clear" w:color="auto" w:fill="auto"/>
            <w:noWrap/>
            <w:vAlign w:val="bottom"/>
            <w:hideMark/>
          </w:tcPr>
          <w:p w14:paraId="4A0329F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3.99%</w:t>
            </w:r>
          </w:p>
        </w:tc>
        <w:tc>
          <w:tcPr>
            <w:tcW w:w="980" w:type="dxa"/>
            <w:tcBorders>
              <w:top w:val="nil"/>
              <w:left w:val="nil"/>
              <w:bottom w:val="single" w:sz="4" w:space="0" w:color="auto"/>
              <w:right w:val="single" w:sz="4" w:space="0" w:color="auto"/>
            </w:tcBorders>
            <w:shd w:val="clear" w:color="auto" w:fill="auto"/>
            <w:noWrap/>
            <w:vAlign w:val="bottom"/>
            <w:hideMark/>
          </w:tcPr>
          <w:p w14:paraId="766E34E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1.01%</w:t>
            </w:r>
          </w:p>
        </w:tc>
      </w:tr>
      <w:tr w:rsidR="00F20114" w:rsidRPr="00934350" w14:paraId="7B2CEB03"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75150A9"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BENALLA(RC)</w:t>
            </w:r>
          </w:p>
        </w:tc>
        <w:tc>
          <w:tcPr>
            <w:tcW w:w="960" w:type="dxa"/>
            <w:tcBorders>
              <w:top w:val="nil"/>
              <w:left w:val="nil"/>
              <w:bottom w:val="single" w:sz="4" w:space="0" w:color="auto"/>
              <w:right w:val="single" w:sz="4" w:space="0" w:color="auto"/>
            </w:tcBorders>
            <w:shd w:val="clear" w:color="auto" w:fill="auto"/>
            <w:noWrap/>
            <w:vAlign w:val="bottom"/>
            <w:hideMark/>
          </w:tcPr>
          <w:p w14:paraId="45902DF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3.87%</w:t>
            </w:r>
          </w:p>
        </w:tc>
        <w:tc>
          <w:tcPr>
            <w:tcW w:w="1220" w:type="dxa"/>
            <w:tcBorders>
              <w:top w:val="nil"/>
              <w:left w:val="nil"/>
              <w:bottom w:val="single" w:sz="4" w:space="0" w:color="auto"/>
              <w:right w:val="single" w:sz="4" w:space="0" w:color="auto"/>
            </w:tcBorders>
            <w:shd w:val="clear" w:color="auto" w:fill="auto"/>
            <w:noWrap/>
            <w:vAlign w:val="bottom"/>
            <w:hideMark/>
          </w:tcPr>
          <w:p w14:paraId="473F92D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3.2%</w:t>
            </w:r>
          </w:p>
        </w:tc>
        <w:tc>
          <w:tcPr>
            <w:tcW w:w="960" w:type="dxa"/>
            <w:tcBorders>
              <w:top w:val="nil"/>
              <w:left w:val="nil"/>
              <w:bottom w:val="single" w:sz="4" w:space="0" w:color="auto"/>
              <w:right w:val="single" w:sz="4" w:space="0" w:color="auto"/>
            </w:tcBorders>
            <w:shd w:val="clear" w:color="auto" w:fill="auto"/>
            <w:noWrap/>
            <w:vAlign w:val="bottom"/>
            <w:hideMark/>
          </w:tcPr>
          <w:p w14:paraId="6CF18B4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3.4%</w:t>
            </w:r>
          </w:p>
        </w:tc>
        <w:tc>
          <w:tcPr>
            <w:tcW w:w="960" w:type="dxa"/>
            <w:tcBorders>
              <w:top w:val="nil"/>
              <w:left w:val="nil"/>
              <w:bottom w:val="single" w:sz="4" w:space="0" w:color="auto"/>
              <w:right w:val="single" w:sz="4" w:space="0" w:color="auto"/>
            </w:tcBorders>
            <w:shd w:val="clear" w:color="auto" w:fill="auto"/>
            <w:noWrap/>
            <w:vAlign w:val="bottom"/>
            <w:hideMark/>
          </w:tcPr>
          <w:p w14:paraId="0979646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3.63%</w:t>
            </w:r>
          </w:p>
        </w:tc>
        <w:tc>
          <w:tcPr>
            <w:tcW w:w="960" w:type="dxa"/>
            <w:tcBorders>
              <w:top w:val="nil"/>
              <w:left w:val="nil"/>
              <w:bottom w:val="single" w:sz="4" w:space="0" w:color="auto"/>
              <w:right w:val="single" w:sz="4" w:space="0" w:color="auto"/>
            </w:tcBorders>
            <w:shd w:val="clear" w:color="auto" w:fill="auto"/>
            <w:noWrap/>
            <w:vAlign w:val="bottom"/>
            <w:hideMark/>
          </w:tcPr>
          <w:p w14:paraId="110DD16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3.02%</w:t>
            </w:r>
          </w:p>
        </w:tc>
        <w:tc>
          <w:tcPr>
            <w:tcW w:w="960" w:type="dxa"/>
            <w:tcBorders>
              <w:top w:val="nil"/>
              <w:left w:val="nil"/>
              <w:bottom w:val="single" w:sz="4" w:space="0" w:color="auto"/>
              <w:right w:val="single" w:sz="4" w:space="0" w:color="auto"/>
            </w:tcBorders>
            <w:shd w:val="clear" w:color="auto" w:fill="auto"/>
            <w:noWrap/>
            <w:vAlign w:val="bottom"/>
            <w:hideMark/>
          </w:tcPr>
          <w:p w14:paraId="5A2764A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3.11%</w:t>
            </w:r>
          </w:p>
        </w:tc>
        <w:tc>
          <w:tcPr>
            <w:tcW w:w="980" w:type="dxa"/>
            <w:tcBorders>
              <w:top w:val="nil"/>
              <w:left w:val="nil"/>
              <w:bottom w:val="single" w:sz="4" w:space="0" w:color="auto"/>
              <w:right w:val="single" w:sz="4" w:space="0" w:color="auto"/>
            </w:tcBorders>
            <w:shd w:val="clear" w:color="auto" w:fill="auto"/>
            <w:noWrap/>
            <w:vAlign w:val="bottom"/>
            <w:hideMark/>
          </w:tcPr>
          <w:p w14:paraId="344CA39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0.00%</w:t>
            </w:r>
          </w:p>
        </w:tc>
      </w:tr>
      <w:tr w:rsidR="00F20114" w:rsidRPr="00934350" w14:paraId="597A88B4"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540C868"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BOROONDARA(C)</w:t>
            </w:r>
          </w:p>
        </w:tc>
        <w:tc>
          <w:tcPr>
            <w:tcW w:w="960" w:type="dxa"/>
            <w:tcBorders>
              <w:top w:val="nil"/>
              <w:left w:val="nil"/>
              <w:bottom w:val="single" w:sz="4" w:space="0" w:color="auto"/>
              <w:right w:val="single" w:sz="4" w:space="0" w:color="auto"/>
            </w:tcBorders>
            <w:shd w:val="clear" w:color="auto" w:fill="auto"/>
            <w:noWrap/>
            <w:vAlign w:val="bottom"/>
            <w:hideMark/>
          </w:tcPr>
          <w:p w14:paraId="2154EA1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4.29%</w:t>
            </w:r>
          </w:p>
        </w:tc>
        <w:tc>
          <w:tcPr>
            <w:tcW w:w="1220" w:type="dxa"/>
            <w:tcBorders>
              <w:top w:val="nil"/>
              <w:left w:val="nil"/>
              <w:bottom w:val="single" w:sz="4" w:space="0" w:color="auto"/>
              <w:right w:val="single" w:sz="4" w:space="0" w:color="auto"/>
            </w:tcBorders>
            <w:shd w:val="clear" w:color="auto" w:fill="auto"/>
            <w:noWrap/>
            <w:vAlign w:val="bottom"/>
            <w:hideMark/>
          </w:tcPr>
          <w:p w14:paraId="51A44F1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2.9%</w:t>
            </w:r>
          </w:p>
        </w:tc>
        <w:tc>
          <w:tcPr>
            <w:tcW w:w="960" w:type="dxa"/>
            <w:tcBorders>
              <w:top w:val="nil"/>
              <w:left w:val="nil"/>
              <w:bottom w:val="single" w:sz="4" w:space="0" w:color="auto"/>
              <w:right w:val="single" w:sz="4" w:space="0" w:color="auto"/>
            </w:tcBorders>
            <w:shd w:val="clear" w:color="auto" w:fill="auto"/>
            <w:noWrap/>
            <w:vAlign w:val="bottom"/>
            <w:hideMark/>
          </w:tcPr>
          <w:p w14:paraId="2779FE3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3.5%</w:t>
            </w:r>
          </w:p>
        </w:tc>
        <w:tc>
          <w:tcPr>
            <w:tcW w:w="960" w:type="dxa"/>
            <w:tcBorders>
              <w:top w:val="nil"/>
              <w:left w:val="nil"/>
              <w:bottom w:val="single" w:sz="4" w:space="0" w:color="auto"/>
              <w:right w:val="single" w:sz="4" w:space="0" w:color="auto"/>
            </w:tcBorders>
            <w:shd w:val="clear" w:color="auto" w:fill="auto"/>
            <w:noWrap/>
            <w:vAlign w:val="bottom"/>
            <w:hideMark/>
          </w:tcPr>
          <w:p w14:paraId="0E196E6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4.57%</w:t>
            </w:r>
          </w:p>
        </w:tc>
        <w:tc>
          <w:tcPr>
            <w:tcW w:w="960" w:type="dxa"/>
            <w:tcBorders>
              <w:top w:val="nil"/>
              <w:left w:val="nil"/>
              <w:bottom w:val="single" w:sz="4" w:space="0" w:color="auto"/>
              <w:right w:val="single" w:sz="4" w:space="0" w:color="auto"/>
            </w:tcBorders>
            <w:shd w:val="clear" w:color="auto" w:fill="auto"/>
            <w:noWrap/>
            <w:vAlign w:val="bottom"/>
            <w:hideMark/>
          </w:tcPr>
          <w:p w14:paraId="00AE102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3.57%</w:t>
            </w:r>
          </w:p>
        </w:tc>
        <w:tc>
          <w:tcPr>
            <w:tcW w:w="960" w:type="dxa"/>
            <w:tcBorders>
              <w:top w:val="nil"/>
              <w:left w:val="nil"/>
              <w:bottom w:val="single" w:sz="4" w:space="0" w:color="auto"/>
              <w:right w:val="single" w:sz="4" w:space="0" w:color="auto"/>
            </w:tcBorders>
            <w:shd w:val="clear" w:color="auto" w:fill="auto"/>
            <w:noWrap/>
            <w:vAlign w:val="bottom"/>
            <w:hideMark/>
          </w:tcPr>
          <w:p w14:paraId="30AEB017"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3.21%</w:t>
            </w:r>
          </w:p>
        </w:tc>
        <w:tc>
          <w:tcPr>
            <w:tcW w:w="980" w:type="dxa"/>
            <w:tcBorders>
              <w:top w:val="nil"/>
              <w:left w:val="nil"/>
              <w:bottom w:val="single" w:sz="4" w:space="0" w:color="auto"/>
              <w:right w:val="single" w:sz="4" w:space="0" w:color="auto"/>
            </w:tcBorders>
            <w:shd w:val="clear" w:color="auto" w:fill="auto"/>
            <w:noWrap/>
            <w:vAlign w:val="bottom"/>
            <w:hideMark/>
          </w:tcPr>
          <w:p w14:paraId="38A628D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0.97%</w:t>
            </w:r>
          </w:p>
        </w:tc>
      </w:tr>
      <w:tr w:rsidR="00F20114" w:rsidRPr="00934350" w14:paraId="2A5F4BA3"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CDB3E87"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BRIMBANK(C)</w:t>
            </w:r>
          </w:p>
        </w:tc>
        <w:tc>
          <w:tcPr>
            <w:tcW w:w="960" w:type="dxa"/>
            <w:tcBorders>
              <w:top w:val="nil"/>
              <w:left w:val="nil"/>
              <w:bottom w:val="single" w:sz="4" w:space="0" w:color="auto"/>
              <w:right w:val="single" w:sz="4" w:space="0" w:color="auto"/>
            </w:tcBorders>
            <w:shd w:val="clear" w:color="auto" w:fill="auto"/>
            <w:noWrap/>
            <w:vAlign w:val="bottom"/>
            <w:hideMark/>
          </w:tcPr>
          <w:p w14:paraId="11FA926B"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5.52%</w:t>
            </w:r>
          </w:p>
        </w:tc>
        <w:tc>
          <w:tcPr>
            <w:tcW w:w="1220" w:type="dxa"/>
            <w:tcBorders>
              <w:top w:val="nil"/>
              <w:left w:val="nil"/>
              <w:bottom w:val="single" w:sz="4" w:space="0" w:color="auto"/>
              <w:right w:val="single" w:sz="4" w:space="0" w:color="auto"/>
            </w:tcBorders>
            <w:shd w:val="clear" w:color="auto" w:fill="auto"/>
            <w:noWrap/>
            <w:vAlign w:val="bottom"/>
            <w:hideMark/>
          </w:tcPr>
          <w:p w14:paraId="54CFD06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4.2%</w:t>
            </w:r>
          </w:p>
        </w:tc>
        <w:tc>
          <w:tcPr>
            <w:tcW w:w="960" w:type="dxa"/>
            <w:tcBorders>
              <w:top w:val="nil"/>
              <w:left w:val="nil"/>
              <w:bottom w:val="single" w:sz="4" w:space="0" w:color="auto"/>
              <w:right w:val="single" w:sz="4" w:space="0" w:color="auto"/>
            </w:tcBorders>
            <w:shd w:val="clear" w:color="auto" w:fill="auto"/>
            <w:noWrap/>
            <w:vAlign w:val="bottom"/>
            <w:hideMark/>
          </w:tcPr>
          <w:p w14:paraId="437A44A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4.5%</w:t>
            </w:r>
          </w:p>
        </w:tc>
        <w:tc>
          <w:tcPr>
            <w:tcW w:w="960" w:type="dxa"/>
            <w:tcBorders>
              <w:top w:val="nil"/>
              <w:left w:val="nil"/>
              <w:bottom w:val="single" w:sz="4" w:space="0" w:color="auto"/>
              <w:right w:val="single" w:sz="4" w:space="0" w:color="auto"/>
            </w:tcBorders>
            <w:shd w:val="clear" w:color="auto" w:fill="auto"/>
            <w:noWrap/>
            <w:vAlign w:val="bottom"/>
            <w:hideMark/>
          </w:tcPr>
          <w:p w14:paraId="44A96B1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4.20%</w:t>
            </w:r>
          </w:p>
        </w:tc>
        <w:tc>
          <w:tcPr>
            <w:tcW w:w="960" w:type="dxa"/>
            <w:tcBorders>
              <w:top w:val="nil"/>
              <w:left w:val="nil"/>
              <w:bottom w:val="single" w:sz="4" w:space="0" w:color="auto"/>
              <w:right w:val="single" w:sz="4" w:space="0" w:color="auto"/>
            </w:tcBorders>
            <w:shd w:val="clear" w:color="auto" w:fill="auto"/>
            <w:noWrap/>
            <w:vAlign w:val="bottom"/>
            <w:hideMark/>
          </w:tcPr>
          <w:p w14:paraId="327E9E8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3.53%</w:t>
            </w:r>
          </w:p>
        </w:tc>
        <w:tc>
          <w:tcPr>
            <w:tcW w:w="960" w:type="dxa"/>
            <w:tcBorders>
              <w:top w:val="nil"/>
              <w:left w:val="nil"/>
              <w:bottom w:val="single" w:sz="4" w:space="0" w:color="auto"/>
              <w:right w:val="single" w:sz="4" w:space="0" w:color="auto"/>
            </w:tcBorders>
            <w:shd w:val="clear" w:color="auto" w:fill="auto"/>
            <w:noWrap/>
            <w:vAlign w:val="bottom"/>
            <w:hideMark/>
          </w:tcPr>
          <w:p w14:paraId="3E93C7C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3.03%</w:t>
            </w:r>
          </w:p>
        </w:tc>
        <w:tc>
          <w:tcPr>
            <w:tcW w:w="980" w:type="dxa"/>
            <w:tcBorders>
              <w:top w:val="nil"/>
              <w:left w:val="nil"/>
              <w:bottom w:val="single" w:sz="4" w:space="0" w:color="auto"/>
              <w:right w:val="single" w:sz="4" w:space="0" w:color="auto"/>
            </w:tcBorders>
            <w:shd w:val="clear" w:color="auto" w:fill="auto"/>
            <w:noWrap/>
            <w:vAlign w:val="bottom"/>
            <w:hideMark/>
          </w:tcPr>
          <w:p w14:paraId="4664F6D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0.77%</w:t>
            </w:r>
          </w:p>
        </w:tc>
      </w:tr>
      <w:tr w:rsidR="00F20114" w:rsidRPr="00934350" w14:paraId="48FA8FBE"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4E56D68"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lastRenderedPageBreak/>
              <w:t>BULOKE(S)</w:t>
            </w:r>
          </w:p>
        </w:tc>
        <w:tc>
          <w:tcPr>
            <w:tcW w:w="960" w:type="dxa"/>
            <w:tcBorders>
              <w:top w:val="nil"/>
              <w:left w:val="nil"/>
              <w:bottom w:val="single" w:sz="4" w:space="0" w:color="auto"/>
              <w:right w:val="single" w:sz="4" w:space="0" w:color="auto"/>
            </w:tcBorders>
            <w:shd w:val="clear" w:color="auto" w:fill="auto"/>
            <w:noWrap/>
            <w:vAlign w:val="bottom"/>
            <w:hideMark/>
          </w:tcPr>
          <w:p w14:paraId="10A2E34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3.43%</w:t>
            </w:r>
          </w:p>
        </w:tc>
        <w:tc>
          <w:tcPr>
            <w:tcW w:w="122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3F70DD6" w14:textId="77777777" w:rsidR="00F20114" w:rsidRPr="00934350" w:rsidRDefault="00F20114" w:rsidP="00F20114">
            <w:pPr>
              <w:jc w:val="right"/>
              <w:rPr>
                <w:rFonts w:ascii="Calibri" w:hAnsi="Calibri"/>
                <w:color w:val="9C0006"/>
                <w:sz w:val="20"/>
                <w:lang w:eastAsia="en-AU"/>
              </w:rPr>
            </w:pPr>
            <w:r w:rsidRPr="00934350">
              <w:rPr>
                <w:rFonts w:ascii="Calibri" w:hAnsi="Calibri"/>
                <w:color w:val="9C0006"/>
                <w:sz w:val="20"/>
                <w:lang w:eastAsia="en-AU"/>
              </w:rPr>
              <w:t>1.8%</w:t>
            </w:r>
          </w:p>
        </w:tc>
        <w:tc>
          <w:tcPr>
            <w:tcW w:w="960" w:type="dxa"/>
            <w:tcBorders>
              <w:top w:val="nil"/>
              <w:left w:val="nil"/>
              <w:bottom w:val="single" w:sz="4" w:space="0" w:color="auto"/>
              <w:right w:val="single" w:sz="4" w:space="0" w:color="auto"/>
            </w:tcBorders>
            <w:shd w:val="clear" w:color="auto" w:fill="auto"/>
            <w:noWrap/>
            <w:vAlign w:val="bottom"/>
            <w:hideMark/>
          </w:tcPr>
          <w:p w14:paraId="47DAB72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3.4%</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2CB199BB" w14:textId="77777777" w:rsidR="00F20114" w:rsidRPr="00934350" w:rsidRDefault="00F20114" w:rsidP="00F20114">
            <w:pPr>
              <w:jc w:val="right"/>
              <w:rPr>
                <w:rFonts w:ascii="Calibri" w:hAnsi="Calibri"/>
                <w:color w:val="9C0006"/>
                <w:sz w:val="20"/>
                <w:lang w:eastAsia="en-AU"/>
              </w:rPr>
            </w:pPr>
            <w:r w:rsidRPr="00934350">
              <w:rPr>
                <w:rFonts w:ascii="Calibri" w:hAnsi="Calibri"/>
                <w:color w:val="9C0006"/>
                <w:sz w:val="20"/>
                <w:lang w:eastAsia="en-AU"/>
              </w:rPr>
              <w:t>2.44%</w:t>
            </w:r>
          </w:p>
        </w:tc>
        <w:tc>
          <w:tcPr>
            <w:tcW w:w="960" w:type="dxa"/>
            <w:tcBorders>
              <w:top w:val="nil"/>
              <w:left w:val="nil"/>
              <w:bottom w:val="single" w:sz="4" w:space="0" w:color="auto"/>
              <w:right w:val="single" w:sz="4" w:space="0" w:color="auto"/>
            </w:tcBorders>
            <w:shd w:val="clear" w:color="auto" w:fill="auto"/>
            <w:noWrap/>
            <w:vAlign w:val="bottom"/>
            <w:hideMark/>
          </w:tcPr>
          <w:p w14:paraId="34635BB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3.10%</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62C38CCB" w14:textId="77777777" w:rsidR="00F20114" w:rsidRPr="00934350" w:rsidRDefault="00F20114" w:rsidP="00F20114">
            <w:pPr>
              <w:jc w:val="right"/>
              <w:rPr>
                <w:rFonts w:ascii="Calibri" w:hAnsi="Calibri"/>
                <w:color w:val="9C0006"/>
                <w:sz w:val="20"/>
                <w:lang w:eastAsia="en-AU"/>
              </w:rPr>
            </w:pPr>
            <w:r w:rsidRPr="00934350">
              <w:rPr>
                <w:rFonts w:ascii="Calibri" w:hAnsi="Calibri"/>
                <w:color w:val="9C0006"/>
                <w:sz w:val="20"/>
                <w:lang w:eastAsia="en-AU"/>
              </w:rPr>
              <w:t>1.84%</w:t>
            </w:r>
          </w:p>
        </w:tc>
        <w:tc>
          <w:tcPr>
            <w:tcW w:w="980" w:type="dxa"/>
            <w:tcBorders>
              <w:top w:val="nil"/>
              <w:left w:val="nil"/>
              <w:bottom w:val="single" w:sz="4" w:space="0" w:color="auto"/>
              <w:right w:val="single" w:sz="4" w:space="0" w:color="auto"/>
            </w:tcBorders>
            <w:shd w:val="clear" w:color="auto" w:fill="auto"/>
            <w:noWrap/>
            <w:vAlign w:val="bottom"/>
            <w:hideMark/>
          </w:tcPr>
          <w:p w14:paraId="02FD42DB"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0.00%</w:t>
            </w:r>
          </w:p>
        </w:tc>
      </w:tr>
      <w:tr w:rsidR="00F20114" w:rsidRPr="00934350" w14:paraId="0FE308DA"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F69511A"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CAMPASPE(S)</w:t>
            </w:r>
          </w:p>
        </w:tc>
        <w:tc>
          <w:tcPr>
            <w:tcW w:w="960" w:type="dxa"/>
            <w:tcBorders>
              <w:top w:val="nil"/>
              <w:left w:val="nil"/>
              <w:bottom w:val="single" w:sz="4" w:space="0" w:color="auto"/>
              <w:right w:val="single" w:sz="4" w:space="0" w:color="auto"/>
            </w:tcBorders>
            <w:shd w:val="clear" w:color="auto" w:fill="auto"/>
            <w:noWrap/>
            <w:vAlign w:val="bottom"/>
            <w:hideMark/>
          </w:tcPr>
          <w:p w14:paraId="1659449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6.33%</w:t>
            </w:r>
          </w:p>
        </w:tc>
        <w:tc>
          <w:tcPr>
            <w:tcW w:w="1220" w:type="dxa"/>
            <w:tcBorders>
              <w:top w:val="nil"/>
              <w:left w:val="nil"/>
              <w:bottom w:val="single" w:sz="4" w:space="0" w:color="auto"/>
              <w:right w:val="single" w:sz="4" w:space="0" w:color="auto"/>
            </w:tcBorders>
            <w:shd w:val="clear" w:color="auto" w:fill="auto"/>
            <w:noWrap/>
            <w:vAlign w:val="bottom"/>
            <w:hideMark/>
          </w:tcPr>
          <w:p w14:paraId="79A8144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2.4%</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401F3BC4" w14:textId="77777777" w:rsidR="00F20114" w:rsidRPr="00934350" w:rsidRDefault="00F20114" w:rsidP="00F20114">
            <w:pPr>
              <w:jc w:val="right"/>
              <w:rPr>
                <w:rFonts w:ascii="Calibri" w:hAnsi="Calibri"/>
                <w:color w:val="9C0006"/>
                <w:sz w:val="20"/>
                <w:lang w:eastAsia="en-AU"/>
              </w:rPr>
            </w:pPr>
            <w:r w:rsidRPr="00934350">
              <w:rPr>
                <w:rFonts w:ascii="Calibri" w:hAnsi="Calibri"/>
                <w:color w:val="9C0006"/>
                <w:sz w:val="20"/>
                <w:lang w:eastAsia="en-AU"/>
              </w:rPr>
              <w:t>2.6%</w:t>
            </w:r>
          </w:p>
        </w:tc>
        <w:tc>
          <w:tcPr>
            <w:tcW w:w="960" w:type="dxa"/>
            <w:tcBorders>
              <w:top w:val="nil"/>
              <w:left w:val="nil"/>
              <w:bottom w:val="single" w:sz="4" w:space="0" w:color="auto"/>
              <w:right w:val="single" w:sz="4" w:space="0" w:color="auto"/>
            </w:tcBorders>
            <w:shd w:val="clear" w:color="auto" w:fill="auto"/>
            <w:noWrap/>
            <w:vAlign w:val="bottom"/>
            <w:hideMark/>
          </w:tcPr>
          <w:p w14:paraId="0944A2C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3.83%</w:t>
            </w:r>
          </w:p>
        </w:tc>
        <w:tc>
          <w:tcPr>
            <w:tcW w:w="960" w:type="dxa"/>
            <w:tcBorders>
              <w:top w:val="nil"/>
              <w:left w:val="nil"/>
              <w:bottom w:val="single" w:sz="4" w:space="0" w:color="auto"/>
              <w:right w:val="single" w:sz="4" w:space="0" w:color="auto"/>
            </w:tcBorders>
            <w:shd w:val="clear" w:color="auto" w:fill="auto"/>
            <w:noWrap/>
            <w:vAlign w:val="bottom"/>
            <w:hideMark/>
          </w:tcPr>
          <w:p w14:paraId="292648B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2.95%</w:t>
            </w:r>
          </w:p>
        </w:tc>
        <w:tc>
          <w:tcPr>
            <w:tcW w:w="960" w:type="dxa"/>
            <w:tcBorders>
              <w:top w:val="nil"/>
              <w:left w:val="nil"/>
              <w:bottom w:val="single" w:sz="4" w:space="0" w:color="auto"/>
              <w:right w:val="single" w:sz="4" w:space="0" w:color="auto"/>
            </w:tcBorders>
            <w:shd w:val="clear" w:color="auto" w:fill="auto"/>
            <w:noWrap/>
            <w:vAlign w:val="bottom"/>
            <w:hideMark/>
          </w:tcPr>
          <w:p w14:paraId="3CC0A82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2.57%</w:t>
            </w:r>
          </w:p>
        </w:tc>
        <w:tc>
          <w:tcPr>
            <w:tcW w:w="980" w:type="dxa"/>
            <w:tcBorders>
              <w:top w:val="nil"/>
              <w:left w:val="nil"/>
              <w:bottom w:val="single" w:sz="4" w:space="0" w:color="auto"/>
              <w:right w:val="single" w:sz="4" w:space="0" w:color="auto"/>
            </w:tcBorders>
            <w:shd w:val="clear" w:color="auto" w:fill="auto"/>
            <w:noWrap/>
            <w:vAlign w:val="bottom"/>
            <w:hideMark/>
          </w:tcPr>
          <w:p w14:paraId="46002D9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0.47%</w:t>
            </w:r>
          </w:p>
        </w:tc>
      </w:tr>
      <w:tr w:rsidR="00F20114" w:rsidRPr="00934350" w14:paraId="75C3F435"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3D74FBE"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CARDINIA(S)</w:t>
            </w:r>
          </w:p>
        </w:tc>
        <w:tc>
          <w:tcPr>
            <w:tcW w:w="960" w:type="dxa"/>
            <w:tcBorders>
              <w:top w:val="nil"/>
              <w:left w:val="nil"/>
              <w:bottom w:val="single" w:sz="4" w:space="0" w:color="auto"/>
              <w:right w:val="single" w:sz="4" w:space="0" w:color="auto"/>
            </w:tcBorders>
            <w:shd w:val="clear" w:color="auto" w:fill="auto"/>
            <w:noWrap/>
            <w:vAlign w:val="bottom"/>
            <w:hideMark/>
          </w:tcPr>
          <w:p w14:paraId="461AD682"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7.72%</w:t>
            </w:r>
          </w:p>
        </w:tc>
        <w:tc>
          <w:tcPr>
            <w:tcW w:w="1220" w:type="dxa"/>
            <w:tcBorders>
              <w:top w:val="nil"/>
              <w:left w:val="nil"/>
              <w:bottom w:val="single" w:sz="4" w:space="0" w:color="auto"/>
              <w:right w:val="single" w:sz="4" w:space="0" w:color="auto"/>
            </w:tcBorders>
            <w:shd w:val="clear" w:color="auto" w:fill="auto"/>
            <w:noWrap/>
            <w:vAlign w:val="bottom"/>
            <w:hideMark/>
          </w:tcPr>
          <w:p w14:paraId="0EA412B2"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7.8%</w:t>
            </w:r>
          </w:p>
        </w:tc>
        <w:tc>
          <w:tcPr>
            <w:tcW w:w="960" w:type="dxa"/>
            <w:tcBorders>
              <w:top w:val="nil"/>
              <w:left w:val="nil"/>
              <w:bottom w:val="single" w:sz="4" w:space="0" w:color="auto"/>
              <w:right w:val="single" w:sz="4" w:space="0" w:color="auto"/>
            </w:tcBorders>
            <w:shd w:val="clear" w:color="auto" w:fill="auto"/>
            <w:noWrap/>
            <w:vAlign w:val="bottom"/>
            <w:hideMark/>
          </w:tcPr>
          <w:p w14:paraId="476DE57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10.1%</w:t>
            </w:r>
          </w:p>
        </w:tc>
        <w:tc>
          <w:tcPr>
            <w:tcW w:w="960" w:type="dxa"/>
            <w:tcBorders>
              <w:top w:val="nil"/>
              <w:left w:val="nil"/>
              <w:bottom w:val="single" w:sz="4" w:space="0" w:color="auto"/>
              <w:right w:val="single" w:sz="4" w:space="0" w:color="auto"/>
            </w:tcBorders>
            <w:shd w:val="clear" w:color="auto" w:fill="auto"/>
            <w:noWrap/>
            <w:vAlign w:val="bottom"/>
            <w:hideMark/>
          </w:tcPr>
          <w:p w14:paraId="5E0A00C4"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7.46%</w:t>
            </w:r>
          </w:p>
        </w:tc>
        <w:tc>
          <w:tcPr>
            <w:tcW w:w="960" w:type="dxa"/>
            <w:tcBorders>
              <w:top w:val="nil"/>
              <w:left w:val="nil"/>
              <w:bottom w:val="single" w:sz="4" w:space="0" w:color="auto"/>
              <w:right w:val="single" w:sz="4" w:space="0" w:color="auto"/>
            </w:tcBorders>
            <w:shd w:val="clear" w:color="auto" w:fill="auto"/>
            <w:noWrap/>
            <w:vAlign w:val="bottom"/>
            <w:hideMark/>
          </w:tcPr>
          <w:p w14:paraId="40CC51EB"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8.73%</w:t>
            </w:r>
          </w:p>
        </w:tc>
        <w:tc>
          <w:tcPr>
            <w:tcW w:w="960" w:type="dxa"/>
            <w:tcBorders>
              <w:top w:val="nil"/>
              <w:left w:val="nil"/>
              <w:bottom w:val="single" w:sz="4" w:space="0" w:color="auto"/>
              <w:right w:val="single" w:sz="4" w:space="0" w:color="auto"/>
            </w:tcBorders>
            <w:shd w:val="clear" w:color="auto" w:fill="auto"/>
            <w:noWrap/>
            <w:vAlign w:val="bottom"/>
            <w:hideMark/>
          </w:tcPr>
          <w:p w14:paraId="796F81BB"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5.55%</w:t>
            </w:r>
          </w:p>
        </w:tc>
        <w:tc>
          <w:tcPr>
            <w:tcW w:w="980" w:type="dxa"/>
            <w:tcBorders>
              <w:top w:val="nil"/>
              <w:left w:val="nil"/>
              <w:bottom w:val="single" w:sz="4" w:space="0" w:color="auto"/>
              <w:right w:val="single" w:sz="4" w:space="0" w:color="auto"/>
            </w:tcBorders>
            <w:shd w:val="clear" w:color="auto" w:fill="auto"/>
            <w:noWrap/>
            <w:vAlign w:val="bottom"/>
            <w:hideMark/>
          </w:tcPr>
          <w:p w14:paraId="45D0C93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2.33%</w:t>
            </w:r>
          </w:p>
        </w:tc>
      </w:tr>
      <w:tr w:rsidR="00F20114" w:rsidRPr="00934350" w14:paraId="4C3CEDB2"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97C7C0D"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CASEY(C)</w:t>
            </w:r>
          </w:p>
        </w:tc>
        <w:tc>
          <w:tcPr>
            <w:tcW w:w="960" w:type="dxa"/>
            <w:tcBorders>
              <w:top w:val="nil"/>
              <w:left w:val="nil"/>
              <w:bottom w:val="single" w:sz="4" w:space="0" w:color="auto"/>
              <w:right w:val="single" w:sz="4" w:space="0" w:color="auto"/>
            </w:tcBorders>
            <w:shd w:val="clear" w:color="auto" w:fill="auto"/>
            <w:noWrap/>
            <w:vAlign w:val="bottom"/>
            <w:hideMark/>
          </w:tcPr>
          <w:p w14:paraId="37B0070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6.75%</w:t>
            </w:r>
          </w:p>
        </w:tc>
        <w:tc>
          <w:tcPr>
            <w:tcW w:w="1220" w:type="dxa"/>
            <w:tcBorders>
              <w:top w:val="nil"/>
              <w:left w:val="nil"/>
              <w:bottom w:val="single" w:sz="4" w:space="0" w:color="auto"/>
              <w:right w:val="single" w:sz="4" w:space="0" w:color="auto"/>
            </w:tcBorders>
            <w:shd w:val="clear" w:color="auto" w:fill="auto"/>
            <w:noWrap/>
            <w:vAlign w:val="bottom"/>
            <w:hideMark/>
          </w:tcPr>
          <w:p w14:paraId="770A0DE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4.8%</w:t>
            </w:r>
          </w:p>
        </w:tc>
        <w:tc>
          <w:tcPr>
            <w:tcW w:w="960" w:type="dxa"/>
            <w:tcBorders>
              <w:top w:val="nil"/>
              <w:left w:val="nil"/>
              <w:bottom w:val="single" w:sz="4" w:space="0" w:color="auto"/>
              <w:right w:val="single" w:sz="4" w:space="0" w:color="auto"/>
            </w:tcBorders>
            <w:shd w:val="clear" w:color="auto" w:fill="auto"/>
            <w:noWrap/>
            <w:vAlign w:val="bottom"/>
            <w:hideMark/>
          </w:tcPr>
          <w:p w14:paraId="57C33A04"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5.6%</w:t>
            </w:r>
          </w:p>
        </w:tc>
        <w:tc>
          <w:tcPr>
            <w:tcW w:w="960" w:type="dxa"/>
            <w:tcBorders>
              <w:top w:val="nil"/>
              <w:left w:val="nil"/>
              <w:bottom w:val="single" w:sz="4" w:space="0" w:color="auto"/>
              <w:right w:val="single" w:sz="4" w:space="0" w:color="auto"/>
            </w:tcBorders>
            <w:shd w:val="clear" w:color="auto" w:fill="auto"/>
            <w:noWrap/>
            <w:vAlign w:val="bottom"/>
            <w:hideMark/>
          </w:tcPr>
          <w:p w14:paraId="77959E04"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6.19%</w:t>
            </w:r>
          </w:p>
        </w:tc>
        <w:tc>
          <w:tcPr>
            <w:tcW w:w="960" w:type="dxa"/>
            <w:tcBorders>
              <w:top w:val="nil"/>
              <w:left w:val="nil"/>
              <w:bottom w:val="single" w:sz="4" w:space="0" w:color="auto"/>
              <w:right w:val="single" w:sz="4" w:space="0" w:color="auto"/>
            </w:tcBorders>
            <w:shd w:val="clear" w:color="auto" w:fill="auto"/>
            <w:noWrap/>
            <w:vAlign w:val="bottom"/>
            <w:hideMark/>
          </w:tcPr>
          <w:p w14:paraId="41DBF53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5.00%</w:t>
            </w:r>
          </w:p>
        </w:tc>
        <w:tc>
          <w:tcPr>
            <w:tcW w:w="960" w:type="dxa"/>
            <w:tcBorders>
              <w:top w:val="nil"/>
              <w:left w:val="nil"/>
              <w:bottom w:val="single" w:sz="4" w:space="0" w:color="auto"/>
              <w:right w:val="single" w:sz="4" w:space="0" w:color="auto"/>
            </w:tcBorders>
            <w:shd w:val="clear" w:color="auto" w:fill="auto"/>
            <w:noWrap/>
            <w:vAlign w:val="bottom"/>
            <w:hideMark/>
          </w:tcPr>
          <w:p w14:paraId="2E5C13A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5.13%</w:t>
            </w:r>
          </w:p>
        </w:tc>
        <w:tc>
          <w:tcPr>
            <w:tcW w:w="980" w:type="dxa"/>
            <w:tcBorders>
              <w:top w:val="nil"/>
              <w:left w:val="nil"/>
              <w:bottom w:val="single" w:sz="4" w:space="0" w:color="auto"/>
              <w:right w:val="single" w:sz="4" w:space="0" w:color="auto"/>
            </w:tcBorders>
            <w:shd w:val="clear" w:color="auto" w:fill="auto"/>
            <w:noWrap/>
            <w:vAlign w:val="bottom"/>
            <w:hideMark/>
          </w:tcPr>
          <w:p w14:paraId="1D6BD0FB"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1.89%</w:t>
            </w:r>
          </w:p>
        </w:tc>
      </w:tr>
      <w:tr w:rsidR="00F20114" w:rsidRPr="00934350" w14:paraId="2686A033"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877AE90"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CENTRAL GOLDFIELDS(S)</w:t>
            </w:r>
          </w:p>
        </w:tc>
        <w:tc>
          <w:tcPr>
            <w:tcW w:w="960" w:type="dxa"/>
            <w:tcBorders>
              <w:top w:val="nil"/>
              <w:left w:val="nil"/>
              <w:bottom w:val="single" w:sz="4" w:space="0" w:color="auto"/>
              <w:right w:val="single" w:sz="4" w:space="0" w:color="auto"/>
            </w:tcBorders>
            <w:shd w:val="clear" w:color="auto" w:fill="auto"/>
            <w:noWrap/>
            <w:vAlign w:val="bottom"/>
            <w:hideMark/>
          </w:tcPr>
          <w:p w14:paraId="0270AF8B"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3.30%</w:t>
            </w:r>
          </w:p>
        </w:tc>
        <w:tc>
          <w:tcPr>
            <w:tcW w:w="1220" w:type="dxa"/>
            <w:tcBorders>
              <w:top w:val="nil"/>
              <w:left w:val="nil"/>
              <w:bottom w:val="single" w:sz="4" w:space="0" w:color="auto"/>
              <w:right w:val="single" w:sz="4" w:space="0" w:color="auto"/>
            </w:tcBorders>
            <w:shd w:val="clear" w:color="auto" w:fill="auto"/>
            <w:noWrap/>
            <w:vAlign w:val="bottom"/>
            <w:hideMark/>
          </w:tcPr>
          <w:p w14:paraId="380B2A2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6.7%</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1F5E19E1" w14:textId="77777777" w:rsidR="00F20114" w:rsidRPr="00934350" w:rsidRDefault="00F20114" w:rsidP="00F20114">
            <w:pPr>
              <w:jc w:val="right"/>
              <w:rPr>
                <w:rFonts w:ascii="Calibri" w:hAnsi="Calibri"/>
                <w:color w:val="9C0006"/>
                <w:sz w:val="20"/>
                <w:lang w:eastAsia="en-AU"/>
              </w:rPr>
            </w:pPr>
            <w:r w:rsidRPr="00934350">
              <w:rPr>
                <w:rFonts w:ascii="Calibri" w:hAnsi="Calibri"/>
                <w:color w:val="9C0006"/>
                <w:sz w:val="20"/>
                <w:lang w:eastAsia="en-AU"/>
              </w:rPr>
              <w:t>-1.9%</w:t>
            </w:r>
          </w:p>
        </w:tc>
        <w:tc>
          <w:tcPr>
            <w:tcW w:w="960" w:type="dxa"/>
            <w:tcBorders>
              <w:top w:val="nil"/>
              <w:left w:val="nil"/>
              <w:bottom w:val="single" w:sz="4" w:space="0" w:color="auto"/>
              <w:right w:val="single" w:sz="4" w:space="0" w:color="auto"/>
            </w:tcBorders>
            <w:shd w:val="clear" w:color="auto" w:fill="auto"/>
            <w:noWrap/>
            <w:vAlign w:val="bottom"/>
            <w:hideMark/>
          </w:tcPr>
          <w:p w14:paraId="78139E2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4.94%</w:t>
            </w:r>
          </w:p>
        </w:tc>
        <w:tc>
          <w:tcPr>
            <w:tcW w:w="960" w:type="dxa"/>
            <w:tcBorders>
              <w:top w:val="nil"/>
              <w:left w:val="nil"/>
              <w:bottom w:val="single" w:sz="4" w:space="0" w:color="auto"/>
              <w:right w:val="single" w:sz="4" w:space="0" w:color="auto"/>
            </w:tcBorders>
            <w:shd w:val="clear" w:color="auto" w:fill="auto"/>
            <w:noWrap/>
            <w:vAlign w:val="bottom"/>
            <w:hideMark/>
          </w:tcPr>
          <w:p w14:paraId="23A85BE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4.32%</w:t>
            </w:r>
          </w:p>
        </w:tc>
        <w:tc>
          <w:tcPr>
            <w:tcW w:w="960" w:type="dxa"/>
            <w:tcBorders>
              <w:top w:val="nil"/>
              <w:left w:val="nil"/>
              <w:bottom w:val="single" w:sz="4" w:space="0" w:color="auto"/>
              <w:right w:val="single" w:sz="4" w:space="0" w:color="auto"/>
            </w:tcBorders>
            <w:shd w:val="clear" w:color="auto" w:fill="auto"/>
            <w:noWrap/>
            <w:vAlign w:val="bottom"/>
            <w:hideMark/>
          </w:tcPr>
          <w:p w14:paraId="0CDB475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2.65%</w:t>
            </w:r>
          </w:p>
        </w:tc>
        <w:tc>
          <w:tcPr>
            <w:tcW w:w="980" w:type="dxa"/>
            <w:tcBorders>
              <w:top w:val="nil"/>
              <w:left w:val="nil"/>
              <w:bottom w:val="single" w:sz="4" w:space="0" w:color="auto"/>
              <w:right w:val="single" w:sz="4" w:space="0" w:color="auto"/>
            </w:tcBorders>
            <w:shd w:val="clear" w:color="auto" w:fill="auto"/>
            <w:noWrap/>
            <w:vAlign w:val="bottom"/>
            <w:hideMark/>
          </w:tcPr>
          <w:p w14:paraId="534C05C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-0.12%</w:t>
            </w:r>
          </w:p>
        </w:tc>
      </w:tr>
      <w:tr w:rsidR="00F20114" w:rsidRPr="00934350" w14:paraId="387E4424"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5BC9680"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COLAC-OTWAY(S)</w:t>
            </w:r>
          </w:p>
        </w:tc>
        <w:tc>
          <w:tcPr>
            <w:tcW w:w="960" w:type="dxa"/>
            <w:tcBorders>
              <w:top w:val="nil"/>
              <w:left w:val="nil"/>
              <w:bottom w:val="single" w:sz="4" w:space="0" w:color="auto"/>
              <w:right w:val="single" w:sz="4" w:space="0" w:color="auto"/>
            </w:tcBorders>
            <w:shd w:val="clear" w:color="auto" w:fill="auto"/>
            <w:noWrap/>
            <w:vAlign w:val="bottom"/>
            <w:hideMark/>
          </w:tcPr>
          <w:p w14:paraId="7EE67B6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4.03%</w:t>
            </w:r>
          </w:p>
        </w:tc>
        <w:tc>
          <w:tcPr>
            <w:tcW w:w="1220" w:type="dxa"/>
            <w:tcBorders>
              <w:top w:val="nil"/>
              <w:left w:val="nil"/>
              <w:bottom w:val="single" w:sz="4" w:space="0" w:color="auto"/>
              <w:right w:val="single" w:sz="4" w:space="0" w:color="auto"/>
            </w:tcBorders>
            <w:shd w:val="clear" w:color="auto" w:fill="auto"/>
            <w:noWrap/>
            <w:vAlign w:val="bottom"/>
            <w:hideMark/>
          </w:tcPr>
          <w:p w14:paraId="6B18DC2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3.0%</w:t>
            </w:r>
          </w:p>
        </w:tc>
        <w:tc>
          <w:tcPr>
            <w:tcW w:w="960" w:type="dxa"/>
            <w:tcBorders>
              <w:top w:val="nil"/>
              <w:left w:val="nil"/>
              <w:bottom w:val="single" w:sz="4" w:space="0" w:color="auto"/>
              <w:right w:val="single" w:sz="4" w:space="0" w:color="auto"/>
            </w:tcBorders>
            <w:shd w:val="clear" w:color="auto" w:fill="auto"/>
            <w:noWrap/>
            <w:vAlign w:val="bottom"/>
            <w:hideMark/>
          </w:tcPr>
          <w:p w14:paraId="33C2DE2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5.2%</w:t>
            </w:r>
          </w:p>
        </w:tc>
        <w:tc>
          <w:tcPr>
            <w:tcW w:w="960" w:type="dxa"/>
            <w:tcBorders>
              <w:top w:val="nil"/>
              <w:left w:val="nil"/>
              <w:bottom w:val="single" w:sz="4" w:space="0" w:color="auto"/>
              <w:right w:val="single" w:sz="4" w:space="0" w:color="auto"/>
            </w:tcBorders>
            <w:shd w:val="clear" w:color="auto" w:fill="auto"/>
            <w:noWrap/>
            <w:vAlign w:val="bottom"/>
            <w:hideMark/>
          </w:tcPr>
          <w:p w14:paraId="55D115C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3.78%</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13D08B9" w14:textId="77777777" w:rsidR="00F20114" w:rsidRPr="00934350" w:rsidRDefault="00F20114" w:rsidP="00F20114">
            <w:pPr>
              <w:jc w:val="right"/>
              <w:rPr>
                <w:rFonts w:ascii="Calibri" w:hAnsi="Calibri"/>
                <w:color w:val="9C0006"/>
                <w:sz w:val="20"/>
                <w:lang w:eastAsia="en-AU"/>
              </w:rPr>
            </w:pPr>
            <w:r w:rsidRPr="00934350">
              <w:rPr>
                <w:rFonts w:ascii="Calibri" w:hAnsi="Calibri"/>
                <w:color w:val="9C0006"/>
                <w:sz w:val="20"/>
                <w:lang w:eastAsia="en-AU"/>
              </w:rPr>
              <w:t>2.53%</w:t>
            </w:r>
          </w:p>
        </w:tc>
        <w:tc>
          <w:tcPr>
            <w:tcW w:w="960" w:type="dxa"/>
            <w:tcBorders>
              <w:top w:val="nil"/>
              <w:left w:val="nil"/>
              <w:bottom w:val="single" w:sz="4" w:space="0" w:color="auto"/>
              <w:right w:val="single" w:sz="4" w:space="0" w:color="auto"/>
            </w:tcBorders>
            <w:shd w:val="clear" w:color="auto" w:fill="auto"/>
            <w:noWrap/>
            <w:vAlign w:val="bottom"/>
            <w:hideMark/>
          </w:tcPr>
          <w:p w14:paraId="2D84791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4.94%</w:t>
            </w:r>
          </w:p>
        </w:tc>
        <w:tc>
          <w:tcPr>
            <w:tcW w:w="980" w:type="dxa"/>
            <w:tcBorders>
              <w:top w:val="nil"/>
              <w:left w:val="nil"/>
              <w:bottom w:val="single" w:sz="4" w:space="0" w:color="auto"/>
              <w:right w:val="single" w:sz="4" w:space="0" w:color="auto"/>
            </w:tcBorders>
            <w:shd w:val="clear" w:color="auto" w:fill="auto"/>
            <w:noWrap/>
            <w:vAlign w:val="bottom"/>
            <w:hideMark/>
          </w:tcPr>
          <w:p w14:paraId="4E26906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0.25%</w:t>
            </w:r>
          </w:p>
        </w:tc>
      </w:tr>
      <w:tr w:rsidR="00F20114" w:rsidRPr="00934350" w14:paraId="08E8FDD7"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F08DD90"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CORANGAMITE(S)</w:t>
            </w:r>
          </w:p>
        </w:tc>
        <w:tc>
          <w:tcPr>
            <w:tcW w:w="960" w:type="dxa"/>
            <w:tcBorders>
              <w:top w:val="nil"/>
              <w:left w:val="nil"/>
              <w:bottom w:val="single" w:sz="4" w:space="0" w:color="auto"/>
              <w:right w:val="single" w:sz="4" w:space="0" w:color="auto"/>
            </w:tcBorders>
            <w:shd w:val="clear" w:color="auto" w:fill="auto"/>
            <w:noWrap/>
            <w:vAlign w:val="bottom"/>
            <w:hideMark/>
          </w:tcPr>
          <w:p w14:paraId="7228B7E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3.04%</w:t>
            </w:r>
          </w:p>
        </w:tc>
        <w:tc>
          <w:tcPr>
            <w:tcW w:w="1220" w:type="dxa"/>
            <w:tcBorders>
              <w:top w:val="nil"/>
              <w:left w:val="nil"/>
              <w:bottom w:val="single" w:sz="4" w:space="0" w:color="auto"/>
              <w:right w:val="single" w:sz="4" w:space="0" w:color="auto"/>
            </w:tcBorders>
            <w:shd w:val="clear" w:color="auto" w:fill="auto"/>
            <w:noWrap/>
            <w:vAlign w:val="bottom"/>
            <w:hideMark/>
          </w:tcPr>
          <w:p w14:paraId="1F23E38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2.4%</w:t>
            </w:r>
          </w:p>
        </w:tc>
        <w:tc>
          <w:tcPr>
            <w:tcW w:w="960" w:type="dxa"/>
            <w:tcBorders>
              <w:top w:val="nil"/>
              <w:left w:val="nil"/>
              <w:bottom w:val="single" w:sz="4" w:space="0" w:color="auto"/>
              <w:right w:val="single" w:sz="4" w:space="0" w:color="auto"/>
            </w:tcBorders>
            <w:shd w:val="clear" w:color="auto" w:fill="auto"/>
            <w:noWrap/>
            <w:vAlign w:val="bottom"/>
            <w:hideMark/>
          </w:tcPr>
          <w:p w14:paraId="3EDD4867"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3.6%</w:t>
            </w:r>
          </w:p>
        </w:tc>
        <w:tc>
          <w:tcPr>
            <w:tcW w:w="960" w:type="dxa"/>
            <w:tcBorders>
              <w:top w:val="nil"/>
              <w:left w:val="nil"/>
              <w:bottom w:val="single" w:sz="4" w:space="0" w:color="auto"/>
              <w:right w:val="single" w:sz="4" w:space="0" w:color="auto"/>
            </w:tcBorders>
            <w:shd w:val="clear" w:color="auto" w:fill="auto"/>
            <w:noWrap/>
            <w:vAlign w:val="bottom"/>
            <w:hideMark/>
          </w:tcPr>
          <w:p w14:paraId="4A2F6964"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3.11%</w:t>
            </w:r>
          </w:p>
        </w:tc>
        <w:tc>
          <w:tcPr>
            <w:tcW w:w="960" w:type="dxa"/>
            <w:tcBorders>
              <w:top w:val="nil"/>
              <w:left w:val="nil"/>
              <w:bottom w:val="single" w:sz="4" w:space="0" w:color="auto"/>
              <w:right w:val="single" w:sz="4" w:space="0" w:color="auto"/>
            </w:tcBorders>
            <w:shd w:val="clear" w:color="auto" w:fill="auto"/>
            <w:noWrap/>
            <w:vAlign w:val="bottom"/>
            <w:hideMark/>
          </w:tcPr>
          <w:p w14:paraId="17EAF03B"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2.66%</w:t>
            </w:r>
          </w:p>
        </w:tc>
        <w:tc>
          <w:tcPr>
            <w:tcW w:w="960" w:type="dxa"/>
            <w:tcBorders>
              <w:top w:val="nil"/>
              <w:left w:val="nil"/>
              <w:bottom w:val="single" w:sz="4" w:space="0" w:color="auto"/>
              <w:right w:val="single" w:sz="4" w:space="0" w:color="auto"/>
            </w:tcBorders>
            <w:shd w:val="clear" w:color="auto" w:fill="auto"/>
            <w:noWrap/>
            <w:vAlign w:val="bottom"/>
            <w:hideMark/>
          </w:tcPr>
          <w:p w14:paraId="2B0EC52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3.03%</w:t>
            </w:r>
          </w:p>
        </w:tc>
        <w:tc>
          <w:tcPr>
            <w:tcW w:w="980" w:type="dxa"/>
            <w:tcBorders>
              <w:top w:val="nil"/>
              <w:left w:val="nil"/>
              <w:bottom w:val="single" w:sz="4" w:space="0" w:color="auto"/>
              <w:right w:val="single" w:sz="4" w:space="0" w:color="auto"/>
            </w:tcBorders>
            <w:shd w:val="clear" w:color="auto" w:fill="auto"/>
            <w:noWrap/>
            <w:vAlign w:val="bottom"/>
            <w:hideMark/>
          </w:tcPr>
          <w:p w14:paraId="70AF1C9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-0.13%</w:t>
            </w:r>
          </w:p>
        </w:tc>
      </w:tr>
      <w:tr w:rsidR="00F20114" w:rsidRPr="00934350" w14:paraId="66ADA6B1"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D5ED5ED"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DAREBIN(C)</w:t>
            </w:r>
          </w:p>
        </w:tc>
        <w:tc>
          <w:tcPr>
            <w:tcW w:w="960" w:type="dxa"/>
            <w:tcBorders>
              <w:top w:val="nil"/>
              <w:left w:val="nil"/>
              <w:bottom w:val="single" w:sz="4" w:space="0" w:color="auto"/>
              <w:right w:val="single" w:sz="4" w:space="0" w:color="auto"/>
            </w:tcBorders>
            <w:shd w:val="clear" w:color="auto" w:fill="auto"/>
            <w:noWrap/>
            <w:vAlign w:val="bottom"/>
            <w:hideMark/>
          </w:tcPr>
          <w:p w14:paraId="6A41E77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4.35%</w:t>
            </w:r>
          </w:p>
        </w:tc>
        <w:tc>
          <w:tcPr>
            <w:tcW w:w="1220" w:type="dxa"/>
            <w:tcBorders>
              <w:top w:val="nil"/>
              <w:left w:val="nil"/>
              <w:bottom w:val="single" w:sz="4" w:space="0" w:color="auto"/>
              <w:right w:val="single" w:sz="4" w:space="0" w:color="auto"/>
            </w:tcBorders>
            <w:shd w:val="clear" w:color="auto" w:fill="auto"/>
            <w:noWrap/>
            <w:vAlign w:val="bottom"/>
            <w:hideMark/>
          </w:tcPr>
          <w:p w14:paraId="7D59E8E4"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2.4%</w:t>
            </w:r>
          </w:p>
        </w:tc>
        <w:tc>
          <w:tcPr>
            <w:tcW w:w="960" w:type="dxa"/>
            <w:tcBorders>
              <w:top w:val="nil"/>
              <w:left w:val="nil"/>
              <w:bottom w:val="single" w:sz="4" w:space="0" w:color="auto"/>
              <w:right w:val="single" w:sz="4" w:space="0" w:color="auto"/>
            </w:tcBorders>
            <w:shd w:val="clear" w:color="auto" w:fill="auto"/>
            <w:noWrap/>
            <w:vAlign w:val="bottom"/>
            <w:hideMark/>
          </w:tcPr>
          <w:p w14:paraId="7D486E2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w:t>
            </w:r>
          </w:p>
        </w:tc>
        <w:tc>
          <w:tcPr>
            <w:tcW w:w="960" w:type="dxa"/>
            <w:tcBorders>
              <w:top w:val="nil"/>
              <w:left w:val="nil"/>
              <w:bottom w:val="single" w:sz="4" w:space="0" w:color="auto"/>
              <w:right w:val="single" w:sz="4" w:space="0" w:color="auto"/>
            </w:tcBorders>
            <w:shd w:val="clear" w:color="auto" w:fill="auto"/>
            <w:noWrap/>
            <w:vAlign w:val="bottom"/>
            <w:hideMark/>
          </w:tcPr>
          <w:p w14:paraId="5EB6F3F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4.18%</w:t>
            </w:r>
          </w:p>
        </w:tc>
        <w:tc>
          <w:tcPr>
            <w:tcW w:w="960" w:type="dxa"/>
            <w:tcBorders>
              <w:top w:val="nil"/>
              <w:left w:val="nil"/>
              <w:bottom w:val="single" w:sz="4" w:space="0" w:color="auto"/>
              <w:right w:val="single" w:sz="4" w:space="0" w:color="auto"/>
            </w:tcBorders>
            <w:shd w:val="clear" w:color="auto" w:fill="auto"/>
            <w:noWrap/>
            <w:vAlign w:val="bottom"/>
            <w:hideMark/>
          </w:tcPr>
          <w:p w14:paraId="2BBAE357"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5.00%</w:t>
            </w:r>
          </w:p>
        </w:tc>
        <w:tc>
          <w:tcPr>
            <w:tcW w:w="960" w:type="dxa"/>
            <w:tcBorders>
              <w:top w:val="nil"/>
              <w:left w:val="nil"/>
              <w:bottom w:val="single" w:sz="4" w:space="0" w:color="auto"/>
              <w:right w:val="single" w:sz="4" w:space="0" w:color="auto"/>
            </w:tcBorders>
            <w:shd w:val="clear" w:color="auto" w:fill="auto"/>
            <w:noWrap/>
            <w:vAlign w:val="bottom"/>
            <w:hideMark/>
          </w:tcPr>
          <w:p w14:paraId="3BB03D7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3.69%</w:t>
            </w:r>
          </w:p>
        </w:tc>
        <w:tc>
          <w:tcPr>
            <w:tcW w:w="980" w:type="dxa"/>
            <w:tcBorders>
              <w:top w:val="nil"/>
              <w:left w:val="nil"/>
              <w:bottom w:val="single" w:sz="4" w:space="0" w:color="auto"/>
              <w:right w:val="single" w:sz="4" w:space="0" w:color="auto"/>
            </w:tcBorders>
            <w:shd w:val="clear" w:color="auto" w:fill="auto"/>
            <w:noWrap/>
            <w:vAlign w:val="bottom"/>
            <w:hideMark/>
          </w:tcPr>
          <w:p w14:paraId="73322B22"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0.53%</w:t>
            </w:r>
          </w:p>
        </w:tc>
      </w:tr>
      <w:tr w:rsidR="00F20114" w:rsidRPr="00934350" w14:paraId="103AD454"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EE0D15C"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EAST GIPPSLAND(S)</w:t>
            </w:r>
          </w:p>
        </w:tc>
        <w:tc>
          <w:tcPr>
            <w:tcW w:w="960" w:type="dxa"/>
            <w:tcBorders>
              <w:top w:val="nil"/>
              <w:left w:val="nil"/>
              <w:bottom w:val="single" w:sz="4" w:space="0" w:color="auto"/>
              <w:right w:val="single" w:sz="4" w:space="0" w:color="auto"/>
            </w:tcBorders>
            <w:shd w:val="clear" w:color="auto" w:fill="auto"/>
            <w:noWrap/>
            <w:vAlign w:val="bottom"/>
            <w:hideMark/>
          </w:tcPr>
          <w:p w14:paraId="01CC6FF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4.59%</w:t>
            </w:r>
          </w:p>
        </w:tc>
        <w:tc>
          <w:tcPr>
            <w:tcW w:w="1220" w:type="dxa"/>
            <w:tcBorders>
              <w:top w:val="nil"/>
              <w:left w:val="nil"/>
              <w:bottom w:val="single" w:sz="4" w:space="0" w:color="auto"/>
              <w:right w:val="single" w:sz="4" w:space="0" w:color="auto"/>
            </w:tcBorders>
            <w:shd w:val="clear" w:color="auto" w:fill="auto"/>
            <w:noWrap/>
            <w:vAlign w:val="bottom"/>
            <w:hideMark/>
          </w:tcPr>
          <w:p w14:paraId="1AF043C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3.7%</w:t>
            </w:r>
          </w:p>
        </w:tc>
        <w:tc>
          <w:tcPr>
            <w:tcW w:w="960" w:type="dxa"/>
            <w:tcBorders>
              <w:top w:val="nil"/>
              <w:left w:val="nil"/>
              <w:bottom w:val="single" w:sz="4" w:space="0" w:color="auto"/>
              <w:right w:val="single" w:sz="4" w:space="0" w:color="auto"/>
            </w:tcBorders>
            <w:shd w:val="clear" w:color="auto" w:fill="auto"/>
            <w:noWrap/>
            <w:vAlign w:val="bottom"/>
            <w:hideMark/>
          </w:tcPr>
          <w:p w14:paraId="0E64019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w:t>
            </w:r>
          </w:p>
        </w:tc>
        <w:tc>
          <w:tcPr>
            <w:tcW w:w="960" w:type="dxa"/>
            <w:tcBorders>
              <w:top w:val="nil"/>
              <w:left w:val="nil"/>
              <w:bottom w:val="single" w:sz="4" w:space="0" w:color="auto"/>
              <w:right w:val="single" w:sz="4" w:space="0" w:color="auto"/>
            </w:tcBorders>
            <w:shd w:val="clear" w:color="auto" w:fill="auto"/>
            <w:noWrap/>
            <w:vAlign w:val="bottom"/>
            <w:hideMark/>
          </w:tcPr>
          <w:p w14:paraId="2D9E748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4.46%</w:t>
            </w:r>
          </w:p>
        </w:tc>
        <w:tc>
          <w:tcPr>
            <w:tcW w:w="960" w:type="dxa"/>
            <w:tcBorders>
              <w:top w:val="nil"/>
              <w:left w:val="nil"/>
              <w:bottom w:val="single" w:sz="4" w:space="0" w:color="auto"/>
              <w:right w:val="single" w:sz="4" w:space="0" w:color="auto"/>
            </w:tcBorders>
            <w:shd w:val="clear" w:color="auto" w:fill="auto"/>
            <w:noWrap/>
            <w:vAlign w:val="bottom"/>
            <w:hideMark/>
          </w:tcPr>
          <w:p w14:paraId="32E8EAA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3.38%</w:t>
            </w:r>
          </w:p>
        </w:tc>
        <w:tc>
          <w:tcPr>
            <w:tcW w:w="960" w:type="dxa"/>
            <w:tcBorders>
              <w:top w:val="nil"/>
              <w:left w:val="nil"/>
              <w:bottom w:val="single" w:sz="4" w:space="0" w:color="auto"/>
              <w:right w:val="single" w:sz="4" w:space="0" w:color="auto"/>
            </w:tcBorders>
            <w:shd w:val="clear" w:color="auto" w:fill="auto"/>
            <w:noWrap/>
            <w:vAlign w:val="bottom"/>
            <w:hideMark/>
          </w:tcPr>
          <w:p w14:paraId="2C7F0ECB"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3.73%</w:t>
            </w:r>
          </w:p>
        </w:tc>
        <w:tc>
          <w:tcPr>
            <w:tcW w:w="980" w:type="dxa"/>
            <w:tcBorders>
              <w:top w:val="nil"/>
              <w:left w:val="nil"/>
              <w:bottom w:val="single" w:sz="4" w:space="0" w:color="auto"/>
              <w:right w:val="single" w:sz="4" w:space="0" w:color="auto"/>
            </w:tcBorders>
            <w:shd w:val="clear" w:color="auto" w:fill="auto"/>
            <w:noWrap/>
            <w:vAlign w:val="bottom"/>
            <w:hideMark/>
          </w:tcPr>
          <w:p w14:paraId="21673A7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0.45%</w:t>
            </w:r>
          </w:p>
        </w:tc>
      </w:tr>
      <w:tr w:rsidR="00F20114" w:rsidRPr="00934350" w14:paraId="185F90A6"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BF05FFA"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FRANKSTON(C)</w:t>
            </w:r>
          </w:p>
        </w:tc>
        <w:tc>
          <w:tcPr>
            <w:tcW w:w="960" w:type="dxa"/>
            <w:tcBorders>
              <w:top w:val="nil"/>
              <w:left w:val="nil"/>
              <w:bottom w:val="single" w:sz="4" w:space="0" w:color="auto"/>
              <w:right w:val="single" w:sz="4" w:space="0" w:color="auto"/>
            </w:tcBorders>
            <w:shd w:val="clear" w:color="auto" w:fill="auto"/>
            <w:noWrap/>
            <w:vAlign w:val="bottom"/>
            <w:hideMark/>
          </w:tcPr>
          <w:p w14:paraId="0F9EBBE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5.09%</w:t>
            </w:r>
          </w:p>
        </w:tc>
        <w:tc>
          <w:tcPr>
            <w:tcW w:w="1220" w:type="dxa"/>
            <w:tcBorders>
              <w:top w:val="nil"/>
              <w:left w:val="nil"/>
              <w:bottom w:val="single" w:sz="4" w:space="0" w:color="auto"/>
              <w:right w:val="single" w:sz="4" w:space="0" w:color="auto"/>
            </w:tcBorders>
            <w:shd w:val="clear" w:color="auto" w:fill="auto"/>
            <w:noWrap/>
            <w:vAlign w:val="bottom"/>
            <w:hideMark/>
          </w:tcPr>
          <w:p w14:paraId="579B951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4.1%</w:t>
            </w:r>
          </w:p>
        </w:tc>
        <w:tc>
          <w:tcPr>
            <w:tcW w:w="960" w:type="dxa"/>
            <w:tcBorders>
              <w:top w:val="nil"/>
              <w:left w:val="nil"/>
              <w:bottom w:val="single" w:sz="4" w:space="0" w:color="auto"/>
              <w:right w:val="single" w:sz="4" w:space="0" w:color="auto"/>
            </w:tcBorders>
            <w:shd w:val="clear" w:color="auto" w:fill="auto"/>
            <w:noWrap/>
            <w:vAlign w:val="bottom"/>
            <w:hideMark/>
          </w:tcPr>
          <w:p w14:paraId="06B2623B"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5.3%</w:t>
            </w:r>
          </w:p>
        </w:tc>
        <w:tc>
          <w:tcPr>
            <w:tcW w:w="960" w:type="dxa"/>
            <w:tcBorders>
              <w:top w:val="nil"/>
              <w:left w:val="nil"/>
              <w:bottom w:val="single" w:sz="4" w:space="0" w:color="auto"/>
              <w:right w:val="single" w:sz="4" w:space="0" w:color="auto"/>
            </w:tcBorders>
            <w:shd w:val="clear" w:color="auto" w:fill="auto"/>
            <w:noWrap/>
            <w:vAlign w:val="bottom"/>
            <w:hideMark/>
          </w:tcPr>
          <w:p w14:paraId="046F15A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4.18%</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49D6AB3" w14:textId="77777777" w:rsidR="00F20114" w:rsidRPr="00934350" w:rsidRDefault="00F20114" w:rsidP="00F20114">
            <w:pPr>
              <w:jc w:val="right"/>
              <w:rPr>
                <w:rFonts w:ascii="Calibri" w:hAnsi="Calibri"/>
                <w:color w:val="9C0006"/>
                <w:sz w:val="20"/>
                <w:lang w:eastAsia="en-AU"/>
              </w:rPr>
            </w:pPr>
            <w:r w:rsidRPr="00934350">
              <w:rPr>
                <w:rFonts w:ascii="Calibri" w:hAnsi="Calibri"/>
                <w:color w:val="9C0006"/>
                <w:sz w:val="20"/>
                <w:lang w:eastAsia="en-AU"/>
              </w:rPr>
              <w:t>2.26%</w:t>
            </w:r>
          </w:p>
        </w:tc>
        <w:tc>
          <w:tcPr>
            <w:tcW w:w="960" w:type="dxa"/>
            <w:tcBorders>
              <w:top w:val="nil"/>
              <w:left w:val="nil"/>
              <w:bottom w:val="single" w:sz="4" w:space="0" w:color="auto"/>
              <w:right w:val="single" w:sz="4" w:space="0" w:color="auto"/>
            </w:tcBorders>
            <w:shd w:val="clear" w:color="auto" w:fill="auto"/>
            <w:noWrap/>
            <w:vAlign w:val="bottom"/>
            <w:hideMark/>
          </w:tcPr>
          <w:p w14:paraId="16132B1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5.79%</w:t>
            </w:r>
          </w:p>
        </w:tc>
        <w:tc>
          <w:tcPr>
            <w:tcW w:w="980" w:type="dxa"/>
            <w:tcBorders>
              <w:top w:val="nil"/>
              <w:left w:val="nil"/>
              <w:bottom w:val="single" w:sz="4" w:space="0" w:color="auto"/>
              <w:right w:val="single" w:sz="4" w:space="0" w:color="auto"/>
            </w:tcBorders>
            <w:shd w:val="clear" w:color="auto" w:fill="auto"/>
            <w:noWrap/>
            <w:vAlign w:val="bottom"/>
            <w:hideMark/>
          </w:tcPr>
          <w:p w14:paraId="786A12C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1.31%</w:t>
            </w:r>
          </w:p>
        </w:tc>
      </w:tr>
      <w:tr w:rsidR="00F20114" w:rsidRPr="00934350" w14:paraId="693FB75E"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53CEBE0"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GANNAWARRA(S)</w:t>
            </w:r>
          </w:p>
        </w:tc>
        <w:tc>
          <w:tcPr>
            <w:tcW w:w="960" w:type="dxa"/>
            <w:tcBorders>
              <w:top w:val="nil"/>
              <w:left w:val="nil"/>
              <w:bottom w:val="single" w:sz="4" w:space="0" w:color="auto"/>
              <w:right w:val="single" w:sz="4" w:space="0" w:color="auto"/>
            </w:tcBorders>
            <w:shd w:val="clear" w:color="auto" w:fill="auto"/>
            <w:noWrap/>
            <w:vAlign w:val="bottom"/>
            <w:hideMark/>
          </w:tcPr>
          <w:p w14:paraId="2D31B35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3.98%</w:t>
            </w:r>
          </w:p>
        </w:tc>
        <w:tc>
          <w:tcPr>
            <w:tcW w:w="1220" w:type="dxa"/>
            <w:tcBorders>
              <w:top w:val="nil"/>
              <w:left w:val="nil"/>
              <w:bottom w:val="single" w:sz="4" w:space="0" w:color="auto"/>
              <w:right w:val="single" w:sz="4" w:space="0" w:color="auto"/>
            </w:tcBorders>
            <w:shd w:val="clear" w:color="auto" w:fill="auto"/>
            <w:noWrap/>
            <w:vAlign w:val="bottom"/>
            <w:hideMark/>
          </w:tcPr>
          <w:p w14:paraId="66BAB91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2.6%</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245BC468" w14:textId="77777777" w:rsidR="00F20114" w:rsidRPr="00934350" w:rsidRDefault="00F20114" w:rsidP="00F20114">
            <w:pPr>
              <w:jc w:val="right"/>
              <w:rPr>
                <w:rFonts w:ascii="Calibri" w:hAnsi="Calibri"/>
                <w:color w:val="9C0006"/>
                <w:sz w:val="20"/>
                <w:lang w:eastAsia="en-AU"/>
              </w:rPr>
            </w:pPr>
            <w:r w:rsidRPr="00934350">
              <w:rPr>
                <w:rFonts w:ascii="Calibri" w:hAnsi="Calibri"/>
                <w:color w:val="9C0006"/>
                <w:sz w:val="20"/>
                <w:lang w:eastAsia="en-AU"/>
              </w:rPr>
              <w:t>1.8%</w:t>
            </w:r>
          </w:p>
        </w:tc>
        <w:tc>
          <w:tcPr>
            <w:tcW w:w="960" w:type="dxa"/>
            <w:tcBorders>
              <w:top w:val="nil"/>
              <w:left w:val="nil"/>
              <w:bottom w:val="single" w:sz="4" w:space="0" w:color="auto"/>
              <w:right w:val="single" w:sz="4" w:space="0" w:color="auto"/>
            </w:tcBorders>
            <w:shd w:val="clear" w:color="auto" w:fill="auto"/>
            <w:noWrap/>
            <w:vAlign w:val="bottom"/>
            <w:hideMark/>
          </w:tcPr>
          <w:p w14:paraId="6F8A98D4"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4.16%</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315EF0F" w14:textId="77777777" w:rsidR="00F20114" w:rsidRPr="00934350" w:rsidRDefault="00F20114" w:rsidP="00F20114">
            <w:pPr>
              <w:jc w:val="right"/>
              <w:rPr>
                <w:rFonts w:ascii="Calibri" w:hAnsi="Calibri"/>
                <w:color w:val="9C0006"/>
                <w:sz w:val="20"/>
                <w:lang w:eastAsia="en-AU"/>
              </w:rPr>
            </w:pPr>
            <w:r w:rsidRPr="00934350">
              <w:rPr>
                <w:rFonts w:ascii="Calibri" w:hAnsi="Calibri"/>
                <w:color w:val="9C0006"/>
                <w:sz w:val="20"/>
                <w:lang w:eastAsia="en-AU"/>
              </w:rPr>
              <w:t>1.76%</w:t>
            </w:r>
          </w:p>
        </w:tc>
        <w:tc>
          <w:tcPr>
            <w:tcW w:w="960" w:type="dxa"/>
            <w:tcBorders>
              <w:top w:val="nil"/>
              <w:left w:val="nil"/>
              <w:bottom w:val="single" w:sz="4" w:space="0" w:color="auto"/>
              <w:right w:val="single" w:sz="4" w:space="0" w:color="auto"/>
            </w:tcBorders>
            <w:shd w:val="clear" w:color="auto" w:fill="auto"/>
            <w:noWrap/>
            <w:vAlign w:val="bottom"/>
            <w:hideMark/>
          </w:tcPr>
          <w:p w14:paraId="6B80D77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3.34%</w:t>
            </w:r>
          </w:p>
        </w:tc>
        <w:tc>
          <w:tcPr>
            <w:tcW w:w="980" w:type="dxa"/>
            <w:tcBorders>
              <w:top w:val="nil"/>
              <w:left w:val="nil"/>
              <w:bottom w:val="single" w:sz="4" w:space="0" w:color="auto"/>
              <w:right w:val="single" w:sz="4" w:space="0" w:color="auto"/>
            </w:tcBorders>
            <w:shd w:val="clear" w:color="auto" w:fill="auto"/>
            <w:noWrap/>
            <w:vAlign w:val="bottom"/>
            <w:hideMark/>
          </w:tcPr>
          <w:p w14:paraId="48D68882"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0.11%</w:t>
            </w:r>
          </w:p>
        </w:tc>
      </w:tr>
      <w:tr w:rsidR="00F20114" w:rsidRPr="00934350" w14:paraId="6903539B"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C6A90AD"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GLEN EIRA(C)</w:t>
            </w:r>
          </w:p>
        </w:tc>
        <w:tc>
          <w:tcPr>
            <w:tcW w:w="960" w:type="dxa"/>
            <w:tcBorders>
              <w:top w:val="nil"/>
              <w:left w:val="nil"/>
              <w:bottom w:val="single" w:sz="4" w:space="0" w:color="auto"/>
              <w:right w:val="single" w:sz="4" w:space="0" w:color="auto"/>
            </w:tcBorders>
            <w:shd w:val="clear" w:color="auto" w:fill="auto"/>
            <w:noWrap/>
            <w:vAlign w:val="bottom"/>
            <w:hideMark/>
          </w:tcPr>
          <w:p w14:paraId="2F3D1C8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3.94%</w:t>
            </w:r>
          </w:p>
        </w:tc>
        <w:tc>
          <w:tcPr>
            <w:tcW w:w="1220" w:type="dxa"/>
            <w:tcBorders>
              <w:top w:val="nil"/>
              <w:left w:val="nil"/>
              <w:bottom w:val="single" w:sz="4" w:space="0" w:color="auto"/>
              <w:right w:val="single" w:sz="4" w:space="0" w:color="auto"/>
            </w:tcBorders>
            <w:shd w:val="clear" w:color="auto" w:fill="auto"/>
            <w:noWrap/>
            <w:vAlign w:val="bottom"/>
            <w:hideMark/>
          </w:tcPr>
          <w:p w14:paraId="567C658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3.8%</w:t>
            </w:r>
          </w:p>
        </w:tc>
        <w:tc>
          <w:tcPr>
            <w:tcW w:w="960" w:type="dxa"/>
            <w:tcBorders>
              <w:top w:val="nil"/>
              <w:left w:val="nil"/>
              <w:bottom w:val="single" w:sz="4" w:space="0" w:color="auto"/>
              <w:right w:val="single" w:sz="4" w:space="0" w:color="auto"/>
            </w:tcBorders>
            <w:shd w:val="clear" w:color="auto" w:fill="auto"/>
            <w:noWrap/>
            <w:vAlign w:val="bottom"/>
            <w:hideMark/>
          </w:tcPr>
          <w:p w14:paraId="7D4F908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3.7%</w:t>
            </w:r>
          </w:p>
        </w:tc>
        <w:tc>
          <w:tcPr>
            <w:tcW w:w="960" w:type="dxa"/>
            <w:tcBorders>
              <w:top w:val="nil"/>
              <w:left w:val="nil"/>
              <w:bottom w:val="single" w:sz="4" w:space="0" w:color="auto"/>
              <w:right w:val="single" w:sz="4" w:space="0" w:color="auto"/>
            </w:tcBorders>
            <w:shd w:val="clear" w:color="auto" w:fill="auto"/>
            <w:noWrap/>
            <w:vAlign w:val="bottom"/>
            <w:hideMark/>
          </w:tcPr>
          <w:p w14:paraId="70689CD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3.69%</w:t>
            </w:r>
          </w:p>
        </w:tc>
        <w:tc>
          <w:tcPr>
            <w:tcW w:w="960" w:type="dxa"/>
            <w:tcBorders>
              <w:top w:val="nil"/>
              <w:left w:val="nil"/>
              <w:bottom w:val="single" w:sz="4" w:space="0" w:color="auto"/>
              <w:right w:val="single" w:sz="4" w:space="0" w:color="auto"/>
            </w:tcBorders>
            <w:shd w:val="clear" w:color="auto" w:fill="auto"/>
            <w:noWrap/>
            <w:vAlign w:val="bottom"/>
            <w:hideMark/>
          </w:tcPr>
          <w:p w14:paraId="7856432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4.06%</w:t>
            </w:r>
          </w:p>
        </w:tc>
        <w:tc>
          <w:tcPr>
            <w:tcW w:w="960" w:type="dxa"/>
            <w:tcBorders>
              <w:top w:val="nil"/>
              <w:left w:val="nil"/>
              <w:bottom w:val="single" w:sz="4" w:space="0" w:color="auto"/>
              <w:right w:val="single" w:sz="4" w:space="0" w:color="auto"/>
            </w:tcBorders>
            <w:shd w:val="clear" w:color="auto" w:fill="auto"/>
            <w:noWrap/>
            <w:vAlign w:val="bottom"/>
            <w:hideMark/>
          </w:tcPr>
          <w:p w14:paraId="205B98B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3.30%</w:t>
            </w:r>
          </w:p>
        </w:tc>
        <w:tc>
          <w:tcPr>
            <w:tcW w:w="980" w:type="dxa"/>
            <w:tcBorders>
              <w:top w:val="nil"/>
              <w:left w:val="nil"/>
              <w:bottom w:val="single" w:sz="4" w:space="0" w:color="auto"/>
              <w:right w:val="single" w:sz="4" w:space="0" w:color="auto"/>
            </w:tcBorders>
            <w:shd w:val="clear" w:color="auto" w:fill="auto"/>
            <w:noWrap/>
            <w:vAlign w:val="bottom"/>
            <w:hideMark/>
          </w:tcPr>
          <w:p w14:paraId="74FEAB6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0.66%</w:t>
            </w:r>
          </w:p>
        </w:tc>
      </w:tr>
      <w:tr w:rsidR="00F20114" w:rsidRPr="00934350" w14:paraId="3BA88E5F"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FAB4770"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GLENELG(S)</w:t>
            </w:r>
          </w:p>
        </w:tc>
        <w:tc>
          <w:tcPr>
            <w:tcW w:w="960" w:type="dxa"/>
            <w:tcBorders>
              <w:top w:val="nil"/>
              <w:left w:val="nil"/>
              <w:bottom w:val="single" w:sz="4" w:space="0" w:color="auto"/>
              <w:right w:val="single" w:sz="4" w:space="0" w:color="auto"/>
            </w:tcBorders>
            <w:shd w:val="clear" w:color="auto" w:fill="auto"/>
            <w:noWrap/>
            <w:vAlign w:val="bottom"/>
            <w:hideMark/>
          </w:tcPr>
          <w:p w14:paraId="28E05D4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3.90%</w:t>
            </w:r>
          </w:p>
        </w:tc>
        <w:tc>
          <w:tcPr>
            <w:tcW w:w="1220" w:type="dxa"/>
            <w:tcBorders>
              <w:top w:val="nil"/>
              <w:left w:val="nil"/>
              <w:bottom w:val="single" w:sz="4" w:space="0" w:color="auto"/>
              <w:right w:val="single" w:sz="4" w:space="0" w:color="auto"/>
            </w:tcBorders>
            <w:shd w:val="clear" w:color="auto" w:fill="auto"/>
            <w:noWrap/>
            <w:vAlign w:val="bottom"/>
            <w:hideMark/>
          </w:tcPr>
          <w:p w14:paraId="4266E1C7"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2.8%</w:t>
            </w:r>
          </w:p>
        </w:tc>
        <w:tc>
          <w:tcPr>
            <w:tcW w:w="960" w:type="dxa"/>
            <w:tcBorders>
              <w:top w:val="nil"/>
              <w:left w:val="nil"/>
              <w:bottom w:val="single" w:sz="4" w:space="0" w:color="auto"/>
              <w:right w:val="single" w:sz="4" w:space="0" w:color="auto"/>
            </w:tcBorders>
            <w:shd w:val="clear" w:color="auto" w:fill="auto"/>
            <w:noWrap/>
            <w:vAlign w:val="bottom"/>
            <w:hideMark/>
          </w:tcPr>
          <w:p w14:paraId="7FF0749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3.4%</w:t>
            </w:r>
          </w:p>
        </w:tc>
        <w:tc>
          <w:tcPr>
            <w:tcW w:w="960" w:type="dxa"/>
            <w:tcBorders>
              <w:top w:val="nil"/>
              <w:left w:val="nil"/>
              <w:bottom w:val="single" w:sz="4" w:space="0" w:color="auto"/>
              <w:right w:val="single" w:sz="4" w:space="0" w:color="auto"/>
            </w:tcBorders>
            <w:shd w:val="clear" w:color="auto" w:fill="auto"/>
            <w:noWrap/>
            <w:vAlign w:val="bottom"/>
            <w:hideMark/>
          </w:tcPr>
          <w:p w14:paraId="46B5DB3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3.68%</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49A87BEA" w14:textId="77777777" w:rsidR="00F20114" w:rsidRPr="00934350" w:rsidRDefault="00F20114" w:rsidP="00F20114">
            <w:pPr>
              <w:jc w:val="right"/>
              <w:rPr>
                <w:rFonts w:ascii="Calibri" w:hAnsi="Calibri"/>
                <w:color w:val="9C0006"/>
                <w:sz w:val="20"/>
                <w:lang w:eastAsia="en-AU"/>
              </w:rPr>
            </w:pPr>
            <w:r w:rsidRPr="00934350">
              <w:rPr>
                <w:rFonts w:ascii="Calibri" w:hAnsi="Calibri"/>
                <w:color w:val="9C0006"/>
                <w:sz w:val="20"/>
                <w:lang w:eastAsia="en-AU"/>
              </w:rPr>
              <w:t>2.47%</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FA6A828" w14:textId="77777777" w:rsidR="00F20114" w:rsidRPr="00934350" w:rsidRDefault="00F20114" w:rsidP="00F20114">
            <w:pPr>
              <w:jc w:val="right"/>
              <w:rPr>
                <w:rFonts w:ascii="Calibri" w:hAnsi="Calibri"/>
                <w:color w:val="9C0006"/>
                <w:sz w:val="20"/>
                <w:lang w:eastAsia="en-AU"/>
              </w:rPr>
            </w:pPr>
            <w:r w:rsidRPr="00934350">
              <w:rPr>
                <w:rFonts w:ascii="Calibri" w:hAnsi="Calibri"/>
                <w:color w:val="9C0006"/>
                <w:sz w:val="20"/>
                <w:lang w:eastAsia="en-AU"/>
              </w:rPr>
              <w:t>1.85%</w:t>
            </w:r>
          </w:p>
        </w:tc>
        <w:tc>
          <w:tcPr>
            <w:tcW w:w="980" w:type="dxa"/>
            <w:tcBorders>
              <w:top w:val="nil"/>
              <w:left w:val="nil"/>
              <w:bottom w:val="single" w:sz="4" w:space="0" w:color="auto"/>
              <w:right w:val="single" w:sz="4" w:space="0" w:color="auto"/>
            </w:tcBorders>
            <w:shd w:val="clear" w:color="auto" w:fill="auto"/>
            <w:noWrap/>
            <w:vAlign w:val="bottom"/>
            <w:hideMark/>
          </w:tcPr>
          <w:p w14:paraId="178DF2C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0.26%</w:t>
            </w:r>
          </w:p>
        </w:tc>
      </w:tr>
      <w:tr w:rsidR="00F20114" w:rsidRPr="00934350" w14:paraId="7E8E064F"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C6A9B91"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GOLDEN PLAINS(S)</w:t>
            </w:r>
          </w:p>
        </w:tc>
        <w:tc>
          <w:tcPr>
            <w:tcW w:w="960" w:type="dxa"/>
            <w:tcBorders>
              <w:top w:val="nil"/>
              <w:left w:val="nil"/>
              <w:bottom w:val="single" w:sz="4" w:space="0" w:color="auto"/>
              <w:right w:val="single" w:sz="4" w:space="0" w:color="auto"/>
            </w:tcBorders>
            <w:shd w:val="clear" w:color="auto" w:fill="auto"/>
            <w:noWrap/>
            <w:vAlign w:val="bottom"/>
            <w:hideMark/>
          </w:tcPr>
          <w:p w14:paraId="30DEE75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3.30%</w:t>
            </w:r>
          </w:p>
        </w:tc>
        <w:tc>
          <w:tcPr>
            <w:tcW w:w="1220" w:type="dxa"/>
            <w:tcBorders>
              <w:top w:val="nil"/>
              <w:left w:val="nil"/>
              <w:bottom w:val="single" w:sz="4" w:space="0" w:color="auto"/>
              <w:right w:val="single" w:sz="4" w:space="0" w:color="auto"/>
            </w:tcBorders>
            <w:shd w:val="clear" w:color="auto" w:fill="auto"/>
            <w:noWrap/>
            <w:vAlign w:val="bottom"/>
            <w:hideMark/>
          </w:tcPr>
          <w:p w14:paraId="725DAA07"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4.1%</w:t>
            </w:r>
          </w:p>
        </w:tc>
        <w:tc>
          <w:tcPr>
            <w:tcW w:w="960" w:type="dxa"/>
            <w:tcBorders>
              <w:top w:val="nil"/>
              <w:left w:val="nil"/>
              <w:bottom w:val="single" w:sz="4" w:space="0" w:color="auto"/>
              <w:right w:val="single" w:sz="4" w:space="0" w:color="auto"/>
            </w:tcBorders>
            <w:shd w:val="clear" w:color="auto" w:fill="auto"/>
            <w:noWrap/>
            <w:vAlign w:val="bottom"/>
            <w:hideMark/>
          </w:tcPr>
          <w:p w14:paraId="0E50BBF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4.9%</w:t>
            </w:r>
          </w:p>
        </w:tc>
        <w:tc>
          <w:tcPr>
            <w:tcW w:w="960" w:type="dxa"/>
            <w:tcBorders>
              <w:top w:val="nil"/>
              <w:left w:val="nil"/>
              <w:bottom w:val="single" w:sz="4" w:space="0" w:color="auto"/>
              <w:right w:val="single" w:sz="4" w:space="0" w:color="auto"/>
            </w:tcBorders>
            <w:shd w:val="clear" w:color="auto" w:fill="auto"/>
            <w:noWrap/>
            <w:vAlign w:val="bottom"/>
            <w:hideMark/>
          </w:tcPr>
          <w:p w14:paraId="4A46C78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6.45%</w:t>
            </w:r>
          </w:p>
        </w:tc>
        <w:tc>
          <w:tcPr>
            <w:tcW w:w="960" w:type="dxa"/>
            <w:tcBorders>
              <w:top w:val="nil"/>
              <w:left w:val="nil"/>
              <w:bottom w:val="single" w:sz="4" w:space="0" w:color="auto"/>
              <w:right w:val="single" w:sz="4" w:space="0" w:color="auto"/>
            </w:tcBorders>
            <w:shd w:val="clear" w:color="auto" w:fill="auto"/>
            <w:noWrap/>
            <w:vAlign w:val="bottom"/>
            <w:hideMark/>
          </w:tcPr>
          <w:p w14:paraId="1861114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6.33%</w:t>
            </w:r>
          </w:p>
        </w:tc>
        <w:tc>
          <w:tcPr>
            <w:tcW w:w="960" w:type="dxa"/>
            <w:tcBorders>
              <w:top w:val="nil"/>
              <w:left w:val="nil"/>
              <w:bottom w:val="single" w:sz="4" w:space="0" w:color="auto"/>
              <w:right w:val="single" w:sz="4" w:space="0" w:color="auto"/>
            </w:tcBorders>
            <w:shd w:val="clear" w:color="auto" w:fill="auto"/>
            <w:noWrap/>
            <w:vAlign w:val="bottom"/>
            <w:hideMark/>
          </w:tcPr>
          <w:p w14:paraId="5EE0DA6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4.07%</w:t>
            </w:r>
          </w:p>
        </w:tc>
        <w:tc>
          <w:tcPr>
            <w:tcW w:w="980" w:type="dxa"/>
            <w:tcBorders>
              <w:top w:val="nil"/>
              <w:left w:val="nil"/>
              <w:bottom w:val="single" w:sz="4" w:space="0" w:color="auto"/>
              <w:right w:val="single" w:sz="4" w:space="0" w:color="auto"/>
            </w:tcBorders>
            <w:shd w:val="clear" w:color="auto" w:fill="auto"/>
            <w:noWrap/>
            <w:vAlign w:val="bottom"/>
            <w:hideMark/>
          </w:tcPr>
          <w:p w14:paraId="7328C80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0.91%</w:t>
            </w:r>
          </w:p>
        </w:tc>
      </w:tr>
      <w:tr w:rsidR="00F20114" w:rsidRPr="00934350" w14:paraId="5C341DE7"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9950235"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GREATER BENDIGO(C)</w:t>
            </w:r>
          </w:p>
        </w:tc>
        <w:tc>
          <w:tcPr>
            <w:tcW w:w="960" w:type="dxa"/>
            <w:tcBorders>
              <w:top w:val="nil"/>
              <w:left w:val="nil"/>
              <w:bottom w:val="single" w:sz="4" w:space="0" w:color="auto"/>
              <w:right w:val="single" w:sz="4" w:space="0" w:color="auto"/>
            </w:tcBorders>
            <w:shd w:val="clear" w:color="auto" w:fill="auto"/>
            <w:noWrap/>
            <w:vAlign w:val="bottom"/>
            <w:hideMark/>
          </w:tcPr>
          <w:p w14:paraId="54826852"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5.38%</w:t>
            </w:r>
          </w:p>
        </w:tc>
        <w:tc>
          <w:tcPr>
            <w:tcW w:w="1220" w:type="dxa"/>
            <w:tcBorders>
              <w:top w:val="nil"/>
              <w:left w:val="nil"/>
              <w:bottom w:val="single" w:sz="4" w:space="0" w:color="auto"/>
              <w:right w:val="single" w:sz="4" w:space="0" w:color="auto"/>
            </w:tcBorders>
            <w:shd w:val="clear" w:color="auto" w:fill="auto"/>
            <w:noWrap/>
            <w:vAlign w:val="bottom"/>
            <w:hideMark/>
          </w:tcPr>
          <w:p w14:paraId="29E8ED0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3.8%</w:t>
            </w:r>
          </w:p>
        </w:tc>
        <w:tc>
          <w:tcPr>
            <w:tcW w:w="960" w:type="dxa"/>
            <w:tcBorders>
              <w:top w:val="nil"/>
              <w:left w:val="nil"/>
              <w:bottom w:val="single" w:sz="4" w:space="0" w:color="auto"/>
              <w:right w:val="single" w:sz="4" w:space="0" w:color="auto"/>
            </w:tcBorders>
            <w:shd w:val="clear" w:color="auto" w:fill="auto"/>
            <w:noWrap/>
            <w:vAlign w:val="bottom"/>
            <w:hideMark/>
          </w:tcPr>
          <w:p w14:paraId="67DAEEB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4.1%</w:t>
            </w:r>
          </w:p>
        </w:tc>
        <w:tc>
          <w:tcPr>
            <w:tcW w:w="960" w:type="dxa"/>
            <w:tcBorders>
              <w:top w:val="nil"/>
              <w:left w:val="nil"/>
              <w:bottom w:val="single" w:sz="4" w:space="0" w:color="auto"/>
              <w:right w:val="single" w:sz="4" w:space="0" w:color="auto"/>
            </w:tcBorders>
            <w:shd w:val="clear" w:color="auto" w:fill="auto"/>
            <w:noWrap/>
            <w:vAlign w:val="bottom"/>
            <w:hideMark/>
          </w:tcPr>
          <w:p w14:paraId="5504473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4.99%</w:t>
            </w:r>
          </w:p>
        </w:tc>
        <w:tc>
          <w:tcPr>
            <w:tcW w:w="960" w:type="dxa"/>
            <w:tcBorders>
              <w:top w:val="nil"/>
              <w:left w:val="nil"/>
              <w:bottom w:val="single" w:sz="4" w:space="0" w:color="auto"/>
              <w:right w:val="single" w:sz="4" w:space="0" w:color="auto"/>
            </w:tcBorders>
            <w:shd w:val="clear" w:color="auto" w:fill="auto"/>
            <w:noWrap/>
            <w:vAlign w:val="bottom"/>
            <w:hideMark/>
          </w:tcPr>
          <w:p w14:paraId="202C919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5.41%</w:t>
            </w:r>
          </w:p>
        </w:tc>
        <w:tc>
          <w:tcPr>
            <w:tcW w:w="960" w:type="dxa"/>
            <w:tcBorders>
              <w:top w:val="nil"/>
              <w:left w:val="nil"/>
              <w:bottom w:val="single" w:sz="4" w:space="0" w:color="auto"/>
              <w:right w:val="single" w:sz="4" w:space="0" w:color="auto"/>
            </w:tcBorders>
            <w:shd w:val="clear" w:color="auto" w:fill="auto"/>
            <w:noWrap/>
            <w:vAlign w:val="bottom"/>
            <w:hideMark/>
          </w:tcPr>
          <w:p w14:paraId="68DA702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4.24%</w:t>
            </w:r>
          </w:p>
        </w:tc>
        <w:tc>
          <w:tcPr>
            <w:tcW w:w="980" w:type="dxa"/>
            <w:tcBorders>
              <w:top w:val="nil"/>
              <w:left w:val="nil"/>
              <w:bottom w:val="single" w:sz="4" w:space="0" w:color="auto"/>
              <w:right w:val="single" w:sz="4" w:space="0" w:color="auto"/>
            </w:tcBorders>
            <w:shd w:val="clear" w:color="auto" w:fill="auto"/>
            <w:noWrap/>
            <w:vAlign w:val="bottom"/>
            <w:hideMark/>
          </w:tcPr>
          <w:p w14:paraId="1F0D4C4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1.49%</w:t>
            </w:r>
          </w:p>
        </w:tc>
      </w:tr>
      <w:tr w:rsidR="00F20114" w:rsidRPr="00934350" w14:paraId="042D8FE1"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66C0627"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GREATER DANDENONG(C)</w:t>
            </w:r>
          </w:p>
        </w:tc>
        <w:tc>
          <w:tcPr>
            <w:tcW w:w="960" w:type="dxa"/>
            <w:tcBorders>
              <w:top w:val="nil"/>
              <w:left w:val="nil"/>
              <w:bottom w:val="single" w:sz="4" w:space="0" w:color="auto"/>
              <w:right w:val="single" w:sz="4" w:space="0" w:color="auto"/>
            </w:tcBorders>
            <w:shd w:val="clear" w:color="auto" w:fill="auto"/>
            <w:noWrap/>
            <w:vAlign w:val="bottom"/>
            <w:hideMark/>
          </w:tcPr>
          <w:p w14:paraId="0934DAD7"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4.24%</w:t>
            </w:r>
          </w:p>
        </w:tc>
        <w:tc>
          <w:tcPr>
            <w:tcW w:w="1220" w:type="dxa"/>
            <w:tcBorders>
              <w:top w:val="nil"/>
              <w:left w:val="nil"/>
              <w:bottom w:val="single" w:sz="4" w:space="0" w:color="auto"/>
              <w:right w:val="single" w:sz="4" w:space="0" w:color="auto"/>
            </w:tcBorders>
            <w:shd w:val="clear" w:color="auto" w:fill="auto"/>
            <w:noWrap/>
            <w:vAlign w:val="bottom"/>
            <w:hideMark/>
          </w:tcPr>
          <w:p w14:paraId="4BBC2752"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3.4%</w:t>
            </w:r>
          </w:p>
        </w:tc>
        <w:tc>
          <w:tcPr>
            <w:tcW w:w="960" w:type="dxa"/>
            <w:tcBorders>
              <w:top w:val="nil"/>
              <w:left w:val="nil"/>
              <w:bottom w:val="single" w:sz="4" w:space="0" w:color="auto"/>
              <w:right w:val="single" w:sz="4" w:space="0" w:color="auto"/>
            </w:tcBorders>
            <w:shd w:val="clear" w:color="auto" w:fill="auto"/>
            <w:noWrap/>
            <w:vAlign w:val="bottom"/>
            <w:hideMark/>
          </w:tcPr>
          <w:p w14:paraId="0C3D5DF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4.6%</w:t>
            </w:r>
          </w:p>
        </w:tc>
        <w:tc>
          <w:tcPr>
            <w:tcW w:w="960" w:type="dxa"/>
            <w:tcBorders>
              <w:top w:val="nil"/>
              <w:left w:val="nil"/>
              <w:bottom w:val="single" w:sz="4" w:space="0" w:color="auto"/>
              <w:right w:val="single" w:sz="4" w:space="0" w:color="auto"/>
            </w:tcBorders>
            <w:shd w:val="clear" w:color="auto" w:fill="auto"/>
            <w:noWrap/>
            <w:vAlign w:val="bottom"/>
            <w:hideMark/>
          </w:tcPr>
          <w:p w14:paraId="294B8DA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4.85%</w:t>
            </w:r>
          </w:p>
        </w:tc>
        <w:tc>
          <w:tcPr>
            <w:tcW w:w="960" w:type="dxa"/>
            <w:tcBorders>
              <w:top w:val="nil"/>
              <w:left w:val="nil"/>
              <w:bottom w:val="single" w:sz="4" w:space="0" w:color="auto"/>
              <w:right w:val="single" w:sz="4" w:space="0" w:color="auto"/>
            </w:tcBorders>
            <w:shd w:val="clear" w:color="auto" w:fill="auto"/>
            <w:noWrap/>
            <w:vAlign w:val="bottom"/>
            <w:hideMark/>
          </w:tcPr>
          <w:p w14:paraId="5285F1D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4.04%</w:t>
            </w:r>
          </w:p>
        </w:tc>
        <w:tc>
          <w:tcPr>
            <w:tcW w:w="960" w:type="dxa"/>
            <w:tcBorders>
              <w:top w:val="nil"/>
              <w:left w:val="nil"/>
              <w:bottom w:val="single" w:sz="4" w:space="0" w:color="auto"/>
              <w:right w:val="single" w:sz="4" w:space="0" w:color="auto"/>
            </w:tcBorders>
            <w:shd w:val="clear" w:color="auto" w:fill="auto"/>
            <w:noWrap/>
            <w:vAlign w:val="bottom"/>
            <w:hideMark/>
          </w:tcPr>
          <w:p w14:paraId="779CC64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3.35%</w:t>
            </w:r>
          </w:p>
        </w:tc>
        <w:tc>
          <w:tcPr>
            <w:tcW w:w="980" w:type="dxa"/>
            <w:tcBorders>
              <w:top w:val="nil"/>
              <w:left w:val="nil"/>
              <w:bottom w:val="single" w:sz="4" w:space="0" w:color="auto"/>
              <w:right w:val="single" w:sz="4" w:space="0" w:color="auto"/>
            </w:tcBorders>
            <w:shd w:val="clear" w:color="auto" w:fill="auto"/>
            <w:noWrap/>
            <w:vAlign w:val="bottom"/>
            <w:hideMark/>
          </w:tcPr>
          <w:p w14:paraId="5470BDC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1.32%</w:t>
            </w:r>
          </w:p>
        </w:tc>
      </w:tr>
      <w:tr w:rsidR="00F20114" w:rsidRPr="00934350" w14:paraId="07E54B01"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2F565A1"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GREATER GEELONG(C)</w:t>
            </w:r>
          </w:p>
        </w:tc>
        <w:tc>
          <w:tcPr>
            <w:tcW w:w="960" w:type="dxa"/>
            <w:tcBorders>
              <w:top w:val="nil"/>
              <w:left w:val="nil"/>
              <w:bottom w:val="single" w:sz="4" w:space="0" w:color="auto"/>
              <w:right w:val="single" w:sz="4" w:space="0" w:color="auto"/>
            </w:tcBorders>
            <w:shd w:val="clear" w:color="auto" w:fill="auto"/>
            <w:noWrap/>
            <w:vAlign w:val="bottom"/>
            <w:hideMark/>
          </w:tcPr>
          <w:p w14:paraId="7B48C8D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4.84%</w:t>
            </w:r>
          </w:p>
        </w:tc>
        <w:tc>
          <w:tcPr>
            <w:tcW w:w="1220" w:type="dxa"/>
            <w:tcBorders>
              <w:top w:val="nil"/>
              <w:left w:val="nil"/>
              <w:bottom w:val="single" w:sz="4" w:space="0" w:color="auto"/>
              <w:right w:val="single" w:sz="4" w:space="0" w:color="auto"/>
            </w:tcBorders>
            <w:shd w:val="clear" w:color="auto" w:fill="auto"/>
            <w:noWrap/>
            <w:vAlign w:val="bottom"/>
            <w:hideMark/>
          </w:tcPr>
          <w:p w14:paraId="324E143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4.5%</w:t>
            </w:r>
          </w:p>
        </w:tc>
        <w:tc>
          <w:tcPr>
            <w:tcW w:w="960" w:type="dxa"/>
            <w:tcBorders>
              <w:top w:val="nil"/>
              <w:left w:val="nil"/>
              <w:bottom w:val="single" w:sz="4" w:space="0" w:color="auto"/>
              <w:right w:val="single" w:sz="4" w:space="0" w:color="auto"/>
            </w:tcBorders>
            <w:shd w:val="clear" w:color="auto" w:fill="auto"/>
            <w:noWrap/>
            <w:vAlign w:val="bottom"/>
            <w:hideMark/>
          </w:tcPr>
          <w:p w14:paraId="786B0EB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4.1%</w:t>
            </w:r>
          </w:p>
        </w:tc>
        <w:tc>
          <w:tcPr>
            <w:tcW w:w="960" w:type="dxa"/>
            <w:tcBorders>
              <w:top w:val="nil"/>
              <w:left w:val="nil"/>
              <w:bottom w:val="single" w:sz="4" w:space="0" w:color="auto"/>
              <w:right w:val="single" w:sz="4" w:space="0" w:color="auto"/>
            </w:tcBorders>
            <w:shd w:val="clear" w:color="auto" w:fill="auto"/>
            <w:noWrap/>
            <w:vAlign w:val="bottom"/>
            <w:hideMark/>
          </w:tcPr>
          <w:p w14:paraId="3E21A422"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5.33%</w:t>
            </w:r>
          </w:p>
        </w:tc>
        <w:tc>
          <w:tcPr>
            <w:tcW w:w="960" w:type="dxa"/>
            <w:tcBorders>
              <w:top w:val="nil"/>
              <w:left w:val="nil"/>
              <w:bottom w:val="single" w:sz="4" w:space="0" w:color="auto"/>
              <w:right w:val="single" w:sz="4" w:space="0" w:color="auto"/>
            </w:tcBorders>
            <w:shd w:val="clear" w:color="auto" w:fill="auto"/>
            <w:noWrap/>
            <w:vAlign w:val="bottom"/>
            <w:hideMark/>
          </w:tcPr>
          <w:p w14:paraId="2BA271A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4.73%</w:t>
            </w:r>
          </w:p>
        </w:tc>
        <w:tc>
          <w:tcPr>
            <w:tcW w:w="960" w:type="dxa"/>
            <w:tcBorders>
              <w:top w:val="nil"/>
              <w:left w:val="nil"/>
              <w:bottom w:val="single" w:sz="4" w:space="0" w:color="auto"/>
              <w:right w:val="single" w:sz="4" w:space="0" w:color="auto"/>
            </w:tcBorders>
            <w:shd w:val="clear" w:color="auto" w:fill="auto"/>
            <w:noWrap/>
            <w:vAlign w:val="bottom"/>
            <w:hideMark/>
          </w:tcPr>
          <w:p w14:paraId="11EF3AE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4.06%</w:t>
            </w:r>
          </w:p>
        </w:tc>
        <w:tc>
          <w:tcPr>
            <w:tcW w:w="980" w:type="dxa"/>
            <w:tcBorders>
              <w:top w:val="nil"/>
              <w:left w:val="nil"/>
              <w:bottom w:val="single" w:sz="4" w:space="0" w:color="auto"/>
              <w:right w:val="single" w:sz="4" w:space="0" w:color="auto"/>
            </w:tcBorders>
            <w:shd w:val="clear" w:color="auto" w:fill="auto"/>
            <w:noWrap/>
            <w:vAlign w:val="bottom"/>
            <w:hideMark/>
          </w:tcPr>
          <w:p w14:paraId="21B3C04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0.00%</w:t>
            </w:r>
          </w:p>
        </w:tc>
      </w:tr>
      <w:tr w:rsidR="00F20114" w:rsidRPr="00934350" w14:paraId="55657867"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27B109A"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GREATER SHEPPARTON(C)</w:t>
            </w:r>
          </w:p>
        </w:tc>
        <w:tc>
          <w:tcPr>
            <w:tcW w:w="960" w:type="dxa"/>
            <w:tcBorders>
              <w:top w:val="nil"/>
              <w:left w:val="nil"/>
              <w:bottom w:val="single" w:sz="4" w:space="0" w:color="auto"/>
              <w:right w:val="single" w:sz="4" w:space="0" w:color="auto"/>
            </w:tcBorders>
            <w:shd w:val="clear" w:color="auto" w:fill="auto"/>
            <w:noWrap/>
            <w:vAlign w:val="bottom"/>
            <w:hideMark/>
          </w:tcPr>
          <w:p w14:paraId="4638900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4.54%</w:t>
            </w:r>
          </w:p>
        </w:tc>
        <w:tc>
          <w:tcPr>
            <w:tcW w:w="1220" w:type="dxa"/>
            <w:tcBorders>
              <w:top w:val="nil"/>
              <w:left w:val="nil"/>
              <w:bottom w:val="single" w:sz="4" w:space="0" w:color="auto"/>
              <w:right w:val="single" w:sz="4" w:space="0" w:color="auto"/>
            </w:tcBorders>
            <w:shd w:val="clear" w:color="auto" w:fill="auto"/>
            <w:noWrap/>
            <w:vAlign w:val="bottom"/>
            <w:hideMark/>
          </w:tcPr>
          <w:p w14:paraId="02F948B7"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w:t>
            </w:r>
          </w:p>
        </w:tc>
        <w:tc>
          <w:tcPr>
            <w:tcW w:w="960" w:type="dxa"/>
            <w:tcBorders>
              <w:top w:val="nil"/>
              <w:left w:val="nil"/>
              <w:bottom w:val="single" w:sz="4" w:space="0" w:color="auto"/>
              <w:right w:val="single" w:sz="4" w:space="0" w:color="auto"/>
            </w:tcBorders>
            <w:shd w:val="clear" w:color="auto" w:fill="auto"/>
            <w:noWrap/>
            <w:vAlign w:val="bottom"/>
            <w:hideMark/>
          </w:tcPr>
          <w:p w14:paraId="3067508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5.1%</w:t>
            </w:r>
          </w:p>
        </w:tc>
        <w:tc>
          <w:tcPr>
            <w:tcW w:w="960" w:type="dxa"/>
            <w:tcBorders>
              <w:top w:val="nil"/>
              <w:left w:val="nil"/>
              <w:bottom w:val="single" w:sz="4" w:space="0" w:color="auto"/>
              <w:right w:val="single" w:sz="4" w:space="0" w:color="auto"/>
            </w:tcBorders>
            <w:shd w:val="clear" w:color="auto" w:fill="auto"/>
            <w:noWrap/>
            <w:vAlign w:val="bottom"/>
            <w:hideMark/>
          </w:tcPr>
          <w:p w14:paraId="068804F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3.99%</w:t>
            </w:r>
          </w:p>
        </w:tc>
        <w:tc>
          <w:tcPr>
            <w:tcW w:w="960" w:type="dxa"/>
            <w:tcBorders>
              <w:top w:val="nil"/>
              <w:left w:val="nil"/>
              <w:bottom w:val="single" w:sz="4" w:space="0" w:color="auto"/>
              <w:right w:val="single" w:sz="4" w:space="0" w:color="auto"/>
            </w:tcBorders>
            <w:shd w:val="clear" w:color="auto" w:fill="auto"/>
            <w:noWrap/>
            <w:vAlign w:val="bottom"/>
            <w:hideMark/>
          </w:tcPr>
          <w:p w14:paraId="2B322BC7"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3.78%</w:t>
            </w:r>
          </w:p>
        </w:tc>
        <w:tc>
          <w:tcPr>
            <w:tcW w:w="960" w:type="dxa"/>
            <w:tcBorders>
              <w:top w:val="nil"/>
              <w:left w:val="nil"/>
              <w:bottom w:val="single" w:sz="4" w:space="0" w:color="auto"/>
              <w:right w:val="single" w:sz="4" w:space="0" w:color="auto"/>
            </w:tcBorders>
            <w:shd w:val="clear" w:color="auto" w:fill="auto"/>
            <w:noWrap/>
            <w:vAlign w:val="bottom"/>
            <w:hideMark/>
          </w:tcPr>
          <w:p w14:paraId="3EC63AC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2.73%</w:t>
            </w:r>
          </w:p>
        </w:tc>
        <w:tc>
          <w:tcPr>
            <w:tcW w:w="980" w:type="dxa"/>
            <w:tcBorders>
              <w:top w:val="nil"/>
              <w:left w:val="nil"/>
              <w:bottom w:val="single" w:sz="4" w:space="0" w:color="auto"/>
              <w:right w:val="single" w:sz="4" w:space="0" w:color="auto"/>
            </w:tcBorders>
            <w:shd w:val="clear" w:color="auto" w:fill="auto"/>
            <w:noWrap/>
            <w:vAlign w:val="bottom"/>
            <w:hideMark/>
          </w:tcPr>
          <w:p w14:paraId="55CA8537"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0.02%</w:t>
            </w:r>
          </w:p>
        </w:tc>
      </w:tr>
      <w:tr w:rsidR="00F20114" w:rsidRPr="00934350" w14:paraId="19FB561A"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0C8F710"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HEPBURN(S)</w:t>
            </w:r>
          </w:p>
        </w:tc>
        <w:tc>
          <w:tcPr>
            <w:tcW w:w="960" w:type="dxa"/>
            <w:tcBorders>
              <w:top w:val="nil"/>
              <w:left w:val="nil"/>
              <w:bottom w:val="single" w:sz="4" w:space="0" w:color="auto"/>
              <w:right w:val="single" w:sz="4" w:space="0" w:color="auto"/>
            </w:tcBorders>
            <w:shd w:val="clear" w:color="auto" w:fill="auto"/>
            <w:noWrap/>
            <w:vAlign w:val="bottom"/>
            <w:hideMark/>
          </w:tcPr>
          <w:p w14:paraId="28BAED04"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4.28%</w:t>
            </w:r>
          </w:p>
        </w:tc>
        <w:tc>
          <w:tcPr>
            <w:tcW w:w="1220" w:type="dxa"/>
            <w:tcBorders>
              <w:top w:val="nil"/>
              <w:left w:val="nil"/>
              <w:bottom w:val="single" w:sz="4" w:space="0" w:color="auto"/>
              <w:right w:val="single" w:sz="4" w:space="0" w:color="auto"/>
            </w:tcBorders>
            <w:shd w:val="clear" w:color="auto" w:fill="auto"/>
            <w:noWrap/>
            <w:vAlign w:val="bottom"/>
            <w:hideMark/>
          </w:tcPr>
          <w:p w14:paraId="262381E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4.2%</w:t>
            </w:r>
          </w:p>
        </w:tc>
        <w:tc>
          <w:tcPr>
            <w:tcW w:w="960" w:type="dxa"/>
            <w:tcBorders>
              <w:top w:val="nil"/>
              <w:left w:val="nil"/>
              <w:bottom w:val="single" w:sz="4" w:space="0" w:color="auto"/>
              <w:right w:val="single" w:sz="4" w:space="0" w:color="auto"/>
            </w:tcBorders>
            <w:shd w:val="clear" w:color="auto" w:fill="auto"/>
            <w:noWrap/>
            <w:vAlign w:val="bottom"/>
            <w:hideMark/>
          </w:tcPr>
          <w:p w14:paraId="3B3A5CE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4.4%</w:t>
            </w:r>
          </w:p>
        </w:tc>
        <w:tc>
          <w:tcPr>
            <w:tcW w:w="960" w:type="dxa"/>
            <w:tcBorders>
              <w:top w:val="nil"/>
              <w:left w:val="nil"/>
              <w:bottom w:val="single" w:sz="4" w:space="0" w:color="auto"/>
              <w:right w:val="single" w:sz="4" w:space="0" w:color="auto"/>
            </w:tcBorders>
            <w:shd w:val="clear" w:color="auto" w:fill="auto"/>
            <w:noWrap/>
            <w:vAlign w:val="bottom"/>
            <w:hideMark/>
          </w:tcPr>
          <w:p w14:paraId="490A93F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4.00%</w:t>
            </w:r>
          </w:p>
        </w:tc>
        <w:tc>
          <w:tcPr>
            <w:tcW w:w="960" w:type="dxa"/>
            <w:tcBorders>
              <w:top w:val="nil"/>
              <w:left w:val="nil"/>
              <w:bottom w:val="single" w:sz="4" w:space="0" w:color="auto"/>
              <w:right w:val="single" w:sz="4" w:space="0" w:color="auto"/>
            </w:tcBorders>
            <w:shd w:val="clear" w:color="auto" w:fill="auto"/>
            <w:noWrap/>
            <w:vAlign w:val="bottom"/>
            <w:hideMark/>
          </w:tcPr>
          <w:p w14:paraId="35DB04E2"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3.63%</w:t>
            </w:r>
          </w:p>
        </w:tc>
        <w:tc>
          <w:tcPr>
            <w:tcW w:w="960" w:type="dxa"/>
            <w:tcBorders>
              <w:top w:val="nil"/>
              <w:left w:val="nil"/>
              <w:bottom w:val="single" w:sz="4" w:space="0" w:color="auto"/>
              <w:right w:val="single" w:sz="4" w:space="0" w:color="auto"/>
            </w:tcBorders>
            <w:shd w:val="clear" w:color="auto" w:fill="auto"/>
            <w:noWrap/>
            <w:vAlign w:val="bottom"/>
            <w:hideMark/>
          </w:tcPr>
          <w:p w14:paraId="2E5714A4"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3.27%</w:t>
            </w:r>
          </w:p>
        </w:tc>
        <w:tc>
          <w:tcPr>
            <w:tcW w:w="980" w:type="dxa"/>
            <w:tcBorders>
              <w:top w:val="nil"/>
              <w:left w:val="nil"/>
              <w:bottom w:val="single" w:sz="4" w:space="0" w:color="auto"/>
              <w:right w:val="single" w:sz="4" w:space="0" w:color="auto"/>
            </w:tcBorders>
            <w:shd w:val="clear" w:color="auto" w:fill="auto"/>
            <w:noWrap/>
            <w:vAlign w:val="bottom"/>
            <w:hideMark/>
          </w:tcPr>
          <w:p w14:paraId="5DBF967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0.92%</w:t>
            </w:r>
          </w:p>
        </w:tc>
      </w:tr>
      <w:tr w:rsidR="00F20114" w:rsidRPr="00934350" w14:paraId="7A015662"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A22F03F"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HINDMARSH(S)</w:t>
            </w:r>
          </w:p>
        </w:tc>
        <w:tc>
          <w:tcPr>
            <w:tcW w:w="960" w:type="dxa"/>
            <w:tcBorders>
              <w:top w:val="nil"/>
              <w:left w:val="nil"/>
              <w:bottom w:val="single" w:sz="4" w:space="0" w:color="auto"/>
              <w:right w:val="single" w:sz="4" w:space="0" w:color="auto"/>
            </w:tcBorders>
            <w:shd w:val="clear" w:color="auto" w:fill="auto"/>
            <w:noWrap/>
            <w:vAlign w:val="bottom"/>
            <w:hideMark/>
          </w:tcPr>
          <w:p w14:paraId="096781B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3.63%</w:t>
            </w:r>
          </w:p>
        </w:tc>
        <w:tc>
          <w:tcPr>
            <w:tcW w:w="1220" w:type="dxa"/>
            <w:tcBorders>
              <w:top w:val="nil"/>
              <w:left w:val="nil"/>
              <w:bottom w:val="single" w:sz="4" w:space="0" w:color="auto"/>
              <w:right w:val="single" w:sz="4" w:space="0" w:color="auto"/>
            </w:tcBorders>
            <w:shd w:val="clear" w:color="auto" w:fill="auto"/>
            <w:noWrap/>
            <w:vAlign w:val="bottom"/>
            <w:hideMark/>
          </w:tcPr>
          <w:p w14:paraId="62E75737"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2.6%</w:t>
            </w:r>
          </w:p>
        </w:tc>
        <w:tc>
          <w:tcPr>
            <w:tcW w:w="960" w:type="dxa"/>
            <w:tcBorders>
              <w:top w:val="nil"/>
              <w:left w:val="nil"/>
              <w:bottom w:val="single" w:sz="4" w:space="0" w:color="auto"/>
              <w:right w:val="single" w:sz="4" w:space="0" w:color="auto"/>
            </w:tcBorders>
            <w:shd w:val="clear" w:color="auto" w:fill="auto"/>
            <w:noWrap/>
            <w:vAlign w:val="bottom"/>
            <w:hideMark/>
          </w:tcPr>
          <w:p w14:paraId="6009B2B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3.4%</w:t>
            </w:r>
          </w:p>
        </w:tc>
        <w:tc>
          <w:tcPr>
            <w:tcW w:w="960" w:type="dxa"/>
            <w:tcBorders>
              <w:top w:val="nil"/>
              <w:left w:val="nil"/>
              <w:bottom w:val="single" w:sz="4" w:space="0" w:color="auto"/>
              <w:right w:val="single" w:sz="4" w:space="0" w:color="auto"/>
            </w:tcBorders>
            <w:shd w:val="clear" w:color="auto" w:fill="auto"/>
            <w:noWrap/>
            <w:vAlign w:val="bottom"/>
            <w:hideMark/>
          </w:tcPr>
          <w:p w14:paraId="6F1B141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3.84%</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7CDE93DD" w14:textId="77777777" w:rsidR="00F20114" w:rsidRPr="00934350" w:rsidRDefault="00F20114" w:rsidP="00F20114">
            <w:pPr>
              <w:jc w:val="right"/>
              <w:rPr>
                <w:rFonts w:ascii="Calibri" w:hAnsi="Calibri"/>
                <w:color w:val="9C0006"/>
                <w:sz w:val="20"/>
                <w:lang w:eastAsia="en-AU"/>
              </w:rPr>
            </w:pPr>
            <w:r w:rsidRPr="00934350">
              <w:rPr>
                <w:rFonts w:ascii="Calibri" w:hAnsi="Calibri"/>
                <w:color w:val="9C0006"/>
                <w:sz w:val="20"/>
                <w:lang w:eastAsia="en-AU"/>
              </w:rPr>
              <w:t>2.41%</w:t>
            </w:r>
          </w:p>
        </w:tc>
        <w:tc>
          <w:tcPr>
            <w:tcW w:w="960" w:type="dxa"/>
            <w:tcBorders>
              <w:top w:val="nil"/>
              <w:left w:val="nil"/>
              <w:bottom w:val="single" w:sz="4" w:space="0" w:color="auto"/>
              <w:right w:val="single" w:sz="4" w:space="0" w:color="auto"/>
            </w:tcBorders>
            <w:shd w:val="clear" w:color="auto" w:fill="auto"/>
            <w:noWrap/>
            <w:vAlign w:val="bottom"/>
            <w:hideMark/>
          </w:tcPr>
          <w:p w14:paraId="01DB798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2.79%</w:t>
            </w:r>
          </w:p>
        </w:tc>
        <w:tc>
          <w:tcPr>
            <w:tcW w:w="980" w:type="dxa"/>
            <w:tcBorders>
              <w:top w:val="nil"/>
              <w:left w:val="nil"/>
              <w:bottom w:val="single" w:sz="4" w:space="0" w:color="auto"/>
              <w:right w:val="single" w:sz="4" w:space="0" w:color="auto"/>
            </w:tcBorders>
            <w:shd w:val="clear" w:color="auto" w:fill="auto"/>
            <w:noWrap/>
            <w:vAlign w:val="bottom"/>
            <w:hideMark/>
          </w:tcPr>
          <w:p w14:paraId="5BD0F2D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0.00%</w:t>
            </w:r>
          </w:p>
        </w:tc>
      </w:tr>
      <w:tr w:rsidR="00F20114" w:rsidRPr="00934350" w14:paraId="49CFAF98"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05BDF7F"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HOBSONS BAY(C)</w:t>
            </w:r>
          </w:p>
        </w:tc>
        <w:tc>
          <w:tcPr>
            <w:tcW w:w="960" w:type="dxa"/>
            <w:tcBorders>
              <w:top w:val="nil"/>
              <w:left w:val="nil"/>
              <w:bottom w:val="single" w:sz="4" w:space="0" w:color="auto"/>
              <w:right w:val="single" w:sz="4" w:space="0" w:color="auto"/>
            </w:tcBorders>
            <w:shd w:val="clear" w:color="auto" w:fill="auto"/>
            <w:noWrap/>
            <w:vAlign w:val="bottom"/>
            <w:hideMark/>
          </w:tcPr>
          <w:p w14:paraId="7F99C23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4.04%</w:t>
            </w:r>
          </w:p>
        </w:tc>
        <w:tc>
          <w:tcPr>
            <w:tcW w:w="1220" w:type="dxa"/>
            <w:tcBorders>
              <w:top w:val="nil"/>
              <w:left w:val="nil"/>
              <w:bottom w:val="single" w:sz="4" w:space="0" w:color="auto"/>
              <w:right w:val="single" w:sz="4" w:space="0" w:color="auto"/>
            </w:tcBorders>
            <w:shd w:val="clear" w:color="auto" w:fill="auto"/>
            <w:noWrap/>
            <w:vAlign w:val="bottom"/>
            <w:hideMark/>
          </w:tcPr>
          <w:p w14:paraId="48BC588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4.2%</w:t>
            </w:r>
          </w:p>
        </w:tc>
        <w:tc>
          <w:tcPr>
            <w:tcW w:w="960" w:type="dxa"/>
            <w:tcBorders>
              <w:top w:val="nil"/>
              <w:left w:val="nil"/>
              <w:bottom w:val="single" w:sz="4" w:space="0" w:color="auto"/>
              <w:right w:val="single" w:sz="4" w:space="0" w:color="auto"/>
            </w:tcBorders>
            <w:shd w:val="clear" w:color="auto" w:fill="auto"/>
            <w:noWrap/>
            <w:vAlign w:val="bottom"/>
            <w:hideMark/>
          </w:tcPr>
          <w:p w14:paraId="7C9BF9E4"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3.6%</w:t>
            </w:r>
          </w:p>
        </w:tc>
        <w:tc>
          <w:tcPr>
            <w:tcW w:w="960" w:type="dxa"/>
            <w:tcBorders>
              <w:top w:val="nil"/>
              <w:left w:val="nil"/>
              <w:bottom w:val="single" w:sz="4" w:space="0" w:color="auto"/>
              <w:right w:val="single" w:sz="4" w:space="0" w:color="auto"/>
            </w:tcBorders>
            <w:shd w:val="clear" w:color="auto" w:fill="auto"/>
            <w:noWrap/>
            <w:vAlign w:val="bottom"/>
            <w:hideMark/>
          </w:tcPr>
          <w:p w14:paraId="06CEA667"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4.05%</w:t>
            </w:r>
          </w:p>
        </w:tc>
        <w:tc>
          <w:tcPr>
            <w:tcW w:w="960" w:type="dxa"/>
            <w:tcBorders>
              <w:top w:val="nil"/>
              <w:left w:val="nil"/>
              <w:bottom w:val="single" w:sz="4" w:space="0" w:color="auto"/>
              <w:right w:val="single" w:sz="4" w:space="0" w:color="auto"/>
            </w:tcBorders>
            <w:shd w:val="clear" w:color="auto" w:fill="auto"/>
            <w:noWrap/>
            <w:vAlign w:val="bottom"/>
            <w:hideMark/>
          </w:tcPr>
          <w:p w14:paraId="40D2799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4.01%</w:t>
            </w:r>
          </w:p>
        </w:tc>
        <w:tc>
          <w:tcPr>
            <w:tcW w:w="960" w:type="dxa"/>
            <w:tcBorders>
              <w:top w:val="nil"/>
              <w:left w:val="nil"/>
              <w:bottom w:val="single" w:sz="4" w:space="0" w:color="auto"/>
              <w:right w:val="single" w:sz="4" w:space="0" w:color="auto"/>
            </w:tcBorders>
            <w:shd w:val="clear" w:color="auto" w:fill="auto"/>
            <w:noWrap/>
            <w:vAlign w:val="bottom"/>
            <w:hideMark/>
          </w:tcPr>
          <w:p w14:paraId="658F43D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3.01%</w:t>
            </w:r>
          </w:p>
        </w:tc>
        <w:tc>
          <w:tcPr>
            <w:tcW w:w="980" w:type="dxa"/>
            <w:tcBorders>
              <w:top w:val="nil"/>
              <w:left w:val="nil"/>
              <w:bottom w:val="single" w:sz="4" w:space="0" w:color="auto"/>
              <w:right w:val="single" w:sz="4" w:space="0" w:color="auto"/>
            </w:tcBorders>
            <w:shd w:val="clear" w:color="auto" w:fill="auto"/>
            <w:noWrap/>
            <w:vAlign w:val="bottom"/>
            <w:hideMark/>
          </w:tcPr>
          <w:p w14:paraId="442B3CF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0.43%</w:t>
            </w:r>
          </w:p>
        </w:tc>
      </w:tr>
      <w:tr w:rsidR="00F20114" w:rsidRPr="00934350" w14:paraId="3AF7FB7A"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F903375"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HORSHAM(RC)</w:t>
            </w:r>
          </w:p>
        </w:tc>
        <w:tc>
          <w:tcPr>
            <w:tcW w:w="960" w:type="dxa"/>
            <w:tcBorders>
              <w:top w:val="nil"/>
              <w:left w:val="nil"/>
              <w:bottom w:val="single" w:sz="4" w:space="0" w:color="auto"/>
              <w:right w:val="single" w:sz="4" w:space="0" w:color="auto"/>
            </w:tcBorders>
            <w:shd w:val="clear" w:color="auto" w:fill="auto"/>
            <w:noWrap/>
            <w:vAlign w:val="bottom"/>
            <w:hideMark/>
          </w:tcPr>
          <w:p w14:paraId="1A12F62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4.18%</w:t>
            </w:r>
          </w:p>
        </w:tc>
        <w:tc>
          <w:tcPr>
            <w:tcW w:w="1220" w:type="dxa"/>
            <w:tcBorders>
              <w:top w:val="nil"/>
              <w:left w:val="nil"/>
              <w:bottom w:val="single" w:sz="4" w:space="0" w:color="auto"/>
              <w:right w:val="single" w:sz="4" w:space="0" w:color="auto"/>
            </w:tcBorders>
            <w:shd w:val="clear" w:color="auto" w:fill="auto"/>
            <w:noWrap/>
            <w:vAlign w:val="bottom"/>
            <w:hideMark/>
          </w:tcPr>
          <w:p w14:paraId="647A308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3.0%</w:t>
            </w:r>
          </w:p>
        </w:tc>
        <w:tc>
          <w:tcPr>
            <w:tcW w:w="960" w:type="dxa"/>
            <w:tcBorders>
              <w:top w:val="nil"/>
              <w:left w:val="nil"/>
              <w:bottom w:val="single" w:sz="4" w:space="0" w:color="auto"/>
              <w:right w:val="single" w:sz="4" w:space="0" w:color="auto"/>
            </w:tcBorders>
            <w:shd w:val="clear" w:color="auto" w:fill="auto"/>
            <w:noWrap/>
            <w:vAlign w:val="bottom"/>
            <w:hideMark/>
          </w:tcPr>
          <w:p w14:paraId="3EA4764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3.9%</w:t>
            </w:r>
          </w:p>
        </w:tc>
        <w:tc>
          <w:tcPr>
            <w:tcW w:w="960" w:type="dxa"/>
            <w:tcBorders>
              <w:top w:val="nil"/>
              <w:left w:val="nil"/>
              <w:bottom w:val="single" w:sz="4" w:space="0" w:color="auto"/>
              <w:right w:val="single" w:sz="4" w:space="0" w:color="auto"/>
            </w:tcBorders>
            <w:shd w:val="clear" w:color="auto" w:fill="auto"/>
            <w:noWrap/>
            <w:vAlign w:val="bottom"/>
            <w:hideMark/>
          </w:tcPr>
          <w:p w14:paraId="465A1CF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4.00%</w:t>
            </w:r>
          </w:p>
        </w:tc>
        <w:tc>
          <w:tcPr>
            <w:tcW w:w="960" w:type="dxa"/>
            <w:tcBorders>
              <w:top w:val="nil"/>
              <w:left w:val="nil"/>
              <w:bottom w:val="single" w:sz="4" w:space="0" w:color="auto"/>
              <w:right w:val="single" w:sz="4" w:space="0" w:color="auto"/>
            </w:tcBorders>
            <w:shd w:val="clear" w:color="auto" w:fill="auto"/>
            <w:noWrap/>
            <w:vAlign w:val="bottom"/>
            <w:hideMark/>
          </w:tcPr>
          <w:p w14:paraId="0A1713A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3.65%</w:t>
            </w:r>
          </w:p>
        </w:tc>
        <w:tc>
          <w:tcPr>
            <w:tcW w:w="960" w:type="dxa"/>
            <w:tcBorders>
              <w:top w:val="nil"/>
              <w:left w:val="nil"/>
              <w:bottom w:val="single" w:sz="4" w:space="0" w:color="auto"/>
              <w:right w:val="single" w:sz="4" w:space="0" w:color="auto"/>
            </w:tcBorders>
            <w:shd w:val="clear" w:color="auto" w:fill="auto"/>
            <w:noWrap/>
            <w:vAlign w:val="bottom"/>
            <w:hideMark/>
          </w:tcPr>
          <w:p w14:paraId="32594C7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3.23%</w:t>
            </w:r>
          </w:p>
        </w:tc>
        <w:tc>
          <w:tcPr>
            <w:tcW w:w="980" w:type="dxa"/>
            <w:tcBorders>
              <w:top w:val="nil"/>
              <w:left w:val="nil"/>
              <w:bottom w:val="single" w:sz="4" w:space="0" w:color="auto"/>
              <w:right w:val="single" w:sz="4" w:space="0" w:color="auto"/>
            </w:tcBorders>
            <w:shd w:val="clear" w:color="auto" w:fill="auto"/>
            <w:noWrap/>
            <w:vAlign w:val="bottom"/>
            <w:hideMark/>
          </w:tcPr>
          <w:p w14:paraId="26D7AC4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0.77%</w:t>
            </w:r>
          </w:p>
        </w:tc>
      </w:tr>
      <w:tr w:rsidR="00F20114" w:rsidRPr="00934350" w14:paraId="33091C30"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6774432"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HUME(C)</w:t>
            </w:r>
          </w:p>
        </w:tc>
        <w:tc>
          <w:tcPr>
            <w:tcW w:w="960" w:type="dxa"/>
            <w:tcBorders>
              <w:top w:val="nil"/>
              <w:left w:val="nil"/>
              <w:bottom w:val="single" w:sz="4" w:space="0" w:color="auto"/>
              <w:right w:val="single" w:sz="4" w:space="0" w:color="auto"/>
            </w:tcBorders>
            <w:shd w:val="clear" w:color="auto" w:fill="auto"/>
            <w:noWrap/>
            <w:vAlign w:val="bottom"/>
            <w:hideMark/>
          </w:tcPr>
          <w:p w14:paraId="388019F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6.36%</w:t>
            </w:r>
          </w:p>
        </w:tc>
        <w:tc>
          <w:tcPr>
            <w:tcW w:w="1220" w:type="dxa"/>
            <w:tcBorders>
              <w:top w:val="nil"/>
              <w:left w:val="nil"/>
              <w:bottom w:val="single" w:sz="4" w:space="0" w:color="auto"/>
              <w:right w:val="single" w:sz="4" w:space="0" w:color="auto"/>
            </w:tcBorders>
            <w:shd w:val="clear" w:color="auto" w:fill="auto"/>
            <w:noWrap/>
            <w:vAlign w:val="bottom"/>
            <w:hideMark/>
          </w:tcPr>
          <w:p w14:paraId="256FFBF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4.2%</w:t>
            </w:r>
          </w:p>
        </w:tc>
        <w:tc>
          <w:tcPr>
            <w:tcW w:w="960" w:type="dxa"/>
            <w:tcBorders>
              <w:top w:val="nil"/>
              <w:left w:val="nil"/>
              <w:bottom w:val="single" w:sz="4" w:space="0" w:color="auto"/>
              <w:right w:val="single" w:sz="4" w:space="0" w:color="auto"/>
            </w:tcBorders>
            <w:shd w:val="clear" w:color="auto" w:fill="auto"/>
            <w:noWrap/>
            <w:vAlign w:val="bottom"/>
            <w:hideMark/>
          </w:tcPr>
          <w:p w14:paraId="5422A652"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5.4%</w:t>
            </w:r>
          </w:p>
        </w:tc>
        <w:tc>
          <w:tcPr>
            <w:tcW w:w="960" w:type="dxa"/>
            <w:tcBorders>
              <w:top w:val="nil"/>
              <w:left w:val="nil"/>
              <w:bottom w:val="single" w:sz="4" w:space="0" w:color="auto"/>
              <w:right w:val="single" w:sz="4" w:space="0" w:color="auto"/>
            </w:tcBorders>
            <w:shd w:val="clear" w:color="auto" w:fill="auto"/>
            <w:noWrap/>
            <w:vAlign w:val="bottom"/>
            <w:hideMark/>
          </w:tcPr>
          <w:p w14:paraId="5053855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5.42%</w:t>
            </w:r>
          </w:p>
        </w:tc>
        <w:tc>
          <w:tcPr>
            <w:tcW w:w="960" w:type="dxa"/>
            <w:tcBorders>
              <w:top w:val="nil"/>
              <w:left w:val="nil"/>
              <w:bottom w:val="single" w:sz="4" w:space="0" w:color="auto"/>
              <w:right w:val="single" w:sz="4" w:space="0" w:color="auto"/>
            </w:tcBorders>
            <w:shd w:val="clear" w:color="auto" w:fill="auto"/>
            <w:noWrap/>
            <w:vAlign w:val="bottom"/>
            <w:hideMark/>
          </w:tcPr>
          <w:p w14:paraId="2F2EFD2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26A87" w14:textId="77777777" w:rsidR="00F20114" w:rsidRPr="00934350" w:rsidRDefault="00F20114" w:rsidP="00F20114">
            <w:pPr>
              <w:jc w:val="right"/>
              <w:rPr>
                <w:rFonts w:ascii="Calibri" w:hAnsi="Calibri"/>
                <w:color w:val="9C0006"/>
                <w:sz w:val="20"/>
                <w:lang w:eastAsia="en-AU"/>
              </w:rPr>
            </w:pPr>
            <w:r w:rsidRPr="005D0C9A">
              <w:rPr>
                <w:rFonts w:ascii="Calibri" w:hAnsi="Calibri"/>
                <w:color w:val="000000" w:themeColor="text1"/>
                <w:sz w:val="20"/>
                <w:lang w:eastAsia="en-AU"/>
              </w:rPr>
              <w:t>5.26%</w:t>
            </w:r>
          </w:p>
        </w:tc>
        <w:tc>
          <w:tcPr>
            <w:tcW w:w="980" w:type="dxa"/>
            <w:tcBorders>
              <w:top w:val="nil"/>
              <w:left w:val="nil"/>
              <w:bottom w:val="single" w:sz="4" w:space="0" w:color="auto"/>
              <w:right w:val="single" w:sz="4" w:space="0" w:color="auto"/>
            </w:tcBorders>
            <w:shd w:val="clear" w:color="auto" w:fill="auto"/>
            <w:noWrap/>
            <w:vAlign w:val="bottom"/>
            <w:hideMark/>
          </w:tcPr>
          <w:p w14:paraId="2FADA11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1.93%</w:t>
            </w:r>
          </w:p>
        </w:tc>
      </w:tr>
      <w:tr w:rsidR="00F20114" w:rsidRPr="00934350" w14:paraId="2885FC5E"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F8B1F72"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INDIGO(S)</w:t>
            </w:r>
          </w:p>
        </w:tc>
        <w:tc>
          <w:tcPr>
            <w:tcW w:w="960" w:type="dxa"/>
            <w:tcBorders>
              <w:top w:val="nil"/>
              <w:left w:val="nil"/>
              <w:bottom w:val="single" w:sz="4" w:space="0" w:color="auto"/>
              <w:right w:val="single" w:sz="4" w:space="0" w:color="auto"/>
            </w:tcBorders>
            <w:shd w:val="clear" w:color="auto" w:fill="auto"/>
            <w:noWrap/>
            <w:vAlign w:val="bottom"/>
            <w:hideMark/>
          </w:tcPr>
          <w:p w14:paraId="1742599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7.13%</w:t>
            </w:r>
          </w:p>
        </w:tc>
        <w:tc>
          <w:tcPr>
            <w:tcW w:w="1220" w:type="dxa"/>
            <w:tcBorders>
              <w:top w:val="nil"/>
              <w:left w:val="nil"/>
              <w:bottom w:val="single" w:sz="4" w:space="0" w:color="auto"/>
              <w:right w:val="single" w:sz="4" w:space="0" w:color="auto"/>
            </w:tcBorders>
            <w:shd w:val="clear" w:color="auto" w:fill="auto"/>
            <w:noWrap/>
            <w:vAlign w:val="bottom"/>
            <w:hideMark/>
          </w:tcPr>
          <w:p w14:paraId="6773D56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3.3%</w:t>
            </w:r>
          </w:p>
        </w:tc>
        <w:tc>
          <w:tcPr>
            <w:tcW w:w="960" w:type="dxa"/>
            <w:tcBorders>
              <w:top w:val="nil"/>
              <w:left w:val="nil"/>
              <w:bottom w:val="single" w:sz="4" w:space="0" w:color="auto"/>
              <w:right w:val="single" w:sz="4" w:space="0" w:color="auto"/>
            </w:tcBorders>
            <w:shd w:val="clear" w:color="auto" w:fill="auto"/>
            <w:noWrap/>
            <w:vAlign w:val="bottom"/>
            <w:hideMark/>
          </w:tcPr>
          <w:p w14:paraId="61CE278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3.9%</w:t>
            </w:r>
          </w:p>
        </w:tc>
        <w:tc>
          <w:tcPr>
            <w:tcW w:w="960" w:type="dxa"/>
            <w:tcBorders>
              <w:top w:val="nil"/>
              <w:left w:val="nil"/>
              <w:bottom w:val="single" w:sz="4" w:space="0" w:color="auto"/>
              <w:right w:val="single" w:sz="4" w:space="0" w:color="auto"/>
            </w:tcBorders>
            <w:shd w:val="clear" w:color="auto" w:fill="auto"/>
            <w:noWrap/>
            <w:vAlign w:val="bottom"/>
            <w:hideMark/>
          </w:tcPr>
          <w:p w14:paraId="3CCE795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3.72%</w:t>
            </w:r>
          </w:p>
        </w:tc>
        <w:tc>
          <w:tcPr>
            <w:tcW w:w="960" w:type="dxa"/>
            <w:tcBorders>
              <w:top w:val="nil"/>
              <w:left w:val="nil"/>
              <w:bottom w:val="single" w:sz="4" w:space="0" w:color="auto"/>
              <w:right w:val="single" w:sz="4" w:space="0" w:color="auto"/>
            </w:tcBorders>
            <w:shd w:val="clear" w:color="auto" w:fill="auto"/>
            <w:noWrap/>
            <w:vAlign w:val="bottom"/>
            <w:hideMark/>
          </w:tcPr>
          <w:p w14:paraId="5811297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2.76%</w:t>
            </w:r>
          </w:p>
        </w:tc>
        <w:tc>
          <w:tcPr>
            <w:tcW w:w="960" w:type="dxa"/>
            <w:tcBorders>
              <w:top w:val="nil"/>
              <w:left w:val="nil"/>
              <w:bottom w:val="single" w:sz="4" w:space="0" w:color="auto"/>
              <w:right w:val="single" w:sz="4" w:space="0" w:color="auto"/>
            </w:tcBorders>
            <w:shd w:val="clear" w:color="auto" w:fill="auto"/>
            <w:noWrap/>
            <w:vAlign w:val="bottom"/>
            <w:hideMark/>
          </w:tcPr>
          <w:p w14:paraId="25716D1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3.35%</w:t>
            </w:r>
          </w:p>
        </w:tc>
        <w:tc>
          <w:tcPr>
            <w:tcW w:w="980" w:type="dxa"/>
            <w:tcBorders>
              <w:top w:val="nil"/>
              <w:left w:val="nil"/>
              <w:bottom w:val="single" w:sz="4" w:space="0" w:color="auto"/>
              <w:right w:val="single" w:sz="4" w:space="0" w:color="auto"/>
            </w:tcBorders>
            <w:shd w:val="clear" w:color="auto" w:fill="auto"/>
            <w:noWrap/>
            <w:vAlign w:val="bottom"/>
            <w:hideMark/>
          </w:tcPr>
          <w:p w14:paraId="0B71D1B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0.12%</w:t>
            </w:r>
          </w:p>
        </w:tc>
      </w:tr>
      <w:tr w:rsidR="00F20114" w:rsidRPr="00934350" w14:paraId="6F697E55"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72F7B2A"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KINGSTON(C)</w:t>
            </w:r>
          </w:p>
        </w:tc>
        <w:tc>
          <w:tcPr>
            <w:tcW w:w="960" w:type="dxa"/>
            <w:tcBorders>
              <w:top w:val="nil"/>
              <w:left w:val="nil"/>
              <w:bottom w:val="single" w:sz="4" w:space="0" w:color="auto"/>
              <w:right w:val="single" w:sz="4" w:space="0" w:color="auto"/>
            </w:tcBorders>
            <w:shd w:val="clear" w:color="auto" w:fill="auto"/>
            <w:noWrap/>
            <w:vAlign w:val="bottom"/>
            <w:hideMark/>
          </w:tcPr>
          <w:p w14:paraId="3394CC0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5.01%</w:t>
            </w:r>
          </w:p>
        </w:tc>
        <w:tc>
          <w:tcPr>
            <w:tcW w:w="1220" w:type="dxa"/>
            <w:tcBorders>
              <w:top w:val="nil"/>
              <w:left w:val="nil"/>
              <w:bottom w:val="single" w:sz="4" w:space="0" w:color="auto"/>
              <w:right w:val="single" w:sz="4" w:space="0" w:color="auto"/>
            </w:tcBorders>
            <w:shd w:val="clear" w:color="auto" w:fill="auto"/>
            <w:noWrap/>
            <w:vAlign w:val="bottom"/>
            <w:hideMark/>
          </w:tcPr>
          <w:p w14:paraId="6E6322B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3.4%</w:t>
            </w:r>
          </w:p>
        </w:tc>
        <w:tc>
          <w:tcPr>
            <w:tcW w:w="960" w:type="dxa"/>
            <w:tcBorders>
              <w:top w:val="nil"/>
              <w:left w:val="nil"/>
              <w:bottom w:val="single" w:sz="4" w:space="0" w:color="auto"/>
              <w:right w:val="single" w:sz="4" w:space="0" w:color="auto"/>
            </w:tcBorders>
            <w:shd w:val="clear" w:color="auto" w:fill="auto"/>
            <w:noWrap/>
            <w:vAlign w:val="bottom"/>
            <w:hideMark/>
          </w:tcPr>
          <w:p w14:paraId="6C37DD4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3.0%</w:t>
            </w:r>
          </w:p>
        </w:tc>
        <w:tc>
          <w:tcPr>
            <w:tcW w:w="960" w:type="dxa"/>
            <w:tcBorders>
              <w:top w:val="nil"/>
              <w:left w:val="nil"/>
              <w:bottom w:val="single" w:sz="4" w:space="0" w:color="auto"/>
              <w:right w:val="single" w:sz="4" w:space="0" w:color="auto"/>
            </w:tcBorders>
            <w:shd w:val="clear" w:color="auto" w:fill="auto"/>
            <w:noWrap/>
            <w:vAlign w:val="bottom"/>
            <w:hideMark/>
          </w:tcPr>
          <w:p w14:paraId="36321244"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4.70%</w:t>
            </w:r>
          </w:p>
        </w:tc>
        <w:tc>
          <w:tcPr>
            <w:tcW w:w="960" w:type="dxa"/>
            <w:tcBorders>
              <w:top w:val="nil"/>
              <w:left w:val="nil"/>
              <w:bottom w:val="single" w:sz="4" w:space="0" w:color="auto"/>
              <w:right w:val="single" w:sz="4" w:space="0" w:color="auto"/>
            </w:tcBorders>
            <w:shd w:val="clear" w:color="auto" w:fill="auto"/>
            <w:noWrap/>
            <w:vAlign w:val="bottom"/>
            <w:hideMark/>
          </w:tcPr>
          <w:p w14:paraId="39F38A34"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4.00%</w:t>
            </w:r>
          </w:p>
        </w:tc>
        <w:tc>
          <w:tcPr>
            <w:tcW w:w="960" w:type="dxa"/>
            <w:tcBorders>
              <w:top w:val="nil"/>
              <w:left w:val="nil"/>
              <w:bottom w:val="single" w:sz="4" w:space="0" w:color="auto"/>
              <w:right w:val="single" w:sz="4" w:space="0" w:color="auto"/>
            </w:tcBorders>
            <w:shd w:val="clear" w:color="auto" w:fill="auto"/>
            <w:noWrap/>
            <w:vAlign w:val="bottom"/>
            <w:hideMark/>
          </w:tcPr>
          <w:p w14:paraId="4F09BC04"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3.68%</w:t>
            </w:r>
          </w:p>
        </w:tc>
        <w:tc>
          <w:tcPr>
            <w:tcW w:w="980" w:type="dxa"/>
            <w:tcBorders>
              <w:top w:val="nil"/>
              <w:left w:val="nil"/>
              <w:bottom w:val="single" w:sz="4" w:space="0" w:color="auto"/>
              <w:right w:val="single" w:sz="4" w:space="0" w:color="auto"/>
            </w:tcBorders>
            <w:shd w:val="clear" w:color="auto" w:fill="auto"/>
            <w:noWrap/>
            <w:vAlign w:val="bottom"/>
            <w:hideMark/>
          </w:tcPr>
          <w:p w14:paraId="437EB81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0.91%</w:t>
            </w:r>
          </w:p>
        </w:tc>
      </w:tr>
      <w:tr w:rsidR="00F20114" w:rsidRPr="00934350" w14:paraId="248A3DEF"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D206842"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KNOX(C)</w:t>
            </w:r>
          </w:p>
        </w:tc>
        <w:tc>
          <w:tcPr>
            <w:tcW w:w="960" w:type="dxa"/>
            <w:tcBorders>
              <w:top w:val="nil"/>
              <w:left w:val="nil"/>
              <w:bottom w:val="single" w:sz="4" w:space="0" w:color="auto"/>
              <w:right w:val="single" w:sz="4" w:space="0" w:color="auto"/>
            </w:tcBorders>
            <w:shd w:val="clear" w:color="auto" w:fill="auto"/>
            <w:noWrap/>
            <w:vAlign w:val="bottom"/>
            <w:hideMark/>
          </w:tcPr>
          <w:p w14:paraId="1F4C7CA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4.10%</w:t>
            </w:r>
          </w:p>
        </w:tc>
        <w:tc>
          <w:tcPr>
            <w:tcW w:w="1220" w:type="dxa"/>
            <w:tcBorders>
              <w:top w:val="nil"/>
              <w:left w:val="nil"/>
              <w:bottom w:val="single" w:sz="4" w:space="0" w:color="auto"/>
              <w:right w:val="single" w:sz="4" w:space="0" w:color="auto"/>
            </w:tcBorders>
            <w:shd w:val="clear" w:color="auto" w:fill="auto"/>
            <w:noWrap/>
            <w:vAlign w:val="bottom"/>
            <w:hideMark/>
          </w:tcPr>
          <w:p w14:paraId="5457C46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3.0%</w:t>
            </w:r>
          </w:p>
        </w:tc>
        <w:tc>
          <w:tcPr>
            <w:tcW w:w="960" w:type="dxa"/>
            <w:tcBorders>
              <w:top w:val="nil"/>
              <w:left w:val="nil"/>
              <w:bottom w:val="single" w:sz="4" w:space="0" w:color="auto"/>
              <w:right w:val="single" w:sz="4" w:space="0" w:color="auto"/>
            </w:tcBorders>
            <w:shd w:val="clear" w:color="auto" w:fill="auto"/>
            <w:noWrap/>
            <w:vAlign w:val="bottom"/>
            <w:hideMark/>
          </w:tcPr>
          <w:p w14:paraId="4615744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3.7%</w:t>
            </w:r>
          </w:p>
        </w:tc>
        <w:tc>
          <w:tcPr>
            <w:tcW w:w="960" w:type="dxa"/>
            <w:tcBorders>
              <w:top w:val="nil"/>
              <w:left w:val="nil"/>
              <w:bottom w:val="single" w:sz="4" w:space="0" w:color="auto"/>
              <w:right w:val="single" w:sz="4" w:space="0" w:color="auto"/>
            </w:tcBorders>
            <w:shd w:val="clear" w:color="auto" w:fill="auto"/>
            <w:noWrap/>
            <w:vAlign w:val="bottom"/>
            <w:hideMark/>
          </w:tcPr>
          <w:p w14:paraId="401BE7F2"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4.06%</w:t>
            </w:r>
          </w:p>
        </w:tc>
        <w:tc>
          <w:tcPr>
            <w:tcW w:w="960" w:type="dxa"/>
            <w:tcBorders>
              <w:top w:val="nil"/>
              <w:left w:val="nil"/>
              <w:bottom w:val="single" w:sz="4" w:space="0" w:color="auto"/>
              <w:right w:val="single" w:sz="4" w:space="0" w:color="auto"/>
            </w:tcBorders>
            <w:shd w:val="clear" w:color="auto" w:fill="auto"/>
            <w:noWrap/>
            <w:vAlign w:val="bottom"/>
            <w:hideMark/>
          </w:tcPr>
          <w:p w14:paraId="099E025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3.74%</w:t>
            </w:r>
          </w:p>
        </w:tc>
        <w:tc>
          <w:tcPr>
            <w:tcW w:w="960" w:type="dxa"/>
            <w:tcBorders>
              <w:top w:val="nil"/>
              <w:left w:val="nil"/>
              <w:bottom w:val="single" w:sz="4" w:space="0" w:color="auto"/>
              <w:right w:val="single" w:sz="4" w:space="0" w:color="auto"/>
            </w:tcBorders>
            <w:shd w:val="clear" w:color="auto" w:fill="auto"/>
            <w:noWrap/>
            <w:vAlign w:val="bottom"/>
            <w:hideMark/>
          </w:tcPr>
          <w:p w14:paraId="0DCB70E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3.26%</w:t>
            </w:r>
          </w:p>
        </w:tc>
        <w:tc>
          <w:tcPr>
            <w:tcW w:w="980" w:type="dxa"/>
            <w:tcBorders>
              <w:top w:val="nil"/>
              <w:left w:val="nil"/>
              <w:bottom w:val="single" w:sz="4" w:space="0" w:color="auto"/>
              <w:right w:val="single" w:sz="4" w:space="0" w:color="auto"/>
            </w:tcBorders>
            <w:shd w:val="clear" w:color="auto" w:fill="auto"/>
            <w:noWrap/>
            <w:vAlign w:val="bottom"/>
            <w:hideMark/>
          </w:tcPr>
          <w:p w14:paraId="50B756D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0.23%</w:t>
            </w:r>
          </w:p>
        </w:tc>
      </w:tr>
      <w:tr w:rsidR="00F20114" w:rsidRPr="00934350" w14:paraId="7F444F37"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676C187"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LATROBE(C)</w:t>
            </w:r>
          </w:p>
        </w:tc>
        <w:tc>
          <w:tcPr>
            <w:tcW w:w="960" w:type="dxa"/>
            <w:tcBorders>
              <w:top w:val="nil"/>
              <w:left w:val="nil"/>
              <w:bottom w:val="single" w:sz="4" w:space="0" w:color="auto"/>
              <w:right w:val="single" w:sz="4" w:space="0" w:color="auto"/>
            </w:tcBorders>
            <w:shd w:val="clear" w:color="auto" w:fill="auto"/>
            <w:noWrap/>
            <w:vAlign w:val="bottom"/>
            <w:hideMark/>
          </w:tcPr>
          <w:p w14:paraId="74EB51B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5.05%</w:t>
            </w:r>
          </w:p>
        </w:tc>
        <w:tc>
          <w:tcPr>
            <w:tcW w:w="1220" w:type="dxa"/>
            <w:tcBorders>
              <w:top w:val="nil"/>
              <w:left w:val="nil"/>
              <w:bottom w:val="single" w:sz="4" w:space="0" w:color="auto"/>
              <w:right w:val="single" w:sz="4" w:space="0" w:color="auto"/>
            </w:tcBorders>
            <w:shd w:val="clear" w:color="auto" w:fill="auto"/>
            <w:noWrap/>
            <w:vAlign w:val="bottom"/>
            <w:hideMark/>
          </w:tcPr>
          <w:p w14:paraId="02AB25D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3.0%</w:t>
            </w:r>
          </w:p>
        </w:tc>
        <w:tc>
          <w:tcPr>
            <w:tcW w:w="960" w:type="dxa"/>
            <w:tcBorders>
              <w:top w:val="nil"/>
              <w:left w:val="nil"/>
              <w:bottom w:val="single" w:sz="4" w:space="0" w:color="auto"/>
              <w:right w:val="single" w:sz="4" w:space="0" w:color="auto"/>
            </w:tcBorders>
            <w:shd w:val="clear" w:color="auto" w:fill="auto"/>
            <w:noWrap/>
            <w:vAlign w:val="bottom"/>
            <w:hideMark/>
          </w:tcPr>
          <w:p w14:paraId="7AD65CE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4.1%</w:t>
            </w:r>
          </w:p>
        </w:tc>
        <w:tc>
          <w:tcPr>
            <w:tcW w:w="960" w:type="dxa"/>
            <w:tcBorders>
              <w:top w:val="nil"/>
              <w:left w:val="nil"/>
              <w:bottom w:val="single" w:sz="4" w:space="0" w:color="auto"/>
              <w:right w:val="single" w:sz="4" w:space="0" w:color="auto"/>
            </w:tcBorders>
            <w:shd w:val="clear" w:color="auto" w:fill="auto"/>
            <w:noWrap/>
            <w:vAlign w:val="bottom"/>
            <w:hideMark/>
          </w:tcPr>
          <w:p w14:paraId="0CB7CB1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3.78%</w:t>
            </w:r>
          </w:p>
        </w:tc>
        <w:tc>
          <w:tcPr>
            <w:tcW w:w="960" w:type="dxa"/>
            <w:tcBorders>
              <w:top w:val="nil"/>
              <w:left w:val="nil"/>
              <w:bottom w:val="single" w:sz="4" w:space="0" w:color="auto"/>
              <w:right w:val="single" w:sz="4" w:space="0" w:color="auto"/>
            </w:tcBorders>
            <w:shd w:val="clear" w:color="auto" w:fill="auto"/>
            <w:noWrap/>
            <w:vAlign w:val="bottom"/>
            <w:hideMark/>
          </w:tcPr>
          <w:p w14:paraId="01F602D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3.34%</w:t>
            </w:r>
          </w:p>
        </w:tc>
        <w:tc>
          <w:tcPr>
            <w:tcW w:w="960" w:type="dxa"/>
            <w:tcBorders>
              <w:top w:val="nil"/>
              <w:left w:val="nil"/>
              <w:bottom w:val="single" w:sz="4" w:space="0" w:color="auto"/>
              <w:right w:val="single" w:sz="4" w:space="0" w:color="auto"/>
            </w:tcBorders>
            <w:shd w:val="clear" w:color="auto" w:fill="auto"/>
            <w:noWrap/>
            <w:vAlign w:val="bottom"/>
            <w:hideMark/>
          </w:tcPr>
          <w:p w14:paraId="55D8171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3.20%</w:t>
            </w:r>
          </w:p>
        </w:tc>
        <w:tc>
          <w:tcPr>
            <w:tcW w:w="980" w:type="dxa"/>
            <w:tcBorders>
              <w:top w:val="nil"/>
              <w:left w:val="nil"/>
              <w:bottom w:val="single" w:sz="4" w:space="0" w:color="auto"/>
              <w:right w:val="single" w:sz="4" w:space="0" w:color="auto"/>
            </w:tcBorders>
            <w:shd w:val="clear" w:color="auto" w:fill="auto"/>
            <w:noWrap/>
            <w:vAlign w:val="bottom"/>
            <w:hideMark/>
          </w:tcPr>
          <w:p w14:paraId="5DFAF2D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0.63%</w:t>
            </w:r>
          </w:p>
        </w:tc>
      </w:tr>
      <w:tr w:rsidR="00F20114" w:rsidRPr="00934350" w14:paraId="7D1672A6"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A9FFAFF"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LODDON(S)</w:t>
            </w:r>
          </w:p>
        </w:tc>
        <w:tc>
          <w:tcPr>
            <w:tcW w:w="960" w:type="dxa"/>
            <w:tcBorders>
              <w:top w:val="nil"/>
              <w:left w:val="nil"/>
              <w:bottom w:val="single" w:sz="4" w:space="0" w:color="auto"/>
              <w:right w:val="single" w:sz="4" w:space="0" w:color="auto"/>
            </w:tcBorders>
            <w:shd w:val="clear" w:color="auto" w:fill="auto"/>
            <w:noWrap/>
            <w:vAlign w:val="bottom"/>
            <w:hideMark/>
          </w:tcPr>
          <w:p w14:paraId="666CF8C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3.62%</w:t>
            </w:r>
          </w:p>
        </w:tc>
        <w:tc>
          <w:tcPr>
            <w:tcW w:w="1220" w:type="dxa"/>
            <w:tcBorders>
              <w:top w:val="nil"/>
              <w:left w:val="nil"/>
              <w:bottom w:val="single" w:sz="4" w:space="0" w:color="auto"/>
              <w:right w:val="single" w:sz="4" w:space="0" w:color="auto"/>
            </w:tcBorders>
            <w:shd w:val="clear" w:color="auto" w:fill="auto"/>
            <w:noWrap/>
            <w:vAlign w:val="bottom"/>
            <w:hideMark/>
          </w:tcPr>
          <w:p w14:paraId="7D91CD8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2.7%</w:t>
            </w:r>
          </w:p>
        </w:tc>
        <w:tc>
          <w:tcPr>
            <w:tcW w:w="960" w:type="dxa"/>
            <w:tcBorders>
              <w:top w:val="nil"/>
              <w:left w:val="nil"/>
              <w:bottom w:val="single" w:sz="4" w:space="0" w:color="auto"/>
              <w:right w:val="single" w:sz="4" w:space="0" w:color="auto"/>
            </w:tcBorders>
            <w:shd w:val="clear" w:color="auto" w:fill="auto"/>
            <w:noWrap/>
            <w:vAlign w:val="bottom"/>
            <w:hideMark/>
          </w:tcPr>
          <w:p w14:paraId="5D8693F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3.3%</w:t>
            </w:r>
          </w:p>
        </w:tc>
        <w:tc>
          <w:tcPr>
            <w:tcW w:w="960" w:type="dxa"/>
            <w:tcBorders>
              <w:top w:val="nil"/>
              <w:left w:val="nil"/>
              <w:bottom w:val="single" w:sz="4" w:space="0" w:color="auto"/>
              <w:right w:val="single" w:sz="4" w:space="0" w:color="auto"/>
            </w:tcBorders>
            <w:shd w:val="clear" w:color="auto" w:fill="auto"/>
            <w:noWrap/>
            <w:vAlign w:val="bottom"/>
            <w:hideMark/>
          </w:tcPr>
          <w:p w14:paraId="0EE6BE4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3.50%</w:t>
            </w:r>
          </w:p>
        </w:tc>
        <w:tc>
          <w:tcPr>
            <w:tcW w:w="960" w:type="dxa"/>
            <w:tcBorders>
              <w:top w:val="nil"/>
              <w:left w:val="nil"/>
              <w:bottom w:val="single" w:sz="4" w:space="0" w:color="auto"/>
              <w:right w:val="single" w:sz="4" w:space="0" w:color="auto"/>
            </w:tcBorders>
            <w:shd w:val="clear" w:color="auto" w:fill="auto"/>
            <w:noWrap/>
            <w:vAlign w:val="bottom"/>
            <w:hideMark/>
          </w:tcPr>
          <w:p w14:paraId="451F4E7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3.31%</w:t>
            </w:r>
          </w:p>
        </w:tc>
        <w:tc>
          <w:tcPr>
            <w:tcW w:w="960" w:type="dxa"/>
            <w:tcBorders>
              <w:top w:val="nil"/>
              <w:left w:val="nil"/>
              <w:bottom w:val="single" w:sz="4" w:space="0" w:color="auto"/>
              <w:right w:val="single" w:sz="4" w:space="0" w:color="auto"/>
            </w:tcBorders>
            <w:shd w:val="clear" w:color="auto" w:fill="auto"/>
            <w:noWrap/>
            <w:vAlign w:val="bottom"/>
            <w:hideMark/>
          </w:tcPr>
          <w:p w14:paraId="5D11F17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2.50%</w:t>
            </w:r>
          </w:p>
        </w:tc>
        <w:tc>
          <w:tcPr>
            <w:tcW w:w="980" w:type="dxa"/>
            <w:tcBorders>
              <w:top w:val="nil"/>
              <w:left w:val="nil"/>
              <w:bottom w:val="single" w:sz="4" w:space="0" w:color="auto"/>
              <w:right w:val="single" w:sz="4" w:space="0" w:color="auto"/>
            </w:tcBorders>
            <w:shd w:val="clear" w:color="auto" w:fill="auto"/>
            <w:noWrap/>
            <w:vAlign w:val="bottom"/>
            <w:hideMark/>
          </w:tcPr>
          <w:p w14:paraId="1468371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0.01%</w:t>
            </w:r>
          </w:p>
        </w:tc>
      </w:tr>
      <w:tr w:rsidR="00F20114" w:rsidRPr="00934350" w14:paraId="50E60BD4"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1394FD3"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MACEDON RANGES(S)</w:t>
            </w:r>
          </w:p>
        </w:tc>
        <w:tc>
          <w:tcPr>
            <w:tcW w:w="960" w:type="dxa"/>
            <w:tcBorders>
              <w:top w:val="nil"/>
              <w:left w:val="nil"/>
              <w:bottom w:val="single" w:sz="4" w:space="0" w:color="auto"/>
              <w:right w:val="single" w:sz="4" w:space="0" w:color="auto"/>
            </w:tcBorders>
            <w:shd w:val="clear" w:color="auto" w:fill="auto"/>
            <w:noWrap/>
            <w:vAlign w:val="bottom"/>
            <w:hideMark/>
          </w:tcPr>
          <w:p w14:paraId="6EB845B7"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5.54%</w:t>
            </w:r>
          </w:p>
        </w:tc>
        <w:tc>
          <w:tcPr>
            <w:tcW w:w="1220" w:type="dxa"/>
            <w:tcBorders>
              <w:top w:val="nil"/>
              <w:left w:val="nil"/>
              <w:bottom w:val="single" w:sz="4" w:space="0" w:color="auto"/>
              <w:right w:val="single" w:sz="4" w:space="0" w:color="auto"/>
            </w:tcBorders>
            <w:shd w:val="clear" w:color="auto" w:fill="auto"/>
            <w:noWrap/>
            <w:vAlign w:val="bottom"/>
            <w:hideMark/>
          </w:tcPr>
          <w:p w14:paraId="2E57652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3.9%</w:t>
            </w:r>
          </w:p>
        </w:tc>
        <w:tc>
          <w:tcPr>
            <w:tcW w:w="960" w:type="dxa"/>
            <w:tcBorders>
              <w:top w:val="nil"/>
              <w:left w:val="nil"/>
              <w:bottom w:val="single" w:sz="4" w:space="0" w:color="auto"/>
              <w:right w:val="single" w:sz="4" w:space="0" w:color="auto"/>
            </w:tcBorders>
            <w:shd w:val="clear" w:color="auto" w:fill="auto"/>
            <w:noWrap/>
            <w:vAlign w:val="bottom"/>
            <w:hideMark/>
          </w:tcPr>
          <w:p w14:paraId="69D17E8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12.1%</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24F02C08" w14:textId="77777777" w:rsidR="00F20114" w:rsidRPr="00934350" w:rsidRDefault="00F20114" w:rsidP="00F20114">
            <w:pPr>
              <w:jc w:val="right"/>
              <w:rPr>
                <w:rFonts w:ascii="Calibri" w:hAnsi="Calibri"/>
                <w:color w:val="9C0006"/>
                <w:sz w:val="20"/>
                <w:lang w:eastAsia="en-AU"/>
              </w:rPr>
            </w:pPr>
            <w:r w:rsidRPr="00934350">
              <w:rPr>
                <w:rFonts w:ascii="Calibri" w:hAnsi="Calibri"/>
                <w:color w:val="9C0006"/>
                <w:sz w:val="20"/>
                <w:lang w:eastAsia="en-AU"/>
              </w:rPr>
              <w:t>-2.19%</w:t>
            </w:r>
          </w:p>
        </w:tc>
        <w:tc>
          <w:tcPr>
            <w:tcW w:w="960" w:type="dxa"/>
            <w:tcBorders>
              <w:top w:val="nil"/>
              <w:left w:val="nil"/>
              <w:bottom w:val="single" w:sz="4" w:space="0" w:color="auto"/>
              <w:right w:val="single" w:sz="4" w:space="0" w:color="auto"/>
            </w:tcBorders>
            <w:shd w:val="clear" w:color="auto" w:fill="auto"/>
            <w:noWrap/>
            <w:vAlign w:val="bottom"/>
            <w:hideMark/>
          </w:tcPr>
          <w:p w14:paraId="2CD5F5B7"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5.08%</w:t>
            </w:r>
          </w:p>
        </w:tc>
        <w:tc>
          <w:tcPr>
            <w:tcW w:w="960" w:type="dxa"/>
            <w:tcBorders>
              <w:top w:val="nil"/>
              <w:left w:val="nil"/>
              <w:bottom w:val="single" w:sz="4" w:space="0" w:color="auto"/>
              <w:right w:val="single" w:sz="4" w:space="0" w:color="auto"/>
            </w:tcBorders>
            <w:shd w:val="clear" w:color="auto" w:fill="auto"/>
            <w:noWrap/>
            <w:vAlign w:val="bottom"/>
            <w:hideMark/>
          </w:tcPr>
          <w:p w14:paraId="274039E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2.94%</w:t>
            </w:r>
          </w:p>
        </w:tc>
        <w:tc>
          <w:tcPr>
            <w:tcW w:w="980" w:type="dxa"/>
            <w:tcBorders>
              <w:top w:val="nil"/>
              <w:left w:val="nil"/>
              <w:bottom w:val="single" w:sz="4" w:space="0" w:color="auto"/>
              <w:right w:val="single" w:sz="4" w:space="0" w:color="auto"/>
            </w:tcBorders>
            <w:shd w:val="clear" w:color="auto" w:fill="auto"/>
            <w:noWrap/>
            <w:vAlign w:val="bottom"/>
            <w:hideMark/>
          </w:tcPr>
          <w:p w14:paraId="65FA5D9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1.21%</w:t>
            </w:r>
          </w:p>
        </w:tc>
      </w:tr>
      <w:tr w:rsidR="00F20114" w:rsidRPr="00934350" w14:paraId="40B27C69"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4609BE9"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MANNINGHAM(C)</w:t>
            </w:r>
          </w:p>
        </w:tc>
        <w:tc>
          <w:tcPr>
            <w:tcW w:w="960" w:type="dxa"/>
            <w:tcBorders>
              <w:top w:val="nil"/>
              <w:left w:val="nil"/>
              <w:bottom w:val="single" w:sz="4" w:space="0" w:color="auto"/>
              <w:right w:val="single" w:sz="4" w:space="0" w:color="auto"/>
            </w:tcBorders>
            <w:shd w:val="clear" w:color="auto" w:fill="auto"/>
            <w:noWrap/>
            <w:vAlign w:val="bottom"/>
            <w:hideMark/>
          </w:tcPr>
          <w:p w14:paraId="2949EF9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4.17%</w:t>
            </w:r>
          </w:p>
        </w:tc>
        <w:tc>
          <w:tcPr>
            <w:tcW w:w="1220" w:type="dxa"/>
            <w:tcBorders>
              <w:top w:val="nil"/>
              <w:left w:val="nil"/>
              <w:bottom w:val="single" w:sz="4" w:space="0" w:color="auto"/>
              <w:right w:val="single" w:sz="4" w:space="0" w:color="auto"/>
            </w:tcBorders>
            <w:shd w:val="clear" w:color="auto" w:fill="auto"/>
            <w:noWrap/>
            <w:vAlign w:val="bottom"/>
            <w:hideMark/>
          </w:tcPr>
          <w:p w14:paraId="14796BAB"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w:t>
            </w:r>
          </w:p>
        </w:tc>
        <w:tc>
          <w:tcPr>
            <w:tcW w:w="960" w:type="dxa"/>
            <w:tcBorders>
              <w:top w:val="nil"/>
              <w:left w:val="nil"/>
              <w:bottom w:val="single" w:sz="4" w:space="0" w:color="auto"/>
              <w:right w:val="single" w:sz="4" w:space="0" w:color="auto"/>
            </w:tcBorders>
            <w:shd w:val="clear" w:color="auto" w:fill="auto"/>
            <w:noWrap/>
            <w:vAlign w:val="bottom"/>
            <w:hideMark/>
          </w:tcPr>
          <w:p w14:paraId="1124439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3.7%</w:t>
            </w:r>
          </w:p>
        </w:tc>
        <w:tc>
          <w:tcPr>
            <w:tcW w:w="960" w:type="dxa"/>
            <w:tcBorders>
              <w:top w:val="nil"/>
              <w:left w:val="nil"/>
              <w:bottom w:val="single" w:sz="4" w:space="0" w:color="auto"/>
              <w:right w:val="single" w:sz="4" w:space="0" w:color="auto"/>
            </w:tcBorders>
            <w:shd w:val="clear" w:color="auto" w:fill="auto"/>
            <w:noWrap/>
            <w:vAlign w:val="bottom"/>
            <w:hideMark/>
          </w:tcPr>
          <w:p w14:paraId="37426BE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3.95%</w:t>
            </w:r>
          </w:p>
        </w:tc>
        <w:tc>
          <w:tcPr>
            <w:tcW w:w="960" w:type="dxa"/>
            <w:tcBorders>
              <w:top w:val="nil"/>
              <w:left w:val="nil"/>
              <w:bottom w:val="single" w:sz="4" w:space="0" w:color="auto"/>
              <w:right w:val="single" w:sz="4" w:space="0" w:color="auto"/>
            </w:tcBorders>
            <w:shd w:val="clear" w:color="auto" w:fill="auto"/>
            <w:noWrap/>
            <w:vAlign w:val="bottom"/>
            <w:hideMark/>
          </w:tcPr>
          <w:p w14:paraId="0A32213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4.21%</w:t>
            </w:r>
          </w:p>
        </w:tc>
        <w:tc>
          <w:tcPr>
            <w:tcW w:w="960" w:type="dxa"/>
            <w:tcBorders>
              <w:top w:val="nil"/>
              <w:left w:val="nil"/>
              <w:bottom w:val="single" w:sz="4" w:space="0" w:color="auto"/>
              <w:right w:val="single" w:sz="4" w:space="0" w:color="auto"/>
            </w:tcBorders>
            <w:shd w:val="clear" w:color="auto" w:fill="auto"/>
            <w:noWrap/>
            <w:vAlign w:val="bottom"/>
            <w:hideMark/>
          </w:tcPr>
          <w:p w14:paraId="402FDE9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2.84%</w:t>
            </w:r>
          </w:p>
        </w:tc>
        <w:tc>
          <w:tcPr>
            <w:tcW w:w="980" w:type="dxa"/>
            <w:tcBorders>
              <w:top w:val="nil"/>
              <w:left w:val="nil"/>
              <w:bottom w:val="single" w:sz="4" w:space="0" w:color="auto"/>
              <w:right w:val="single" w:sz="4" w:space="0" w:color="auto"/>
            </w:tcBorders>
            <w:shd w:val="clear" w:color="auto" w:fill="auto"/>
            <w:noWrap/>
            <w:vAlign w:val="bottom"/>
            <w:hideMark/>
          </w:tcPr>
          <w:p w14:paraId="077C256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0.66%</w:t>
            </w:r>
          </w:p>
        </w:tc>
      </w:tr>
      <w:tr w:rsidR="00F20114" w:rsidRPr="00934350" w14:paraId="374C1595"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A5BAC40"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MANSFIELD(S)</w:t>
            </w:r>
          </w:p>
        </w:tc>
        <w:tc>
          <w:tcPr>
            <w:tcW w:w="960" w:type="dxa"/>
            <w:tcBorders>
              <w:top w:val="nil"/>
              <w:left w:val="nil"/>
              <w:bottom w:val="single" w:sz="4" w:space="0" w:color="auto"/>
              <w:right w:val="single" w:sz="4" w:space="0" w:color="auto"/>
            </w:tcBorders>
            <w:shd w:val="clear" w:color="auto" w:fill="auto"/>
            <w:noWrap/>
            <w:vAlign w:val="bottom"/>
            <w:hideMark/>
          </w:tcPr>
          <w:p w14:paraId="49EBE08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3.66%</w:t>
            </w:r>
          </w:p>
        </w:tc>
        <w:tc>
          <w:tcPr>
            <w:tcW w:w="1220" w:type="dxa"/>
            <w:tcBorders>
              <w:top w:val="nil"/>
              <w:left w:val="nil"/>
              <w:bottom w:val="single" w:sz="4" w:space="0" w:color="auto"/>
              <w:right w:val="single" w:sz="4" w:space="0" w:color="auto"/>
            </w:tcBorders>
            <w:shd w:val="clear" w:color="auto" w:fill="auto"/>
            <w:noWrap/>
            <w:vAlign w:val="bottom"/>
            <w:hideMark/>
          </w:tcPr>
          <w:p w14:paraId="791072C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3.7%</w:t>
            </w:r>
          </w:p>
        </w:tc>
        <w:tc>
          <w:tcPr>
            <w:tcW w:w="960" w:type="dxa"/>
            <w:tcBorders>
              <w:top w:val="nil"/>
              <w:left w:val="nil"/>
              <w:bottom w:val="single" w:sz="4" w:space="0" w:color="auto"/>
              <w:right w:val="single" w:sz="4" w:space="0" w:color="auto"/>
            </w:tcBorders>
            <w:shd w:val="clear" w:color="auto" w:fill="auto"/>
            <w:noWrap/>
            <w:vAlign w:val="bottom"/>
            <w:hideMark/>
          </w:tcPr>
          <w:p w14:paraId="070F314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3.9%</w:t>
            </w:r>
          </w:p>
        </w:tc>
        <w:tc>
          <w:tcPr>
            <w:tcW w:w="960" w:type="dxa"/>
            <w:tcBorders>
              <w:top w:val="nil"/>
              <w:left w:val="nil"/>
              <w:bottom w:val="single" w:sz="4" w:space="0" w:color="auto"/>
              <w:right w:val="single" w:sz="4" w:space="0" w:color="auto"/>
            </w:tcBorders>
            <w:shd w:val="clear" w:color="auto" w:fill="auto"/>
            <w:noWrap/>
            <w:vAlign w:val="bottom"/>
            <w:hideMark/>
          </w:tcPr>
          <w:p w14:paraId="6CE3330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5.33%</w:t>
            </w:r>
          </w:p>
        </w:tc>
        <w:tc>
          <w:tcPr>
            <w:tcW w:w="960" w:type="dxa"/>
            <w:tcBorders>
              <w:top w:val="nil"/>
              <w:left w:val="nil"/>
              <w:bottom w:val="single" w:sz="4" w:space="0" w:color="auto"/>
              <w:right w:val="single" w:sz="4" w:space="0" w:color="auto"/>
            </w:tcBorders>
            <w:shd w:val="clear" w:color="auto" w:fill="auto"/>
            <w:noWrap/>
            <w:vAlign w:val="bottom"/>
            <w:hideMark/>
          </w:tcPr>
          <w:p w14:paraId="632AA95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3.74%</w:t>
            </w:r>
          </w:p>
        </w:tc>
        <w:tc>
          <w:tcPr>
            <w:tcW w:w="960" w:type="dxa"/>
            <w:tcBorders>
              <w:top w:val="nil"/>
              <w:left w:val="nil"/>
              <w:bottom w:val="single" w:sz="4" w:space="0" w:color="auto"/>
              <w:right w:val="single" w:sz="4" w:space="0" w:color="auto"/>
            </w:tcBorders>
            <w:shd w:val="clear" w:color="auto" w:fill="auto"/>
            <w:noWrap/>
            <w:vAlign w:val="bottom"/>
            <w:hideMark/>
          </w:tcPr>
          <w:p w14:paraId="76AFD8E7"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3.19%</w:t>
            </w:r>
          </w:p>
        </w:tc>
        <w:tc>
          <w:tcPr>
            <w:tcW w:w="980" w:type="dxa"/>
            <w:tcBorders>
              <w:top w:val="nil"/>
              <w:left w:val="nil"/>
              <w:bottom w:val="single" w:sz="4" w:space="0" w:color="auto"/>
              <w:right w:val="single" w:sz="4" w:space="0" w:color="auto"/>
            </w:tcBorders>
            <w:shd w:val="clear" w:color="auto" w:fill="auto"/>
            <w:noWrap/>
            <w:vAlign w:val="bottom"/>
            <w:hideMark/>
          </w:tcPr>
          <w:p w14:paraId="532115B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0.55%</w:t>
            </w:r>
          </w:p>
        </w:tc>
      </w:tr>
      <w:tr w:rsidR="00F20114" w:rsidRPr="00934350" w14:paraId="28171095"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CE4BCC2"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MARIBYRNONG(C)</w:t>
            </w:r>
          </w:p>
        </w:tc>
        <w:tc>
          <w:tcPr>
            <w:tcW w:w="960" w:type="dxa"/>
            <w:tcBorders>
              <w:top w:val="nil"/>
              <w:left w:val="nil"/>
              <w:bottom w:val="single" w:sz="4" w:space="0" w:color="auto"/>
              <w:right w:val="single" w:sz="4" w:space="0" w:color="auto"/>
            </w:tcBorders>
            <w:shd w:val="clear" w:color="auto" w:fill="auto"/>
            <w:noWrap/>
            <w:vAlign w:val="bottom"/>
            <w:hideMark/>
          </w:tcPr>
          <w:p w14:paraId="6E2A513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3.30%</w:t>
            </w:r>
          </w:p>
        </w:tc>
        <w:tc>
          <w:tcPr>
            <w:tcW w:w="1220" w:type="dxa"/>
            <w:tcBorders>
              <w:top w:val="nil"/>
              <w:left w:val="nil"/>
              <w:bottom w:val="single" w:sz="4" w:space="0" w:color="auto"/>
              <w:right w:val="single" w:sz="4" w:space="0" w:color="auto"/>
            </w:tcBorders>
            <w:shd w:val="clear" w:color="auto" w:fill="auto"/>
            <w:noWrap/>
            <w:vAlign w:val="bottom"/>
            <w:hideMark/>
          </w:tcPr>
          <w:p w14:paraId="6879A23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5.4%</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1D51C51F" w14:textId="77777777" w:rsidR="00F20114" w:rsidRPr="00934350" w:rsidRDefault="00F20114" w:rsidP="00F20114">
            <w:pPr>
              <w:jc w:val="right"/>
              <w:rPr>
                <w:rFonts w:ascii="Calibri" w:hAnsi="Calibri"/>
                <w:color w:val="9C0006"/>
                <w:sz w:val="20"/>
                <w:lang w:eastAsia="en-AU"/>
              </w:rPr>
            </w:pPr>
            <w:r w:rsidRPr="00934350">
              <w:rPr>
                <w:rFonts w:ascii="Calibri" w:hAnsi="Calibri"/>
                <w:color w:val="9C0006"/>
                <w:sz w:val="20"/>
                <w:lang w:eastAsia="en-AU"/>
              </w:rPr>
              <w:t>3.0%</w:t>
            </w:r>
          </w:p>
        </w:tc>
        <w:tc>
          <w:tcPr>
            <w:tcW w:w="960" w:type="dxa"/>
            <w:tcBorders>
              <w:top w:val="nil"/>
              <w:left w:val="nil"/>
              <w:bottom w:val="single" w:sz="4" w:space="0" w:color="auto"/>
              <w:right w:val="single" w:sz="4" w:space="0" w:color="auto"/>
            </w:tcBorders>
            <w:shd w:val="clear" w:color="auto" w:fill="auto"/>
            <w:noWrap/>
            <w:vAlign w:val="bottom"/>
            <w:hideMark/>
          </w:tcPr>
          <w:p w14:paraId="6503EA4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4.83%</w:t>
            </w:r>
          </w:p>
        </w:tc>
        <w:tc>
          <w:tcPr>
            <w:tcW w:w="960" w:type="dxa"/>
            <w:tcBorders>
              <w:top w:val="nil"/>
              <w:left w:val="nil"/>
              <w:bottom w:val="single" w:sz="4" w:space="0" w:color="auto"/>
              <w:right w:val="single" w:sz="4" w:space="0" w:color="auto"/>
            </w:tcBorders>
            <w:shd w:val="clear" w:color="auto" w:fill="auto"/>
            <w:noWrap/>
            <w:vAlign w:val="bottom"/>
            <w:hideMark/>
          </w:tcPr>
          <w:p w14:paraId="623EE86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4.84%</w:t>
            </w:r>
          </w:p>
        </w:tc>
        <w:tc>
          <w:tcPr>
            <w:tcW w:w="960" w:type="dxa"/>
            <w:tcBorders>
              <w:top w:val="nil"/>
              <w:left w:val="nil"/>
              <w:bottom w:val="single" w:sz="4" w:space="0" w:color="auto"/>
              <w:right w:val="single" w:sz="4" w:space="0" w:color="auto"/>
            </w:tcBorders>
            <w:shd w:val="clear" w:color="auto" w:fill="auto"/>
            <w:noWrap/>
            <w:vAlign w:val="bottom"/>
            <w:hideMark/>
          </w:tcPr>
          <w:p w14:paraId="2267808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5.60%</w:t>
            </w:r>
          </w:p>
        </w:tc>
        <w:tc>
          <w:tcPr>
            <w:tcW w:w="980" w:type="dxa"/>
            <w:tcBorders>
              <w:top w:val="nil"/>
              <w:left w:val="nil"/>
              <w:bottom w:val="single" w:sz="4" w:space="0" w:color="auto"/>
              <w:right w:val="single" w:sz="4" w:space="0" w:color="auto"/>
            </w:tcBorders>
            <w:shd w:val="clear" w:color="auto" w:fill="auto"/>
            <w:noWrap/>
            <w:vAlign w:val="bottom"/>
            <w:hideMark/>
          </w:tcPr>
          <w:p w14:paraId="77B9A5B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2.35%</w:t>
            </w:r>
          </w:p>
        </w:tc>
      </w:tr>
      <w:tr w:rsidR="00F20114" w:rsidRPr="00934350" w14:paraId="3F71F5CD"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7E3F953"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MAROONDAH(C)</w:t>
            </w:r>
          </w:p>
        </w:tc>
        <w:tc>
          <w:tcPr>
            <w:tcW w:w="960" w:type="dxa"/>
            <w:tcBorders>
              <w:top w:val="nil"/>
              <w:left w:val="nil"/>
              <w:bottom w:val="single" w:sz="4" w:space="0" w:color="auto"/>
              <w:right w:val="single" w:sz="4" w:space="0" w:color="auto"/>
            </w:tcBorders>
            <w:shd w:val="clear" w:color="auto" w:fill="auto"/>
            <w:noWrap/>
            <w:vAlign w:val="bottom"/>
            <w:hideMark/>
          </w:tcPr>
          <w:p w14:paraId="1FE0ACC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4.32%</w:t>
            </w:r>
          </w:p>
        </w:tc>
        <w:tc>
          <w:tcPr>
            <w:tcW w:w="1220" w:type="dxa"/>
            <w:tcBorders>
              <w:top w:val="nil"/>
              <w:left w:val="nil"/>
              <w:bottom w:val="single" w:sz="4" w:space="0" w:color="auto"/>
              <w:right w:val="single" w:sz="4" w:space="0" w:color="auto"/>
            </w:tcBorders>
            <w:shd w:val="clear" w:color="auto" w:fill="auto"/>
            <w:noWrap/>
            <w:vAlign w:val="bottom"/>
            <w:hideMark/>
          </w:tcPr>
          <w:p w14:paraId="0951676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2.8%</w:t>
            </w:r>
          </w:p>
        </w:tc>
        <w:tc>
          <w:tcPr>
            <w:tcW w:w="960" w:type="dxa"/>
            <w:tcBorders>
              <w:top w:val="nil"/>
              <w:left w:val="nil"/>
              <w:bottom w:val="single" w:sz="4" w:space="0" w:color="auto"/>
              <w:right w:val="single" w:sz="4" w:space="0" w:color="auto"/>
            </w:tcBorders>
            <w:shd w:val="clear" w:color="auto" w:fill="auto"/>
            <w:noWrap/>
            <w:vAlign w:val="bottom"/>
            <w:hideMark/>
          </w:tcPr>
          <w:p w14:paraId="12F784E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4.2%</w:t>
            </w:r>
          </w:p>
        </w:tc>
        <w:tc>
          <w:tcPr>
            <w:tcW w:w="960" w:type="dxa"/>
            <w:tcBorders>
              <w:top w:val="nil"/>
              <w:left w:val="nil"/>
              <w:bottom w:val="single" w:sz="4" w:space="0" w:color="auto"/>
              <w:right w:val="single" w:sz="4" w:space="0" w:color="auto"/>
            </w:tcBorders>
            <w:shd w:val="clear" w:color="auto" w:fill="auto"/>
            <w:noWrap/>
            <w:vAlign w:val="bottom"/>
            <w:hideMark/>
          </w:tcPr>
          <w:p w14:paraId="3CB1454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4.29%</w:t>
            </w:r>
          </w:p>
        </w:tc>
        <w:tc>
          <w:tcPr>
            <w:tcW w:w="960" w:type="dxa"/>
            <w:tcBorders>
              <w:top w:val="nil"/>
              <w:left w:val="nil"/>
              <w:bottom w:val="single" w:sz="4" w:space="0" w:color="auto"/>
              <w:right w:val="single" w:sz="4" w:space="0" w:color="auto"/>
            </w:tcBorders>
            <w:shd w:val="clear" w:color="auto" w:fill="auto"/>
            <w:noWrap/>
            <w:vAlign w:val="bottom"/>
            <w:hideMark/>
          </w:tcPr>
          <w:p w14:paraId="77BBFF6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3.76%</w:t>
            </w:r>
          </w:p>
        </w:tc>
        <w:tc>
          <w:tcPr>
            <w:tcW w:w="960" w:type="dxa"/>
            <w:tcBorders>
              <w:top w:val="nil"/>
              <w:left w:val="nil"/>
              <w:bottom w:val="single" w:sz="4" w:space="0" w:color="auto"/>
              <w:right w:val="single" w:sz="4" w:space="0" w:color="auto"/>
            </w:tcBorders>
            <w:shd w:val="clear" w:color="auto" w:fill="auto"/>
            <w:noWrap/>
            <w:vAlign w:val="bottom"/>
            <w:hideMark/>
          </w:tcPr>
          <w:p w14:paraId="0241CBE4"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3.58%</w:t>
            </w:r>
          </w:p>
        </w:tc>
        <w:tc>
          <w:tcPr>
            <w:tcW w:w="980" w:type="dxa"/>
            <w:tcBorders>
              <w:top w:val="nil"/>
              <w:left w:val="nil"/>
              <w:bottom w:val="single" w:sz="4" w:space="0" w:color="auto"/>
              <w:right w:val="single" w:sz="4" w:space="0" w:color="auto"/>
            </w:tcBorders>
            <w:shd w:val="clear" w:color="auto" w:fill="auto"/>
            <w:noWrap/>
            <w:vAlign w:val="bottom"/>
            <w:hideMark/>
          </w:tcPr>
          <w:p w14:paraId="3137A99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0.64%</w:t>
            </w:r>
          </w:p>
        </w:tc>
      </w:tr>
      <w:tr w:rsidR="00F20114" w:rsidRPr="00934350" w14:paraId="536072C5"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1EF9231"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MELBOURNE(C)</w:t>
            </w:r>
          </w:p>
        </w:tc>
        <w:tc>
          <w:tcPr>
            <w:tcW w:w="960" w:type="dxa"/>
            <w:tcBorders>
              <w:top w:val="nil"/>
              <w:left w:val="nil"/>
              <w:bottom w:val="single" w:sz="4" w:space="0" w:color="auto"/>
              <w:right w:val="single" w:sz="4" w:space="0" w:color="auto"/>
            </w:tcBorders>
            <w:shd w:val="clear" w:color="auto" w:fill="auto"/>
            <w:noWrap/>
            <w:vAlign w:val="bottom"/>
            <w:hideMark/>
          </w:tcPr>
          <w:p w14:paraId="2EC817A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9.75%</w:t>
            </w:r>
          </w:p>
        </w:tc>
        <w:tc>
          <w:tcPr>
            <w:tcW w:w="122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4D411253" w14:textId="77777777" w:rsidR="00F20114" w:rsidRPr="00934350" w:rsidRDefault="00F20114" w:rsidP="00F20114">
            <w:pPr>
              <w:jc w:val="right"/>
              <w:rPr>
                <w:rFonts w:ascii="Calibri" w:hAnsi="Calibri"/>
                <w:color w:val="9C0006"/>
                <w:sz w:val="20"/>
                <w:lang w:eastAsia="en-AU"/>
              </w:rPr>
            </w:pPr>
            <w:r w:rsidRPr="00934350">
              <w:rPr>
                <w:rFonts w:ascii="Calibri" w:hAnsi="Calibri"/>
                <w:color w:val="9C0006"/>
                <w:sz w:val="20"/>
                <w:lang w:eastAsia="en-AU"/>
              </w:rPr>
              <w:t>2.3%</w:t>
            </w:r>
          </w:p>
        </w:tc>
        <w:tc>
          <w:tcPr>
            <w:tcW w:w="960" w:type="dxa"/>
            <w:tcBorders>
              <w:top w:val="nil"/>
              <w:left w:val="nil"/>
              <w:bottom w:val="single" w:sz="4" w:space="0" w:color="auto"/>
              <w:right w:val="single" w:sz="4" w:space="0" w:color="auto"/>
            </w:tcBorders>
            <w:shd w:val="clear" w:color="auto" w:fill="auto"/>
            <w:noWrap/>
            <w:vAlign w:val="bottom"/>
            <w:hideMark/>
          </w:tcPr>
          <w:p w14:paraId="5468E91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9.0%</w:t>
            </w:r>
          </w:p>
        </w:tc>
        <w:tc>
          <w:tcPr>
            <w:tcW w:w="960" w:type="dxa"/>
            <w:tcBorders>
              <w:top w:val="nil"/>
              <w:left w:val="nil"/>
              <w:bottom w:val="single" w:sz="4" w:space="0" w:color="auto"/>
              <w:right w:val="single" w:sz="4" w:space="0" w:color="auto"/>
            </w:tcBorders>
            <w:shd w:val="clear" w:color="auto" w:fill="auto"/>
            <w:noWrap/>
            <w:vAlign w:val="bottom"/>
            <w:hideMark/>
          </w:tcPr>
          <w:p w14:paraId="57C4247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12.29%</w:t>
            </w:r>
          </w:p>
        </w:tc>
        <w:tc>
          <w:tcPr>
            <w:tcW w:w="960" w:type="dxa"/>
            <w:tcBorders>
              <w:top w:val="nil"/>
              <w:left w:val="nil"/>
              <w:bottom w:val="single" w:sz="4" w:space="0" w:color="auto"/>
              <w:right w:val="single" w:sz="4" w:space="0" w:color="auto"/>
            </w:tcBorders>
            <w:shd w:val="clear" w:color="auto" w:fill="auto"/>
            <w:noWrap/>
            <w:vAlign w:val="bottom"/>
            <w:hideMark/>
          </w:tcPr>
          <w:p w14:paraId="1AB82A7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6.65%</w:t>
            </w:r>
          </w:p>
        </w:tc>
        <w:tc>
          <w:tcPr>
            <w:tcW w:w="960" w:type="dxa"/>
            <w:tcBorders>
              <w:top w:val="nil"/>
              <w:left w:val="nil"/>
              <w:bottom w:val="single" w:sz="4" w:space="0" w:color="auto"/>
              <w:right w:val="single" w:sz="4" w:space="0" w:color="auto"/>
            </w:tcBorders>
            <w:shd w:val="clear" w:color="auto" w:fill="auto"/>
            <w:noWrap/>
            <w:vAlign w:val="bottom"/>
            <w:hideMark/>
          </w:tcPr>
          <w:p w14:paraId="264228B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9.86%</w:t>
            </w:r>
          </w:p>
        </w:tc>
        <w:tc>
          <w:tcPr>
            <w:tcW w:w="980" w:type="dxa"/>
            <w:tcBorders>
              <w:top w:val="nil"/>
              <w:left w:val="nil"/>
              <w:bottom w:val="single" w:sz="4" w:space="0" w:color="auto"/>
              <w:right w:val="single" w:sz="4" w:space="0" w:color="auto"/>
            </w:tcBorders>
            <w:shd w:val="clear" w:color="auto" w:fill="auto"/>
            <w:noWrap/>
            <w:vAlign w:val="bottom"/>
            <w:hideMark/>
          </w:tcPr>
          <w:p w14:paraId="5321D11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0.67%</w:t>
            </w:r>
          </w:p>
        </w:tc>
      </w:tr>
      <w:tr w:rsidR="00F20114" w:rsidRPr="00934350" w14:paraId="66D0E696"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61FC79C"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MELTON(S)</w:t>
            </w:r>
          </w:p>
        </w:tc>
        <w:tc>
          <w:tcPr>
            <w:tcW w:w="960" w:type="dxa"/>
            <w:tcBorders>
              <w:top w:val="nil"/>
              <w:left w:val="nil"/>
              <w:bottom w:val="single" w:sz="4" w:space="0" w:color="auto"/>
              <w:right w:val="single" w:sz="4" w:space="0" w:color="auto"/>
            </w:tcBorders>
            <w:shd w:val="clear" w:color="auto" w:fill="auto"/>
            <w:noWrap/>
            <w:vAlign w:val="bottom"/>
            <w:hideMark/>
          </w:tcPr>
          <w:p w14:paraId="7C396F8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10.81%</w:t>
            </w:r>
          </w:p>
        </w:tc>
        <w:tc>
          <w:tcPr>
            <w:tcW w:w="1220" w:type="dxa"/>
            <w:tcBorders>
              <w:top w:val="nil"/>
              <w:left w:val="nil"/>
              <w:bottom w:val="single" w:sz="4" w:space="0" w:color="auto"/>
              <w:right w:val="single" w:sz="4" w:space="0" w:color="auto"/>
            </w:tcBorders>
            <w:shd w:val="clear" w:color="auto" w:fill="auto"/>
            <w:noWrap/>
            <w:vAlign w:val="bottom"/>
            <w:hideMark/>
          </w:tcPr>
          <w:p w14:paraId="42798A2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6.8%</w:t>
            </w:r>
          </w:p>
        </w:tc>
        <w:tc>
          <w:tcPr>
            <w:tcW w:w="960" w:type="dxa"/>
            <w:tcBorders>
              <w:top w:val="nil"/>
              <w:left w:val="nil"/>
              <w:bottom w:val="single" w:sz="4" w:space="0" w:color="auto"/>
              <w:right w:val="single" w:sz="4" w:space="0" w:color="auto"/>
            </w:tcBorders>
            <w:shd w:val="clear" w:color="auto" w:fill="auto"/>
            <w:noWrap/>
            <w:vAlign w:val="bottom"/>
            <w:hideMark/>
          </w:tcPr>
          <w:p w14:paraId="4BB5E5D7"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9.5%</w:t>
            </w:r>
          </w:p>
        </w:tc>
        <w:tc>
          <w:tcPr>
            <w:tcW w:w="960" w:type="dxa"/>
            <w:tcBorders>
              <w:top w:val="nil"/>
              <w:left w:val="nil"/>
              <w:bottom w:val="single" w:sz="4" w:space="0" w:color="auto"/>
              <w:right w:val="single" w:sz="4" w:space="0" w:color="auto"/>
            </w:tcBorders>
            <w:shd w:val="clear" w:color="auto" w:fill="auto"/>
            <w:noWrap/>
            <w:vAlign w:val="bottom"/>
            <w:hideMark/>
          </w:tcPr>
          <w:p w14:paraId="1C3F439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7.00%</w:t>
            </w:r>
          </w:p>
        </w:tc>
        <w:tc>
          <w:tcPr>
            <w:tcW w:w="960" w:type="dxa"/>
            <w:tcBorders>
              <w:top w:val="nil"/>
              <w:left w:val="nil"/>
              <w:bottom w:val="single" w:sz="4" w:space="0" w:color="auto"/>
              <w:right w:val="single" w:sz="4" w:space="0" w:color="auto"/>
            </w:tcBorders>
            <w:shd w:val="clear" w:color="auto" w:fill="auto"/>
            <w:noWrap/>
            <w:vAlign w:val="bottom"/>
            <w:hideMark/>
          </w:tcPr>
          <w:p w14:paraId="4211EE6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7.03%</w:t>
            </w:r>
          </w:p>
        </w:tc>
        <w:tc>
          <w:tcPr>
            <w:tcW w:w="960" w:type="dxa"/>
            <w:tcBorders>
              <w:top w:val="nil"/>
              <w:left w:val="nil"/>
              <w:bottom w:val="single" w:sz="4" w:space="0" w:color="auto"/>
              <w:right w:val="single" w:sz="4" w:space="0" w:color="auto"/>
            </w:tcBorders>
            <w:shd w:val="clear" w:color="auto" w:fill="auto"/>
            <w:noWrap/>
            <w:vAlign w:val="bottom"/>
            <w:hideMark/>
          </w:tcPr>
          <w:p w14:paraId="44F47FE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5.46%</w:t>
            </w:r>
          </w:p>
        </w:tc>
        <w:tc>
          <w:tcPr>
            <w:tcW w:w="980" w:type="dxa"/>
            <w:tcBorders>
              <w:top w:val="nil"/>
              <w:left w:val="nil"/>
              <w:bottom w:val="single" w:sz="4" w:space="0" w:color="auto"/>
              <w:right w:val="single" w:sz="4" w:space="0" w:color="auto"/>
            </w:tcBorders>
            <w:shd w:val="clear" w:color="auto" w:fill="auto"/>
            <w:noWrap/>
            <w:vAlign w:val="bottom"/>
            <w:hideMark/>
          </w:tcPr>
          <w:p w14:paraId="72DB6C2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2.41%</w:t>
            </w:r>
          </w:p>
        </w:tc>
      </w:tr>
      <w:tr w:rsidR="00F20114" w:rsidRPr="00934350" w14:paraId="7D7AA504"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72B0133"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MILDURA(RC)</w:t>
            </w:r>
          </w:p>
        </w:tc>
        <w:tc>
          <w:tcPr>
            <w:tcW w:w="960" w:type="dxa"/>
            <w:tcBorders>
              <w:top w:val="nil"/>
              <w:left w:val="nil"/>
              <w:bottom w:val="single" w:sz="4" w:space="0" w:color="auto"/>
              <w:right w:val="single" w:sz="4" w:space="0" w:color="auto"/>
            </w:tcBorders>
            <w:shd w:val="clear" w:color="auto" w:fill="auto"/>
            <w:noWrap/>
            <w:vAlign w:val="bottom"/>
            <w:hideMark/>
          </w:tcPr>
          <w:p w14:paraId="47D9F34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4.76%</w:t>
            </w:r>
          </w:p>
        </w:tc>
        <w:tc>
          <w:tcPr>
            <w:tcW w:w="1220" w:type="dxa"/>
            <w:tcBorders>
              <w:top w:val="nil"/>
              <w:left w:val="nil"/>
              <w:bottom w:val="single" w:sz="4" w:space="0" w:color="auto"/>
              <w:right w:val="single" w:sz="4" w:space="0" w:color="auto"/>
            </w:tcBorders>
            <w:shd w:val="clear" w:color="auto" w:fill="auto"/>
            <w:noWrap/>
            <w:vAlign w:val="bottom"/>
            <w:hideMark/>
          </w:tcPr>
          <w:p w14:paraId="0F566D92"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3.0%</w:t>
            </w:r>
          </w:p>
        </w:tc>
        <w:tc>
          <w:tcPr>
            <w:tcW w:w="960" w:type="dxa"/>
            <w:tcBorders>
              <w:top w:val="nil"/>
              <w:left w:val="nil"/>
              <w:bottom w:val="single" w:sz="4" w:space="0" w:color="auto"/>
              <w:right w:val="single" w:sz="4" w:space="0" w:color="auto"/>
            </w:tcBorders>
            <w:shd w:val="clear" w:color="auto" w:fill="auto"/>
            <w:noWrap/>
            <w:vAlign w:val="bottom"/>
            <w:hideMark/>
          </w:tcPr>
          <w:p w14:paraId="01B622C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4.3%</w:t>
            </w:r>
          </w:p>
        </w:tc>
        <w:tc>
          <w:tcPr>
            <w:tcW w:w="960" w:type="dxa"/>
            <w:tcBorders>
              <w:top w:val="nil"/>
              <w:left w:val="nil"/>
              <w:bottom w:val="single" w:sz="4" w:space="0" w:color="auto"/>
              <w:right w:val="single" w:sz="4" w:space="0" w:color="auto"/>
            </w:tcBorders>
            <w:shd w:val="clear" w:color="auto" w:fill="auto"/>
            <w:noWrap/>
            <w:vAlign w:val="bottom"/>
            <w:hideMark/>
          </w:tcPr>
          <w:p w14:paraId="4361E51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3.71%</w:t>
            </w:r>
          </w:p>
        </w:tc>
        <w:tc>
          <w:tcPr>
            <w:tcW w:w="960" w:type="dxa"/>
            <w:tcBorders>
              <w:top w:val="nil"/>
              <w:left w:val="nil"/>
              <w:bottom w:val="single" w:sz="4" w:space="0" w:color="auto"/>
              <w:right w:val="single" w:sz="4" w:space="0" w:color="auto"/>
            </w:tcBorders>
            <w:shd w:val="clear" w:color="auto" w:fill="auto"/>
            <w:noWrap/>
            <w:vAlign w:val="bottom"/>
            <w:hideMark/>
          </w:tcPr>
          <w:p w14:paraId="1D9F972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2.92%</w:t>
            </w:r>
          </w:p>
        </w:tc>
        <w:tc>
          <w:tcPr>
            <w:tcW w:w="960" w:type="dxa"/>
            <w:tcBorders>
              <w:top w:val="nil"/>
              <w:left w:val="nil"/>
              <w:bottom w:val="single" w:sz="4" w:space="0" w:color="auto"/>
              <w:right w:val="single" w:sz="4" w:space="0" w:color="auto"/>
            </w:tcBorders>
            <w:shd w:val="clear" w:color="auto" w:fill="auto"/>
            <w:noWrap/>
            <w:vAlign w:val="bottom"/>
            <w:hideMark/>
          </w:tcPr>
          <w:p w14:paraId="0E76893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3.03%</w:t>
            </w:r>
          </w:p>
        </w:tc>
        <w:tc>
          <w:tcPr>
            <w:tcW w:w="980" w:type="dxa"/>
            <w:tcBorders>
              <w:top w:val="nil"/>
              <w:left w:val="nil"/>
              <w:bottom w:val="single" w:sz="4" w:space="0" w:color="auto"/>
              <w:right w:val="single" w:sz="4" w:space="0" w:color="auto"/>
            </w:tcBorders>
            <w:shd w:val="clear" w:color="auto" w:fill="auto"/>
            <w:noWrap/>
            <w:vAlign w:val="bottom"/>
            <w:hideMark/>
          </w:tcPr>
          <w:p w14:paraId="7479BDF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3.02%</w:t>
            </w:r>
          </w:p>
        </w:tc>
      </w:tr>
      <w:tr w:rsidR="00F20114" w:rsidRPr="00934350" w14:paraId="1E4EA078"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519924C"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MITCHELL(S)</w:t>
            </w:r>
          </w:p>
        </w:tc>
        <w:tc>
          <w:tcPr>
            <w:tcW w:w="960" w:type="dxa"/>
            <w:tcBorders>
              <w:top w:val="nil"/>
              <w:left w:val="nil"/>
              <w:bottom w:val="single" w:sz="4" w:space="0" w:color="auto"/>
              <w:right w:val="single" w:sz="4" w:space="0" w:color="auto"/>
            </w:tcBorders>
            <w:shd w:val="clear" w:color="auto" w:fill="auto"/>
            <w:noWrap/>
            <w:vAlign w:val="bottom"/>
            <w:hideMark/>
          </w:tcPr>
          <w:p w14:paraId="210E5397"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5.73%</w:t>
            </w:r>
          </w:p>
        </w:tc>
        <w:tc>
          <w:tcPr>
            <w:tcW w:w="1220" w:type="dxa"/>
            <w:tcBorders>
              <w:top w:val="nil"/>
              <w:left w:val="nil"/>
              <w:bottom w:val="single" w:sz="4" w:space="0" w:color="auto"/>
              <w:right w:val="single" w:sz="4" w:space="0" w:color="auto"/>
            </w:tcBorders>
            <w:shd w:val="clear" w:color="auto" w:fill="auto"/>
            <w:noWrap/>
            <w:vAlign w:val="bottom"/>
            <w:hideMark/>
          </w:tcPr>
          <w:p w14:paraId="3DA9838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5.9%</w:t>
            </w:r>
          </w:p>
        </w:tc>
        <w:tc>
          <w:tcPr>
            <w:tcW w:w="960" w:type="dxa"/>
            <w:tcBorders>
              <w:top w:val="nil"/>
              <w:left w:val="nil"/>
              <w:bottom w:val="single" w:sz="4" w:space="0" w:color="auto"/>
              <w:right w:val="single" w:sz="4" w:space="0" w:color="auto"/>
            </w:tcBorders>
            <w:shd w:val="clear" w:color="auto" w:fill="auto"/>
            <w:noWrap/>
            <w:vAlign w:val="bottom"/>
            <w:hideMark/>
          </w:tcPr>
          <w:p w14:paraId="2B268F7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8.5%</w:t>
            </w:r>
          </w:p>
        </w:tc>
        <w:tc>
          <w:tcPr>
            <w:tcW w:w="960" w:type="dxa"/>
            <w:tcBorders>
              <w:top w:val="nil"/>
              <w:left w:val="nil"/>
              <w:bottom w:val="single" w:sz="4" w:space="0" w:color="auto"/>
              <w:right w:val="single" w:sz="4" w:space="0" w:color="auto"/>
            </w:tcBorders>
            <w:shd w:val="clear" w:color="auto" w:fill="auto"/>
            <w:noWrap/>
            <w:vAlign w:val="bottom"/>
            <w:hideMark/>
          </w:tcPr>
          <w:p w14:paraId="015A39B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4.07%</w:t>
            </w:r>
          </w:p>
        </w:tc>
        <w:tc>
          <w:tcPr>
            <w:tcW w:w="960" w:type="dxa"/>
            <w:tcBorders>
              <w:top w:val="nil"/>
              <w:left w:val="nil"/>
              <w:bottom w:val="single" w:sz="4" w:space="0" w:color="auto"/>
              <w:right w:val="single" w:sz="4" w:space="0" w:color="auto"/>
            </w:tcBorders>
            <w:shd w:val="clear" w:color="auto" w:fill="auto"/>
            <w:noWrap/>
            <w:vAlign w:val="bottom"/>
            <w:hideMark/>
          </w:tcPr>
          <w:p w14:paraId="7D64325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5.80%</w:t>
            </w:r>
          </w:p>
        </w:tc>
        <w:tc>
          <w:tcPr>
            <w:tcW w:w="960" w:type="dxa"/>
            <w:tcBorders>
              <w:top w:val="nil"/>
              <w:left w:val="nil"/>
              <w:bottom w:val="single" w:sz="4" w:space="0" w:color="auto"/>
              <w:right w:val="single" w:sz="4" w:space="0" w:color="auto"/>
            </w:tcBorders>
            <w:shd w:val="clear" w:color="auto" w:fill="auto"/>
            <w:noWrap/>
            <w:vAlign w:val="bottom"/>
            <w:hideMark/>
          </w:tcPr>
          <w:p w14:paraId="07ECE55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5.50%</w:t>
            </w:r>
          </w:p>
        </w:tc>
        <w:tc>
          <w:tcPr>
            <w:tcW w:w="980" w:type="dxa"/>
            <w:tcBorders>
              <w:top w:val="nil"/>
              <w:left w:val="nil"/>
              <w:bottom w:val="single" w:sz="4" w:space="0" w:color="auto"/>
              <w:right w:val="single" w:sz="4" w:space="0" w:color="auto"/>
            </w:tcBorders>
            <w:shd w:val="clear" w:color="auto" w:fill="auto"/>
            <w:noWrap/>
            <w:vAlign w:val="bottom"/>
            <w:hideMark/>
          </w:tcPr>
          <w:p w14:paraId="2626170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2.52%</w:t>
            </w:r>
          </w:p>
        </w:tc>
      </w:tr>
      <w:tr w:rsidR="00F20114" w:rsidRPr="00934350" w14:paraId="5C6908D2"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96EDA29"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MOIRA(S)</w:t>
            </w:r>
          </w:p>
        </w:tc>
        <w:tc>
          <w:tcPr>
            <w:tcW w:w="960" w:type="dxa"/>
            <w:tcBorders>
              <w:top w:val="nil"/>
              <w:left w:val="nil"/>
              <w:bottom w:val="single" w:sz="4" w:space="0" w:color="auto"/>
              <w:right w:val="single" w:sz="4" w:space="0" w:color="auto"/>
            </w:tcBorders>
            <w:shd w:val="clear" w:color="auto" w:fill="auto"/>
            <w:noWrap/>
            <w:vAlign w:val="bottom"/>
            <w:hideMark/>
          </w:tcPr>
          <w:p w14:paraId="3CB42412"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5.20%</w:t>
            </w:r>
          </w:p>
        </w:tc>
        <w:tc>
          <w:tcPr>
            <w:tcW w:w="1220" w:type="dxa"/>
            <w:tcBorders>
              <w:top w:val="nil"/>
              <w:left w:val="nil"/>
              <w:bottom w:val="single" w:sz="4" w:space="0" w:color="auto"/>
              <w:right w:val="single" w:sz="4" w:space="0" w:color="auto"/>
            </w:tcBorders>
            <w:shd w:val="clear" w:color="auto" w:fill="auto"/>
            <w:noWrap/>
            <w:vAlign w:val="bottom"/>
            <w:hideMark/>
          </w:tcPr>
          <w:p w14:paraId="65D8A3D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3.1%</w:t>
            </w:r>
          </w:p>
        </w:tc>
        <w:tc>
          <w:tcPr>
            <w:tcW w:w="960" w:type="dxa"/>
            <w:tcBorders>
              <w:top w:val="nil"/>
              <w:left w:val="nil"/>
              <w:bottom w:val="single" w:sz="4" w:space="0" w:color="auto"/>
              <w:right w:val="single" w:sz="4" w:space="0" w:color="auto"/>
            </w:tcBorders>
            <w:shd w:val="clear" w:color="auto" w:fill="auto"/>
            <w:noWrap/>
            <w:vAlign w:val="bottom"/>
            <w:hideMark/>
          </w:tcPr>
          <w:p w14:paraId="4311B4F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4.7%</w:t>
            </w:r>
          </w:p>
        </w:tc>
        <w:tc>
          <w:tcPr>
            <w:tcW w:w="960" w:type="dxa"/>
            <w:tcBorders>
              <w:top w:val="nil"/>
              <w:left w:val="nil"/>
              <w:bottom w:val="single" w:sz="4" w:space="0" w:color="auto"/>
              <w:right w:val="single" w:sz="4" w:space="0" w:color="auto"/>
            </w:tcBorders>
            <w:shd w:val="clear" w:color="auto" w:fill="auto"/>
            <w:noWrap/>
            <w:vAlign w:val="bottom"/>
            <w:hideMark/>
          </w:tcPr>
          <w:p w14:paraId="19581D02"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3.68%</w:t>
            </w:r>
          </w:p>
        </w:tc>
        <w:tc>
          <w:tcPr>
            <w:tcW w:w="960" w:type="dxa"/>
            <w:tcBorders>
              <w:top w:val="nil"/>
              <w:left w:val="nil"/>
              <w:bottom w:val="single" w:sz="4" w:space="0" w:color="auto"/>
              <w:right w:val="single" w:sz="4" w:space="0" w:color="auto"/>
            </w:tcBorders>
            <w:shd w:val="clear" w:color="auto" w:fill="auto"/>
            <w:noWrap/>
            <w:vAlign w:val="bottom"/>
            <w:hideMark/>
          </w:tcPr>
          <w:p w14:paraId="645D8ED2"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3.55%</w:t>
            </w:r>
          </w:p>
        </w:tc>
        <w:tc>
          <w:tcPr>
            <w:tcW w:w="960" w:type="dxa"/>
            <w:tcBorders>
              <w:top w:val="nil"/>
              <w:left w:val="nil"/>
              <w:bottom w:val="single" w:sz="4" w:space="0" w:color="auto"/>
              <w:right w:val="single" w:sz="4" w:space="0" w:color="auto"/>
            </w:tcBorders>
            <w:shd w:val="clear" w:color="auto" w:fill="auto"/>
            <w:noWrap/>
            <w:vAlign w:val="bottom"/>
            <w:hideMark/>
          </w:tcPr>
          <w:p w14:paraId="743CF7D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4.50%</w:t>
            </w:r>
          </w:p>
        </w:tc>
        <w:tc>
          <w:tcPr>
            <w:tcW w:w="980" w:type="dxa"/>
            <w:tcBorders>
              <w:top w:val="nil"/>
              <w:left w:val="nil"/>
              <w:bottom w:val="single" w:sz="4" w:space="0" w:color="auto"/>
              <w:right w:val="single" w:sz="4" w:space="0" w:color="auto"/>
            </w:tcBorders>
            <w:shd w:val="clear" w:color="auto" w:fill="auto"/>
            <w:noWrap/>
            <w:vAlign w:val="bottom"/>
            <w:hideMark/>
          </w:tcPr>
          <w:p w14:paraId="61FDB08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0.70%</w:t>
            </w:r>
          </w:p>
        </w:tc>
      </w:tr>
      <w:tr w:rsidR="00F20114" w:rsidRPr="00934350" w14:paraId="3DB3F7D2"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48456D3"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MONASH(C)</w:t>
            </w:r>
          </w:p>
        </w:tc>
        <w:tc>
          <w:tcPr>
            <w:tcW w:w="960" w:type="dxa"/>
            <w:tcBorders>
              <w:top w:val="nil"/>
              <w:left w:val="nil"/>
              <w:bottom w:val="single" w:sz="4" w:space="0" w:color="auto"/>
              <w:right w:val="single" w:sz="4" w:space="0" w:color="auto"/>
            </w:tcBorders>
            <w:shd w:val="clear" w:color="auto" w:fill="auto"/>
            <w:noWrap/>
            <w:vAlign w:val="bottom"/>
            <w:hideMark/>
          </w:tcPr>
          <w:p w14:paraId="2403C42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4.13%</w:t>
            </w:r>
          </w:p>
        </w:tc>
        <w:tc>
          <w:tcPr>
            <w:tcW w:w="1220" w:type="dxa"/>
            <w:tcBorders>
              <w:top w:val="nil"/>
              <w:left w:val="nil"/>
              <w:bottom w:val="single" w:sz="4" w:space="0" w:color="auto"/>
              <w:right w:val="single" w:sz="4" w:space="0" w:color="auto"/>
            </w:tcBorders>
            <w:shd w:val="clear" w:color="auto" w:fill="auto"/>
            <w:noWrap/>
            <w:vAlign w:val="bottom"/>
            <w:hideMark/>
          </w:tcPr>
          <w:p w14:paraId="3F87F9E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2.9%</w:t>
            </w:r>
          </w:p>
        </w:tc>
        <w:tc>
          <w:tcPr>
            <w:tcW w:w="960" w:type="dxa"/>
            <w:tcBorders>
              <w:top w:val="nil"/>
              <w:left w:val="nil"/>
              <w:bottom w:val="single" w:sz="4" w:space="0" w:color="auto"/>
              <w:right w:val="single" w:sz="4" w:space="0" w:color="auto"/>
            </w:tcBorders>
            <w:shd w:val="clear" w:color="auto" w:fill="auto"/>
            <w:noWrap/>
            <w:vAlign w:val="bottom"/>
            <w:hideMark/>
          </w:tcPr>
          <w:p w14:paraId="5E8B23E7"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4.3%</w:t>
            </w:r>
          </w:p>
        </w:tc>
        <w:tc>
          <w:tcPr>
            <w:tcW w:w="960" w:type="dxa"/>
            <w:tcBorders>
              <w:top w:val="nil"/>
              <w:left w:val="nil"/>
              <w:bottom w:val="single" w:sz="4" w:space="0" w:color="auto"/>
              <w:right w:val="single" w:sz="4" w:space="0" w:color="auto"/>
            </w:tcBorders>
            <w:shd w:val="clear" w:color="auto" w:fill="auto"/>
            <w:noWrap/>
            <w:vAlign w:val="bottom"/>
            <w:hideMark/>
          </w:tcPr>
          <w:p w14:paraId="1AED40F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4.26%</w:t>
            </w:r>
          </w:p>
        </w:tc>
        <w:tc>
          <w:tcPr>
            <w:tcW w:w="960" w:type="dxa"/>
            <w:tcBorders>
              <w:top w:val="nil"/>
              <w:left w:val="nil"/>
              <w:bottom w:val="single" w:sz="4" w:space="0" w:color="auto"/>
              <w:right w:val="single" w:sz="4" w:space="0" w:color="auto"/>
            </w:tcBorders>
            <w:shd w:val="clear" w:color="auto" w:fill="auto"/>
            <w:noWrap/>
            <w:vAlign w:val="bottom"/>
            <w:hideMark/>
          </w:tcPr>
          <w:p w14:paraId="1AE21AB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3.94%</w:t>
            </w:r>
          </w:p>
        </w:tc>
        <w:tc>
          <w:tcPr>
            <w:tcW w:w="960" w:type="dxa"/>
            <w:tcBorders>
              <w:top w:val="nil"/>
              <w:left w:val="nil"/>
              <w:bottom w:val="single" w:sz="4" w:space="0" w:color="auto"/>
              <w:right w:val="single" w:sz="4" w:space="0" w:color="auto"/>
            </w:tcBorders>
            <w:shd w:val="clear" w:color="auto" w:fill="auto"/>
            <w:noWrap/>
            <w:vAlign w:val="bottom"/>
            <w:hideMark/>
          </w:tcPr>
          <w:p w14:paraId="6F28009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3.55%</w:t>
            </w:r>
          </w:p>
        </w:tc>
        <w:tc>
          <w:tcPr>
            <w:tcW w:w="980" w:type="dxa"/>
            <w:tcBorders>
              <w:top w:val="nil"/>
              <w:left w:val="nil"/>
              <w:bottom w:val="single" w:sz="4" w:space="0" w:color="auto"/>
              <w:right w:val="single" w:sz="4" w:space="0" w:color="auto"/>
            </w:tcBorders>
            <w:shd w:val="clear" w:color="auto" w:fill="auto"/>
            <w:noWrap/>
            <w:vAlign w:val="bottom"/>
            <w:hideMark/>
          </w:tcPr>
          <w:p w14:paraId="6CACD6A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0.90%</w:t>
            </w:r>
          </w:p>
        </w:tc>
      </w:tr>
      <w:tr w:rsidR="00F20114" w:rsidRPr="00934350" w14:paraId="27D5C683"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C3718D1"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MOONEE VALLEY(C)</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28BFE87D" w14:textId="77777777" w:rsidR="00F20114" w:rsidRPr="00934350" w:rsidRDefault="00F20114" w:rsidP="00F20114">
            <w:pPr>
              <w:jc w:val="right"/>
              <w:rPr>
                <w:rFonts w:ascii="Calibri" w:hAnsi="Calibri"/>
                <w:color w:val="9C0006"/>
                <w:sz w:val="20"/>
                <w:lang w:eastAsia="en-AU"/>
              </w:rPr>
            </w:pPr>
            <w:r w:rsidRPr="00934350">
              <w:rPr>
                <w:rFonts w:ascii="Calibri" w:hAnsi="Calibri"/>
                <w:color w:val="9C0006"/>
                <w:sz w:val="20"/>
                <w:lang w:eastAsia="en-AU"/>
              </w:rPr>
              <w:t>-2.10%</w:t>
            </w:r>
          </w:p>
        </w:tc>
        <w:tc>
          <w:tcPr>
            <w:tcW w:w="1220" w:type="dxa"/>
            <w:tcBorders>
              <w:top w:val="nil"/>
              <w:left w:val="nil"/>
              <w:bottom w:val="single" w:sz="4" w:space="0" w:color="auto"/>
              <w:right w:val="single" w:sz="4" w:space="0" w:color="auto"/>
            </w:tcBorders>
            <w:shd w:val="clear" w:color="auto" w:fill="auto"/>
            <w:noWrap/>
            <w:vAlign w:val="bottom"/>
            <w:hideMark/>
          </w:tcPr>
          <w:p w14:paraId="6546BFB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4.3%</w:t>
            </w:r>
          </w:p>
        </w:tc>
        <w:tc>
          <w:tcPr>
            <w:tcW w:w="960" w:type="dxa"/>
            <w:tcBorders>
              <w:top w:val="nil"/>
              <w:left w:val="nil"/>
              <w:bottom w:val="single" w:sz="4" w:space="0" w:color="auto"/>
              <w:right w:val="single" w:sz="4" w:space="0" w:color="auto"/>
            </w:tcBorders>
            <w:shd w:val="clear" w:color="auto" w:fill="auto"/>
            <w:noWrap/>
            <w:vAlign w:val="bottom"/>
            <w:hideMark/>
          </w:tcPr>
          <w:p w14:paraId="663624E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4.9%</w:t>
            </w:r>
          </w:p>
        </w:tc>
        <w:tc>
          <w:tcPr>
            <w:tcW w:w="960" w:type="dxa"/>
            <w:tcBorders>
              <w:top w:val="nil"/>
              <w:left w:val="nil"/>
              <w:bottom w:val="single" w:sz="4" w:space="0" w:color="auto"/>
              <w:right w:val="single" w:sz="4" w:space="0" w:color="auto"/>
            </w:tcBorders>
            <w:shd w:val="clear" w:color="auto" w:fill="auto"/>
            <w:noWrap/>
            <w:vAlign w:val="bottom"/>
            <w:hideMark/>
          </w:tcPr>
          <w:p w14:paraId="46318B34"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4.08%</w:t>
            </w:r>
          </w:p>
        </w:tc>
        <w:tc>
          <w:tcPr>
            <w:tcW w:w="960" w:type="dxa"/>
            <w:tcBorders>
              <w:top w:val="nil"/>
              <w:left w:val="nil"/>
              <w:bottom w:val="single" w:sz="4" w:space="0" w:color="auto"/>
              <w:right w:val="single" w:sz="4" w:space="0" w:color="auto"/>
            </w:tcBorders>
            <w:shd w:val="clear" w:color="auto" w:fill="auto"/>
            <w:noWrap/>
            <w:vAlign w:val="bottom"/>
            <w:hideMark/>
          </w:tcPr>
          <w:p w14:paraId="75B61DF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4.92%</w:t>
            </w:r>
          </w:p>
        </w:tc>
        <w:tc>
          <w:tcPr>
            <w:tcW w:w="960" w:type="dxa"/>
            <w:tcBorders>
              <w:top w:val="nil"/>
              <w:left w:val="nil"/>
              <w:bottom w:val="single" w:sz="4" w:space="0" w:color="auto"/>
              <w:right w:val="single" w:sz="4" w:space="0" w:color="auto"/>
            </w:tcBorders>
            <w:shd w:val="clear" w:color="auto" w:fill="auto"/>
            <w:noWrap/>
            <w:vAlign w:val="bottom"/>
            <w:hideMark/>
          </w:tcPr>
          <w:p w14:paraId="66A8389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4.97%</w:t>
            </w:r>
          </w:p>
        </w:tc>
        <w:tc>
          <w:tcPr>
            <w:tcW w:w="980" w:type="dxa"/>
            <w:tcBorders>
              <w:top w:val="nil"/>
              <w:left w:val="nil"/>
              <w:bottom w:val="single" w:sz="4" w:space="0" w:color="auto"/>
              <w:right w:val="single" w:sz="4" w:space="0" w:color="auto"/>
            </w:tcBorders>
            <w:shd w:val="clear" w:color="auto" w:fill="auto"/>
            <w:noWrap/>
            <w:vAlign w:val="bottom"/>
            <w:hideMark/>
          </w:tcPr>
          <w:p w14:paraId="5E8ED03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0.00%</w:t>
            </w:r>
          </w:p>
        </w:tc>
      </w:tr>
      <w:tr w:rsidR="00F20114" w:rsidRPr="00934350" w14:paraId="38522CA8"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F2D59D8"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MOORABOOL(S)</w:t>
            </w:r>
          </w:p>
        </w:tc>
        <w:tc>
          <w:tcPr>
            <w:tcW w:w="960" w:type="dxa"/>
            <w:tcBorders>
              <w:top w:val="nil"/>
              <w:left w:val="nil"/>
              <w:bottom w:val="single" w:sz="4" w:space="0" w:color="auto"/>
              <w:right w:val="single" w:sz="4" w:space="0" w:color="auto"/>
            </w:tcBorders>
            <w:shd w:val="clear" w:color="auto" w:fill="auto"/>
            <w:noWrap/>
            <w:vAlign w:val="bottom"/>
            <w:hideMark/>
          </w:tcPr>
          <w:p w14:paraId="19DC8D8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2.50%</w:t>
            </w:r>
          </w:p>
        </w:tc>
        <w:tc>
          <w:tcPr>
            <w:tcW w:w="1220" w:type="dxa"/>
            <w:tcBorders>
              <w:top w:val="nil"/>
              <w:left w:val="nil"/>
              <w:bottom w:val="single" w:sz="4" w:space="0" w:color="auto"/>
              <w:right w:val="single" w:sz="4" w:space="0" w:color="auto"/>
            </w:tcBorders>
            <w:shd w:val="clear" w:color="auto" w:fill="auto"/>
            <w:noWrap/>
            <w:vAlign w:val="bottom"/>
            <w:hideMark/>
          </w:tcPr>
          <w:p w14:paraId="3D2E80F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7.3%</w:t>
            </w:r>
          </w:p>
        </w:tc>
        <w:tc>
          <w:tcPr>
            <w:tcW w:w="960" w:type="dxa"/>
            <w:tcBorders>
              <w:top w:val="nil"/>
              <w:left w:val="nil"/>
              <w:bottom w:val="single" w:sz="4" w:space="0" w:color="auto"/>
              <w:right w:val="single" w:sz="4" w:space="0" w:color="auto"/>
            </w:tcBorders>
            <w:shd w:val="clear" w:color="auto" w:fill="auto"/>
            <w:noWrap/>
            <w:vAlign w:val="bottom"/>
            <w:hideMark/>
          </w:tcPr>
          <w:p w14:paraId="3C17109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3.9%</w:t>
            </w:r>
          </w:p>
        </w:tc>
        <w:tc>
          <w:tcPr>
            <w:tcW w:w="960" w:type="dxa"/>
            <w:tcBorders>
              <w:top w:val="nil"/>
              <w:left w:val="nil"/>
              <w:bottom w:val="single" w:sz="4" w:space="0" w:color="auto"/>
              <w:right w:val="single" w:sz="4" w:space="0" w:color="auto"/>
            </w:tcBorders>
            <w:shd w:val="clear" w:color="auto" w:fill="auto"/>
            <w:noWrap/>
            <w:vAlign w:val="bottom"/>
            <w:hideMark/>
          </w:tcPr>
          <w:p w14:paraId="5BE3A6C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4.91%</w:t>
            </w:r>
          </w:p>
        </w:tc>
        <w:tc>
          <w:tcPr>
            <w:tcW w:w="960" w:type="dxa"/>
            <w:tcBorders>
              <w:top w:val="nil"/>
              <w:left w:val="nil"/>
              <w:bottom w:val="single" w:sz="4" w:space="0" w:color="auto"/>
              <w:right w:val="single" w:sz="4" w:space="0" w:color="auto"/>
            </w:tcBorders>
            <w:shd w:val="clear" w:color="auto" w:fill="auto"/>
            <w:noWrap/>
            <w:vAlign w:val="bottom"/>
            <w:hideMark/>
          </w:tcPr>
          <w:p w14:paraId="4780FB4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5.71%</w:t>
            </w:r>
          </w:p>
        </w:tc>
        <w:tc>
          <w:tcPr>
            <w:tcW w:w="960" w:type="dxa"/>
            <w:tcBorders>
              <w:top w:val="nil"/>
              <w:left w:val="nil"/>
              <w:bottom w:val="single" w:sz="4" w:space="0" w:color="auto"/>
              <w:right w:val="single" w:sz="4" w:space="0" w:color="auto"/>
            </w:tcBorders>
            <w:shd w:val="clear" w:color="auto" w:fill="auto"/>
            <w:noWrap/>
            <w:vAlign w:val="bottom"/>
            <w:hideMark/>
          </w:tcPr>
          <w:p w14:paraId="3A3593D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3.64%</w:t>
            </w:r>
          </w:p>
        </w:tc>
        <w:tc>
          <w:tcPr>
            <w:tcW w:w="980" w:type="dxa"/>
            <w:tcBorders>
              <w:top w:val="nil"/>
              <w:left w:val="nil"/>
              <w:bottom w:val="single" w:sz="4" w:space="0" w:color="auto"/>
              <w:right w:val="single" w:sz="4" w:space="0" w:color="auto"/>
            </w:tcBorders>
            <w:shd w:val="clear" w:color="auto" w:fill="auto"/>
            <w:noWrap/>
            <w:vAlign w:val="bottom"/>
            <w:hideMark/>
          </w:tcPr>
          <w:p w14:paraId="3476456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1.08%</w:t>
            </w:r>
          </w:p>
        </w:tc>
      </w:tr>
      <w:tr w:rsidR="00F20114" w:rsidRPr="00934350" w14:paraId="00F5D7C0"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387FC80"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lastRenderedPageBreak/>
              <w:t>MORELAND(C)</w:t>
            </w:r>
          </w:p>
        </w:tc>
        <w:tc>
          <w:tcPr>
            <w:tcW w:w="960" w:type="dxa"/>
            <w:tcBorders>
              <w:top w:val="nil"/>
              <w:left w:val="nil"/>
              <w:bottom w:val="single" w:sz="4" w:space="0" w:color="auto"/>
              <w:right w:val="single" w:sz="4" w:space="0" w:color="auto"/>
            </w:tcBorders>
            <w:shd w:val="clear" w:color="auto" w:fill="auto"/>
            <w:noWrap/>
            <w:vAlign w:val="bottom"/>
            <w:hideMark/>
          </w:tcPr>
          <w:p w14:paraId="52EEA1A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4.77%</w:t>
            </w:r>
          </w:p>
        </w:tc>
        <w:tc>
          <w:tcPr>
            <w:tcW w:w="1220" w:type="dxa"/>
            <w:tcBorders>
              <w:top w:val="nil"/>
              <w:left w:val="nil"/>
              <w:bottom w:val="single" w:sz="4" w:space="0" w:color="auto"/>
              <w:right w:val="single" w:sz="4" w:space="0" w:color="auto"/>
            </w:tcBorders>
            <w:shd w:val="clear" w:color="auto" w:fill="auto"/>
            <w:noWrap/>
            <w:vAlign w:val="bottom"/>
            <w:hideMark/>
          </w:tcPr>
          <w:p w14:paraId="27BD4842"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4.1%</w:t>
            </w:r>
          </w:p>
        </w:tc>
        <w:tc>
          <w:tcPr>
            <w:tcW w:w="960" w:type="dxa"/>
            <w:tcBorders>
              <w:top w:val="nil"/>
              <w:left w:val="nil"/>
              <w:bottom w:val="single" w:sz="4" w:space="0" w:color="auto"/>
              <w:right w:val="single" w:sz="4" w:space="0" w:color="auto"/>
            </w:tcBorders>
            <w:shd w:val="clear" w:color="auto" w:fill="auto"/>
            <w:noWrap/>
            <w:vAlign w:val="bottom"/>
            <w:hideMark/>
          </w:tcPr>
          <w:p w14:paraId="2389E0B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5.3%</w:t>
            </w:r>
          </w:p>
        </w:tc>
        <w:tc>
          <w:tcPr>
            <w:tcW w:w="960" w:type="dxa"/>
            <w:tcBorders>
              <w:top w:val="nil"/>
              <w:left w:val="nil"/>
              <w:bottom w:val="single" w:sz="4" w:space="0" w:color="auto"/>
              <w:right w:val="single" w:sz="4" w:space="0" w:color="auto"/>
            </w:tcBorders>
            <w:shd w:val="clear" w:color="auto" w:fill="auto"/>
            <w:noWrap/>
            <w:vAlign w:val="bottom"/>
            <w:hideMark/>
          </w:tcPr>
          <w:p w14:paraId="7B7EDD6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4.78%</w:t>
            </w:r>
          </w:p>
        </w:tc>
        <w:tc>
          <w:tcPr>
            <w:tcW w:w="960" w:type="dxa"/>
            <w:tcBorders>
              <w:top w:val="nil"/>
              <w:left w:val="nil"/>
              <w:bottom w:val="single" w:sz="4" w:space="0" w:color="auto"/>
              <w:right w:val="single" w:sz="4" w:space="0" w:color="auto"/>
            </w:tcBorders>
            <w:shd w:val="clear" w:color="auto" w:fill="auto"/>
            <w:noWrap/>
            <w:vAlign w:val="bottom"/>
            <w:hideMark/>
          </w:tcPr>
          <w:p w14:paraId="4D002A6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5.35%</w:t>
            </w:r>
          </w:p>
        </w:tc>
        <w:tc>
          <w:tcPr>
            <w:tcW w:w="960" w:type="dxa"/>
            <w:tcBorders>
              <w:top w:val="nil"/>
              <w:left w:val="nil"/>
              <w:bottom w:val="single" w:sz="4" w:space="0" w:color="auto"/>
              <w:right w:val="single" w:sz="4" w:space="0" w:color="auto"/>
            </w:tcBorders>
            <w:shd w:val="clear" w:color="auto" w:fill="auto"/>
            <w:noWrap/>
            <w:vAlign w:val="bottom"/>
            <w:hideMark/>
          </w:tcPr>
          <w:p w14:paraId="1A67B2F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4.67%</w:t>
            </w:r>
          </w:p>
        </w:tc>
        <w:tc>
          <w:tcPr>
            <w:tcW w:w="980" w:type="dxa"/>
            <w:tcBorders>
              <w:top w:val="nil"/>
              <w:left w:val="nil"/>
              <w:bottom w:val="single" w:sz="4" w:space="0" w:color="auto"/>
              <w:right w:val="single" w:sz="4" w:space="0" w:color="auto"/>
            </w:tcBorders>
            <w:shd w:val="clear" w:color="auto" w:fill="auto"/>
            <w:noWrap/>
            <w:vAlign w:val="bottom"/>
            <w:hideMark/>
          </w:tcPr>
          <w:p w14:paraId="1749B01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1.75%</w:t>
            </w:r>
          </w:p>
        </w:tc>
      </w:tr>
      <w:tr w:rsidR="00F20114" w:rsidRPr="00934350" w14:paraId="79156BAC"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2628F5A"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MORNINGTON PENINSULA(S)</w:t>
            </w:r>
          </w:p>
        </w:tc>
        <w:tc>
          <w:tcPr>
            <w:tcW w:w="960" w:type="dxa"/>
            <w:tcBorders>
              <w:top w:val="nil"/>
              <w:left w:val="nil"/>
              <w:bottom w:val="single" w:sz="4" w:space="0" w:color="auto"/>
              <w:right w:val="single" w:sz="4" w:space="0" w:color="auto"/>
            </w:tcBorders>
            <w:shd w:val="clear" w:color="auto" w:fill="auto"/>
            <w:noWrap/>
            <w:vAlign w:val="bottom"/>
            <w:hideMark/>
          </w:tcPr>
          <w:p w14:paraId="4A226F2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3.26%</w:t>
            </w:r>
          </w:p>
        </w:tc>
        <w:tc>
          <w:tcPr>
            <w:tcW w:w="1220" w:type="dxa"/>
            <w:tcBorders>
              <w:top w:val="nil"/>
              <w:left w:val="nil"/>
              <w:bottom w:val="single" w:sz="4" w:space="0" w:color="auto"/>
              <w:right w:val="single" w:sz="4" w:space="0" w:color="auto"/>
            </w:tcBorders>
            <w:shd w:val="clear" w:color="auto" w:fill="auto"/>
            <w:noWrap/>
            <w:vAlign w:val="bottom"/>
            <w:hideMark/>
          </w:tcPr>
          <w:p w14:paraId="260EE8F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3.3%</w:t>
            </w:r>
          </w:p>
        </w:tc>
        <w:tc>
          <w:tcPr>
            <w:tcW w:w="960" w:type="dxa"/>
            <w:tcBorders>
              <w:top w:val="nil"/>
              <w:left w:val="nil"/>
              <w:bottom w:val="single" w:sz="4" w:space="0" w:color="auto"/>
              <w:right w:val="single" w:sz="4" w:space="0" w:color="auto"/>
            </w:tcBorders>
            <w:shd w:val="clear" w:color="auto" w:fill="auto"/>
            <w:noWrap/>
            <w:vAlign w:val="bottom"/>
            <w:hideMark/>
          </w:tcPr>
          <w:p w14:paraId="250CDFC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3.9%</w:t>
            </w:r>
          </w:p>
        </w:tc>
        <w:tc>
          <w:tcPr>
            <w:tcW w:w="960" w:type="dxa"/>
            <w:tcBorders>
              <w:top w:val="nil"/>
              <w:left w:val="nil"/>
              <w:bottom w:val="single" w:sz="4" w:space="0" w:color="auto"/>
              <w:right w:val="single" w:sz="4" w:space="0" w:color="auto"/>
            </w:tcBorders>
            <w:shd w:val="clear" w:color="auto" w:fill="auto"/>
            <w:noWrap/>
            <w:vAlign w:val="bottom"/>
            <w:hideMark/>
          </w:tcPr>
          <w:p w14:paraId="79F1425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3.90%</w:t>
            </w:r>
          </w:p>
        </w:tc>
        <w:tc>
          <w:tcPr>
            <w:tcW w:w="960" w:type="dxa"/>
            <w:tcBorders>
              <w:top w:val="nil"/>
              <w:left w:val="nil"/>
              <w:bottom w:val="single" w:sz="4" w:space="0" w:color="auto"/>
              <w:right w:val="single" w:sz="4" w:space="0" w:color="auto"/>
            </w:tcBorders>
            <w:shd w:val="clear" w:color="auto" w:fill="auto"/>
            <w:noWrap/>
            <w:vAlign w:val="bottom"/>
            <w:hideMark/>
          </w:tcPr>
          <w:p w14:paraId="378AB8C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3.50%</w:t>
            </w:r>
          </w:p>
        </w:tc>
        <w:tc>
          <w:tcPr>
            <w:tcW w:w="960" w:type="dxa"/>
            <w:tcBorders>
              <w:top w:val="nil"/>
              <w:left w:val="nil"/>
              <w:bottom w:val="single" w:sz="4" w:space="0" w:color="auto"/>
              <w:right w:val="single" w:sz="4" w:space="0" w:color="auto"/>
            </w:tcBorders>
            <w:shd w:val="clear" w:color="auto" w:fill="auto"/>
            <w:noWrap/>
            <w:vAlign w:val="bottom"/>
            <w:hideMark/>
          </w:tcPr>
          <w:p w14:paraId="5FE08F5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3.30%</w:t>
            </w:r>
          </w:p>
        </w:tc>
        <w:tc>
          <w:tcPr>
            <w:tcW w:w="980" w:type="dxa"/>
            <w:tcBorders>
              <w:top w:val="nil"/>
              <w:left w:val="nil"/>
              <w:bottom w:val="single" w:sz="4" w:space="0" w:color="auto"/>
              <w:right w:val="single" w:sz="4" w:space="0" w:color="auto"/>
            </w:tcBorders>
            <w:shd w:val="clear" w:color="auto" w:fill="auto"/>
            <w:noWrap/>
            <w:vAlign w:val="bottom"/>
            <w:hideMark/>
          </w:tcPr>
          <w:p w14:paraId="44E750D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0.98%</w:t>
            </w:r>
          </w:p>
        </w:tc>
      </w:tr>
      <w:tr w:rsidR="00F20114" w:rsidRPr="00934350" w14:paraId="7B578BA4"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5D09354"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MOUNT ALEXANDER(S)</w:t>
            </w:r>
          </w:p>
        </w:tc>
        <w:tc>
          <w:tcPr>
            <w:tcW w:w="960" w:type="dxa"/>
            <w:tcBorders>
              <w:top w:val="nil"/>
              <w:left w:val="nil"/>
              <w:bottom w:val="single" w:sz="4" w:space="0" w:color="auto"/>
              <w:right w:val="single" w:sz="4" w:space="0" w:color="auto"/>
            </w:tcBorders>
            <w:shd w:val="clear" w:color="auto" w:fill="auto"/>
            <w:noWrap/>
            <w:vAlign w:val="bottom"/>
            <w:hideMark/>
          </w:tcPr>
          <w:p w14:paraId="6DB0E24B"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4.17%</w:t>
            </w:r>
          </w:p>
        </w:tc>
        <w:tc>
          <w:tcPr>
            <w:tcW w:w="1220" w:type="dxa"/>
            <w:tcBorders>
              <w:top w:val="nil"/>
              <w:left w:val="nil"/>
              <w:bottom w:val="single" w:sz="4" w:space="0" w:color="auto"/>
              <w:right w:val="single" w:sz="4" w:space="0" w:color="auto"/>
            </w:tcBorders>
            <w:shd w:val="clear" w:color="auto" w:fill="auto"/>
            <w:noWrap/>
            <w:vAlign w:val="bottom"/>
            <w:hideMark/>
          </w:tcPr>
          <w:p w14:paraId="35E63CD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3.0%</w:t>
            </w:r>
          </w:p>
        </w:tc>
        <w:tc>
          <w:tcPr>
            <w:tcW w:w="960" w:type="dxa"/>
            <w:tcBorders>
              <w:top w:val="nil"/>
              <w:left w:val="nil"/>
              <w:bottom w:val="single" w:sz="4" w:space="0" w:color="auto"/>
              <w:right w:val="single" w:sz="4" w:space="0" w:color="auto"/>
            </w:tcBorders>
            <w:shd w:val="clear" w:color="auto" w:fill="auto"/>
            <w:noWrap/>
            <w:vAlign w:val="bottom"/>
            <w:hideMark/>
          </w:tcPr>
          <w:p w14:paraId="5CB9365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4.4%</w:t>
            </w:r>
          </w:p>
        </w:tc>
        <w:tc>
          <w:tcPr>
            <w:tcW w:w="960" w:type="dxa"/>
            <w:tcBorders>
              <w:top w:val="nil"/>
              <w:left w:val="nil"/>
              <w:bottom w:val="single" w:sz="4" w:space="0" w:color="auto"/>
              <w:right w:val="single" w:sz="4" w:space="0" w:color="auto"/>
            </w:tcBorders>
            <w:shd w:val="clear" w:color="auto" w:fill="auto"/>
            <w:noWrap/>
            <w:vAlign w:val="bottom"/>
            <w:hideMark/>
          </w:tcPr>
          <w:p w14:paraId="486745FB"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4.13%</w:t>
            </w:r>
          </w:p>
        </w:tc>
        <w:tc>
          <w:tcPr>
            <w:tcW w:w="960" w:type="dxa"/>
            <w:tcBorders>
              <w:top w:val="nil"/>
              <w:left w:val="nil"/>
              <w:bottom w:val="single" w:sz="4" w:space="0" w:color="auto"/>
              <w:right w:val="single" w:sz="4" w:space="0" w:color="auto"/>
            </w:tcBorders>
            <w:shd w:val="clear" w:color="auto" w:fill="auto"/>
            <w:noWrap/>
            <w:vAlign w:val="bottom"/>
            <w:hideMark/>
          </w:tcPr>
          <w:p w14:paraId="3CF490D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6.47%</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0D665098" w14:textId="77777777" w:rsidR="00F20114" w:rsidRPr="00934350" w:rsidRDefault="00F20114" w:rsidP="00F20114">
            <w:pPr>
              <w:jc w:val="right"/>
              <w:rPr>
                <w:rFonts w:ascii="Calibri" w:hAnsi="Calibri"/>
                <w:color w:val="9C0006"/>
                <w:sz w:val="20"/>
                <w:lang w:eastAsia="en-AU"/>
              </w:rPr>
            </w:pPr>
            <w:r w:rsidRPr="00934350">
              <w:rPr>
                <w:rFonts w:ascii="Calibri" w:hAnsi="Calibri"/>
                <w:color w:val="9C0006"/>
                <w:sz w:val="20"/>
                <w:lang w:eastAsia="en-AU"/>
              </w:rPr>
              <w:t>1.57%</w:t>
            </w:r>
          </w:p>
        </w:tc>
        <w:tc>
          <w:tcPr>
            <w:tcW w:w="980" w:type="dxa"/>
            <w:tcBorders>
              <w:top w:val="nil"/>
              <w:left w:val="nil"/>
              <w:bottom w:val="single" w:sz="4" w:space="0" w:color="auto"/>
              <w:right w:val="single" w:sz="4" w:space="0" w:color="auto"/>
            </w:tcBorders>
            <w:shd w:val="clear" w:color="auto" w:fill="auto"/>
            <w:noWrap/>
            <w:vAlign w:val="bottom"/>
            <w:hideMark/>
          </w:tcPr>
          <w:p w14:paraId="292E96A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0.00%</w:t>
            </w:r>
          </w:p>
        </w:tc>
      </w:tr>
      <w:tr w:rsidR="00F20114" w:rsidRPr="00934350" w14:paraId="57D9491E"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8950B23"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MOYNE(S)</w:t>
            </w:r>
          </w:p>
        </w:tc>
        <w:tc>
          <w:tcPr>
            <w:tcW w:w="960" w:type="dxa"/>
            <w:tcBorders>
              <w:top w:val="nil"/>
              <w:left w:val="nil"/>
              <w:bottom w:val="single" w:sz="4" w:space="0" w:color="auto"/>
              <w:right w:val="single" w:sz="4" w:space="0" w:color="auto"/>
            </w:tcBorders>
            <w:shd w:val="clear" w:color="auto" w:fill="auto"/>
            <w:noWrap/>
            <w:vAlign w:val="bottom"/>
            <w:hideMark/>
          </w:tcPr>
          <w:p w14:paraId="38D9219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5.91%</w:t>
            </w:r>
          </w:p>
        </w:tc>
        <w:tc>
          <w:tcPr>
            <w:tcW w:w="1220" w:type="dxa"/>
            <w:tcBorders>
              <w:top w:val="nil"/>
              <w:left w:val="nil"/>
              <w:bottom w:val="single" w:sz="4" w:space="0" w:color="auto"/>
              <w:right w:val="single" w:sz="4" w:space="0" w:color="auto"/>
            </w:tcBorders>
            <w:shd w:val="clear" w:color="auto" w:fill="auto"/>
            <w:noWrap/>
            <w:vAlign w:val="bottom"/>
            <w:hideMark/>
          </w:tcPr>
          <w:p w14:paraId="7CEAA2E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3.4%</w:t>
            </w:r>
          </w:p>
        </w:tc>
        <w:tc>
          <w:tcPr>
            <w:tcW w:w="960" w:type="dxa"/>
            <w:tcBorders>
              <w:top w:val="nil"/>
              <w:left w:val="nil"/>
              <w:bottom w:val="single" w:sz="4" w:space="0" w:color="auto"/>
              <w:right w:val="single" w:sz="4" w:space="0" w:color="auto"/>
            </w:tcBorders>
            <w:shd w:val="clear" w:color="auto" w:fill="auto"/>
            <w:noWrap/>
            <w:vAlign w:val="bottom"/>
            <w:hideMark/>
          </w:tcPr>
          <w:p w14:paraId="50794EB7"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3.7%</w:t>
            </w:r>
          </w:p>
        </w:tc>
        <w:tc>
          <w:tcPr>
            <w:tcW w:w="960" w:type="dxa"/>
            <w:tcBorders>
              <w:top w:val="nil"/>
              <w:left w:val="nil"/>
              <w:bottom w:val="single" w:sz="4" w:space="0" w:color="auto"/>
              <w:right w:val="single" w:sz="4" w:space="0" w:color="auto"/>
            </w:tcBorders>
            <w:shd w:val="clear" w:color="auto" w:fill="auto"/>
            <w:noWrap/>
            <w:vAlign w:val="bottom"/>
            <w:hideMark/>
          </w:tcPr>
          <w:p w14:paraId="58CD9C9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4.05%</w:t>
            </w:r>
          </w:p>
        </w:tc>
        <w:tc>
          <w:tcPr>
            <w:tcW w:w="960" w:type="dxa"/>
            <w:tcBorders>
              <w:top w:val="nil"/>
              <w:left w:val="nil"/>
              <w:bottom w:val="single" w:sz="4" w:space="0" w:color="auto"/>
              <w:right w:val="single" w:sz="4" w:space="0" w:color="auto"/>
            </w:tcBorders>
            <w:shd w:val="clear" w:color="auto" w:fill="auto"/>
            <w:noWrap/>
            <w:vAlign w:val="bottom"/>
            <w:hideMark/>
          </w:tcPr>
          <w:p w14:paraId="62FE46F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3.06%</w:t>
            </w:r>
          </w:p>
        </w:tc>
        <w:tc>
          <w:tcPr>
            <w:tcW w:w="960" w:type="dxa"/>
            <w:tcBorders>
              <w:top w:val="nil"/>
              <w:left w:val="nil"/>
              <w:bottom w:val="single" w:sz="4" w:space="0" w:color="auto"/>
              <w:right w:val="single" w:sz="4" w:space="0" w:color="auto"/>
            </w:tcBorders>
            <w:shd w:val="clear" w:color="auto" w:fill="auto"/>
            <w:noWrap/>
            <w:vAlign w:val="bottom"/>
            <w:hideMark/>
          </w:tcPr>
          <w:p w14:paraId="4FF47AD2"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3.20%</w:t>
            </w:r>
          </w:p>
        </w:tc>
        <w:tc>
          <w:tcPr>
            <w:tcW w:w="980" w:type="dxa"/>
            <w:tcBorders>
              <w:top w:val="nil"/>
              <w:left w:val="nil"/>
              <w:bottom w:val="single" w:sz="4" w:space="0" w:color="auto"/>
              <w:right w:val="single" w:sz="4" w:space="0" w:color="auto"/>
            </w:tcBorders>
            <w:shd w:val="clear" w:color="auto" w:fill="auto"/>
            <w:noWrap/>
            <w:vAlign w:val="bottom"/>
            <w:hideMark/>
          </w:tcPr>
          <w:p w14:paraId="71189A0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-0.16%</w:t>
            </w:r>
          </w:p>
        </w:tc>
      </w:tr>
      <w:tr w:rsidR="00F20114" w:rsidRPr="00934350" w14:paraId="0BFD9F70"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5D6F09F"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MURRINDINDI(S)</w:t>
            </w:r>
          </w:p>
        </w:tc>
        <w:tc>
          <w:tcPr>
            <w:tcW w:w="960" w:type="dxa"/>
            <w:tcBorders>
              <w:top w:val="nil"/>
              <w:left w:val="nil"/>
              <w:bottom w:val="single" w:sz="4" w:space="0" w:color="auto"/>
              <w:right w:val="single" w:sz="4" w:space="0" w:color="auto"/>
            </w:tcBorders>
            <w:shd w:val="clear" w:color="auto" w:fill="auto"/>
            <w:noWrap/>
            <w:vAlign w:val="bottom"/>
            <w:hideMark/>
          </w:tcPr>
          <w:p w14:paraId="61D9CCB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4.24%</w:t>
            </w:r>
          </w:p>
        </w:tc>
        <w:tc>
          <w:tcPr>
            <w:tcW w:w="1220" w:type="dxa"/>
            <w:tcBorders>
              <w:top w:val="nil"/>
              <w:left w:val="nil"/>
              <w:bottom w:val="single" w:sz="4" w:space="0" w:color="auto"/>
              <w:right w:val="single" w:sz="4" w:space="0" w:color="auto"/>
            </w:tcBorders>
            <w:shd w:val="clear" w:color="auto" w:fill="auto"/>
            <w:noWrap/>
            <w:vAlign w:val="bottom"/>
            <w:hideMark/>
          </w:tcPr>
          <w:p w14:paraId="7B906BB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2.8%</w:t>
            </w:r>
          </w:p>
        </w:tc>
        <w:tc>
          <w:tcPr>
            <w:tcW w:w="960" w:type="dxa"/>
            <w:tcBorders>
              <w:top w:val="nil"/>
              <w:left w:val="nil"/>
              <w:bottom w:val="single" w:sz="4" w:space="0" w:color="auto"/>
              <w:right w:val="single" w:sz="4" w:space="0" w:color="auto"/>
            </w:tcBorders>
            <w:shd w:val="clear" w:color="auto" w:fill="auto"/>
            <w:noWrap/>
            <w:vAlign w:val="bottom"/>
            <w:hideMark/>
          </w:tcPr>
          <w:p w14:paraId="6E812B6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3.8%</w:t>
            </w:r>
          </w:p>
        </w:tc>
        <w:tc>
          <w:tcPr>
            <w:tcW w:w="960" w:type="dxa"/>
            <w:tcBorders>
              <w:top w:val="nil"/>
              <w:left w:val="nil"/>
              <w:bottom w:val="single" w:sz="4" w:space="0" w:color="auto"/>
              <w:right w:val="single" w:sz="4" w:space="0" w:color="auto"/>
            </w:tcBorders>
            <w:shd w:val="clear" w:color="auto" w:fill="auto"/>
            <w:noWrap/>
            <w:vAlign w:val="bottom"/>
            <w:hideMark/>
          </w:tcPr>
          <w:p w14:paraId="6C6A61F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3.14%</w:t>
            </w:r>
          </w:p>
        </w:tc>
        <w:tc>
          <w:tcPr>
            <w:tcW w:w="960" w:type="dxa"/>
            <w:tcBorders>
              <w:top w:val="nil"/>
              <w:left w:val="nil"/>
              <w:bottom w:val="single" w:sz="4" w:space="0" w:color="auto"/>
              <w:right w:val="single" w:sz="4" w:space="0" w:color="auto"/>
            </w:tcBorders>
            <w:shd w:val="clear" w:color="auto" w:fill="auto"/>
            <w:noWrap/>
            <w:vAlign w:val="bottom"/>
            <w:hideMark/>
          </w:tcPr>
          <w:p w14:paraId="483DE57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2.92%</w:t>
            </w:r>
          </w:p>
        </w:tc>
        <w:tc>
          <w:tcPr>
            <w:tcW w:w="960" w:type="dxa"/>
            <w:tcBorders>
              <w:top w:val="nil"/>
              <w:left w:val="nil"/>
              <w:bottom w:val="single" w:sz="4" w:space="0" w:color="auto"/>
              <w:right w:val="single" w:sz="4" w:space="0" w:color="auto"/>
            </w:tcBorders>
            <w:shd w:val="clear" w:color="auto" w:fill="auto"/>
            <w:noWrap/>
            <w:vAlign w:val="bottom"/>
            <w:hideMark/>
          </w:tcPr>
          <w:p w14:paraId="0999469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2.57%</w:t>
            </w:r>
          </w:p>
        </w:tc>
        <w:tc>
          <w:tcPr>
            <w:tcW w:w="980" w:type="dxa"/>
            <w:tcBorders>
              <w:top w:val="nil"/>
              <w:left w:val="nil"/>
              <w:bottom w:val="single" w:sz="4" w:space="0" w:color="auto"/>
              <w:right w:val="single" w:sz="4" w:space="0" w:color="auto"/>
            </w:tcBorders>
            <w:shd w:val="clear" w:color="auto" w:fill="auto"/>
            <w:noWrap/>
            <w:vAlign w:val="bottom"/>
            <w:hideMark/>
          </w:tcPr>
          <w:p w14:paraId="5835334B"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0.00%</w:t>
            </w:r>
          </w:p>
        </w:tc>
      </w:tr>
      <w:tr w:rsidR="00F20114" w:rsidRPr="00934350" w14:paraId="65B7F60C"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BDA4157"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NILLUMBIK(S)</w:t>
            </w:r>
          </w:p>
        </w:tc>
        <w:tc>
          <w:tcPr>
            <w:tcW w:w="960" w:type="dxa"/>
            <w:tcBorders>
              <w:top w:val="nil"/>
              <w:left w:val="nil"/>
              <w:bottom w:val="single" w:sz="4" w:space="0" w:color="auto"/>
              <w:right w:val="single" w:sz="4" w:space="0" w:color="auto"/>
            </w:tcBorders>
            <w:shd w:val="clear" w:color="auto" w:fill="auto"/>
            <w:noWrap/>
            <w:vAlign w:val="bottom"/>
            <w:hideMark/>
          </w:tcPr>
          <w:p w14:paraId="1F095C2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4.63%</w:t>
            </w:r>
          </w:p>
        </w:tc>
        <w:tc>
          <w:tcPr>
            <w:tcW w:w="122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452225AE" w14:textId="77777777" w:rsidR="00F20114" w:rsidRPr="00934350" w:rsidRDefault="00F20114" w:rsidP="00F20114">
            <w:pPr>
              <w:jc w:val="right"/>
              <w:rPr>
                <w:rFonts w:ascii="Calibri" w:hAnsi="Calibri"/>
                <w:color w:val="9C0006"/>
                <w:sz w:val="20"/>
                <w:lang w:eastAsia="en-AU"/>
              </w:rPr>
            </w:pPr>
            <w:r w:rsidRPr="00934350">
              <w:rPr>
                <w:rFonts w:ascii="Calibri" w:hAnsi="Calibri"/>
                <w:color w:val="9C0006"/>
                <w:sz w:val="20"/>
                <w:lang w:eastAsia="en-AU"/>
              </w:rPr>
              <w:t>2.3%</w:t>
            </w:r>
          </w:p>
        </w:tc>
        <w:tc>
          <w:tcPr>
            <w:tcW w:w="960" w:type="dxa"/>
            <w:tcBorders>
              <w:top w:val="nil"/>
              <w:left w:val="nil"/>
              <w:bottom w:val="single" w:sz="4" w:space="0" w:color="auto"/>
              <w:right w:val="single" w:sz="4" w:space="0" w:color="auto"/>
            </w:tcBorders>
            <w:shd w:val="clear" w:color="auto" w:fill="auto"/>
            <w:noWrap/>
            <w:vAlign w:val="bottom"/>
            <w:hideMark/>
          </w:tcPr>
          <w:p w14:paraId="4A0C5D4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3.6%</w:t>
            </w:r>
          </w:p>
        </w:tc>
        <w:tc>
          <w:tcPr>
            <w:tcW w:w="960" w:type="dxa"/>
            <w:tcBorders>
              <w:top w:val="nil"/>
              <w:left w:val="nil"/>
              <w:bottom w:val="single" w:sz="4" w:space="0" w:color="auto"/>
              <w:right w:val="single" w:sz="4" w:space="0" w:color="auto"/>
            </w:tcBorders>
            <w:shd w:val="clear" w:color="auto" w:fill="auto"/>
            <w:noWrap/>
            <w:vAlign w:val="bottom"/>
            <w:hideMark/>
          </w:tcPr>
          <w:p w14:paraId="57642BB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3.36%</w:t>
            </w:r>
          </w:p>
        </w:tc>
        <w:tc>
          <w:tcPr>
            <w:tcW w:w="960" w:type="dxa"/>
            <w:tcBorders>
              <w:top w:val="nil"/>
              <w:left w:val="nil"/>
              <w:bottom w:val="single" w:sz="4" w:space="0" w:color="auto"/>
              <w:right w:val="single" w:sz="4" w:space="0" w:color="auto"/>
            </w:tcBorders>
            <w:shd w:val="clear" w:color="auto" w:fill="auto"/>
            <w:noWrap/>
            <w:vAlign w:val="bottom"/>
            <w:hideMark/>
          </w:tcPr>
          <w:p w14:paraId="38ECDB2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3.20%</w:t>
            </w:r>
          </w:p>
        </w:tc>
        <w:tc>
          <w:tcPr>
            <w:tcW w:w="960" w:type="dxa"/>
            <w:tcBorders>
              <w:top w:val="nil"/>
              <w:left w:val="nil"/>
              <w:bottom w:val="single" w:sz="4" w:space="0" w:color="auto"/>
              <w:right w:val="single" w:sz="4" w:space="0" w:color="auto"/>
            </w:tcBorders>
            <w:shd w:val="clear" w:color="auto" w:fill="auto"/>
            <w:noWrap/>
            <w:vAlign w:val="bottom"/>
            <w:hideMark/>
          </w:tcPr>
          <w:p w14:paraId="71A117D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4.09%</w:t>
            </w:r>
          </w:p>
        </w:tc>
        <w:tc>
          <w:tcPr>
            <w:tcW w:w="980" w:type="dxa"/>
            <w:tcBorders>
              <w:top w:val="nil"/>
              <w:left w:val="nil"/>
              <w:bottom w:val="single" w:sz="4" w:space="0" w:color="auto"/>
              <w:right w:val="single" w:sz="4" w:space="0" w:color="auto"/>
            </w:tcBorders>
            <w:shd w:val="clear" w:color="auto" w:fill="auto"/>
            <w:noWrap/>
            <w:vAlign w:val="bottom"/>
            <w:hideMark/>
          </w:tcPr>
          <w:p w14:paraId="4C1BE89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0.30%</w:t>
            </w:r>
          </w:p>
        </w:tc>
      </w:tr>
      <w:tr w:rsidR="00F20114" w:rsidRPr="00934350" w14:paraId="75097BB8"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D6725D7"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NORTHERN GRAMPIANS(S)</w:t>
            </w:r>
          </w:p>
        </w:tc>
        <w:tc>
          <w:tcPr>
            <w:tcW w:w="960" w:type="dxa"/>
            <w:tcBorders>
              <w:top w:val="nil"/>
              <w:left w:val="nil"/>
              <w:bottom w:val="single" w:sz="4" w:space="0" w:color="auto"/>
              <w:right w:val="single" w:sz="4" w:space="0" w:color="auto"/>
            </w:tcBorders>
            <w:shd w:val="clear" w:color="auto" w:fill="auto"/>
            <w:noWrap/>
            <w:vAlign w:val="bottom"/>
            <w:hideMark/>
          </w:tcPr>
          <w:p w14:paraId="5923902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3.86%</w:t>
            </w:r>
          </w:p>
        </w:tc>
        <w:tc>
          <w:tcPr>
            <w:tcW w:w="122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445D38D3" w14:textId="77777777" w:rsidR="00F20114" w:rsidRPr="00934350" w:rsidRDefault="00F20114" w:rsidP="00F20114">
            <w:pPr>
              <w:jc w:val="right"/>
              <w:rPr>
                <w:rFonts w:ascii="Calibri" w:hAnsi="Calibri"/>
                <w:color w:val="9C0006"/>
                <w:sz w:val="20"/>
                <w:lang w:eastAsia="en-AU"/>
              </w:rPr>
            </w:pPr>
            <w:r w:rsidRPr="00934350">
              <w:rPr>
                <w:rFonts w:ascii="Calibri" w:hAnsi="Calibri"/>
                <w:color w:val="9C0006"/>
                <w:sz w:val="20"/>
                <w:lang w:eastAsia="en-AU"/>
              </w:rPr>
              <w:t>2.1%</w:t>
            </w:r>
          </w:p>
        </w:tc>
        <w:tc>
          <w:tcPr>
            <w:tcW w:w="960" w:type="dxa"/>
            <w:tcBorders>
              <w:top w:val="nil"/>
              <w:left w:val="nil"/>
              <w:bottom w:val="single" w:sz="4" w:space="0" w:color="auto"/>
              <w:right w:val="single" w:sz="4" w:space="0" w:color="auto"/>
            </w:tcBorders>
            <w:shd w:val="clear" w:color="auto" w:fill="auto"/>
            <w:noWrap/>
            <w:vAlign w:val="bottom"/>
            <w:hideMark/>
          </w:tcPr>
          <w:p w14:paraId="4759D3A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3.4%</w:t>
            </w:r>
          </w:p>
        </w:tc>
        <w:tc>
          <w:tcPr>
            <w:tcW w:w="960" w:type="dxa"/>
            <w:tcBorders>
              <w:top w:val="nil"/>
              <w:left w:val="nil"/>
              <w:bottom w:val="single" w:sz="4" w:space="0" w:color="auto"/>
              <w:right w:val="single" w:sz="4" w:space="0" w:color="auto"/>
            </w:tcBorders>
            <w:shd w:val="clear" w:color="auto" w:fill="auto"/>
            <w:noWrap/>
            <w:vAlign w:val="bottom"/>
            <w:hideMark/>
          </w:tcPr>
          <w:p w14:paraId="5C18FE0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3.40%</w:t>
            </w:r>
          </w:p>
        </w:tc>
        <w:tc>
          <w:tcPr>
            <w:tcW w:w="960" w:type="dxa"/>
            <w:tcBorders>
              <w:top w:val="nil"/>
              <w:left w:val="nil"/>
              <w:bottom w:val="single" w:sz="4" w:space="0" w:color="auto"/>
              <w:right w:val="single" w:sz="4" w:space="0" w:color="auto"/>
            </w:tcBorders>
            <w:shd w:val="clear" w:color="auto" w:fill="auto"/>
            <w:noWrap/>
            <w:vAlign w:val="bottom"/>
            <w:hideMark/>
          </w:tcPr>
          <w:p w14:paraId="45D5A53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2.84%</w:t>
            </w:r>
          </w:p>
        </w:tc>
        <w:tc>
          <w:tcPr>
            <w:tcW w:w="960" w:type="dxa"/>
            <w:tcBorders>
              <w:top w:val="nil"/>
              <w:left w:val="nil"/>
              <w:bottom w:val="single" w:sz="4" w:space="0" w:color="auto"/>
              <w:right w:val="single" w:sz="4" w:space="0" w:color="auto"/>
            </w:tcBorders>
            <w:shd w:val="clear" w:color="auto" w:fill="auto"/>
            <w:noWrap/>
            <w:vAlign w:val="bottom"/>
            <w:hideMark/>
          </w:tcPr>
          <w:p w14:paraId="302FE694"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2.68%</w:t>
            </w:r>
          </w:p>
        </w:tc>
        <w:tc>
          <w:tcPr>
            <w:tcW w:w="980" w:type="dxa"/>
            <w:tcBorders>
              <w:top w:val="nil"/>
              <w:left w:val="nil"/>
              <w:bottom w:val="single" w:sz="4" w:space="0" w:color="auto"/>
              <w:right w:val="single" w:sz="4" w:space="0" w:color="auto"/>
            </w:tcBorders>
            <w:shd w:val="clear" w:color="auto" w:fill="auto"/>
            <w:noWrap/>
            <w:vAlign w:val="bottom"/>
            <w:hideMark/>
          </w:tcPr>
          <w:p w14:paraId="38AD8D1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0.00%</w:t>
            </w:r>
          </w:p>
        </w:tc>
      </w:tr>
      <w:tr w:rsidR="00F20114" w:rsidRPr="00934350" w14:paraId="5811D2A2"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7DC4B0B"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PORT PHILLIP(C)</w:t>
            </w:r>
          </w:p>
        </w:tc>
        <w:tc>
          <w:tcPr>
            <w:tcW w:w="960" w:type="dxa"/>
            <w:tcBorders>
              <w:top w:val="nil"/>
              <w:left w:val="nil"/>
              <w:bottom w:val="single" w:sz="4" w:space="0" w:color="auto"/>
              <w:right w:val="single" w:sz="4" w:space="0" w:color="auto"/>
            </w:tcBorders>
            <w:shd w:val="clear" w:color="auto" w:fill="auto"/>
            <w:noWrap/>
            <w:vAlign w:val="bottom"/>
            <w:hideMark/>
          </w:tcPr>
          <w:p w14:paraId="29378897"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6.09%</w:t>
            </w:r>
          </w:p>
        </w:tc>
        <w:tc>
          <w:tcPr>
            <w:tcW w:w="1220" w:type="dxa"/>
            <w:tcBorders>
              <w:top w:val="nil"/>
              <w:left w:val="nil"/>
              <w:bottom w:val="single" w:sz="4" w:space="0" w:color="auto"/>
              <w:right w:val="single" w:sz="4" w:space="0" w:color="auto"/>
            </w:tcBorders>
            <w:shd w:val="clear" w:color="auto" w:fill="auto"/>
            <w:noWrap/>
            <w:vAlign w:val="bottom"/>
            <w:hideMark/>
          </w:tcPr>
          <w:p w14:paraId="527FC70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3.1%</w:t>
            </w:r>
          </w:p>
        </w:tc>
        <w:tc>
          <w:tcPr>
            <w:tcW w:w="960" w:type="dxa"/>
            <w:tcBorders>
              <w:top w:val="nil"/>
              <w:left w:val="nil"/>
              <w:bottom w:val="single" w:sz="4" w:space="0" w:color="auto"/>
              <w:right w:val="single" w:sz="4" w:space="0" w:color="auto"/>
            </w:tcBorders>
            <w:shd w:val="clear" w:color="auto" w:fill="auto"/>
            <w:noWrap/>
            <w:vAlign w:val="bottom"/>
            <w:hideMark/>
          </w:tcPr>
          <w:p w14:paraId="0B03E81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4.5%</w:t>
            </w:r>
          </w:p>
        </w:tc>
        <w:tc>
          <w:tcPr>
            <w:tcW w:w="960" w:type="dxa"/>
            <w:tcBorders>
              <w:top w:val="nil"/>
              <w:left w:val="nil"/>
              <w:bottom w:val="single" w:sz="4" w:space="0" w:color="auto"/>
              <w:right w:val="single" w:sz="4" w:space="0" w:color="auto"/>
            </w:tcBorders>
            <w:shd w:val="clear" w:color="auto" w:fill="auto"/>
            <w:noWrap/>
            <w:vAlign w:val="bottom"/>
            <w:hideMark/>
          </w:tcPr>
          <w:p w14:paraId="2FEA52F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4.28%</w:t>
            </w:r>
          </w:p>
        </w:tc>
        <w:tc>
          <w:tcPr>
            <w:tcW w:w="960" w:type="dxa"/>
            <w:tcBorders>
              <w:top w:val="nil"/>
              <w:left w:val="nil"/>
              <w:bottom w:val="single" w:sz="4" w:space="0" w:color="auto"/>
              <w:right w:val="single" w:sz="4" w:space="0" w:color="auto"/>
            </w:tcBorders>
            <w:shd w:val="clear" w:color="auto" w:fill="auto"/>
            <w:noWrap/>
            <w:vAlign w:val="bottom"/>
            <w:hideMark/>
          </w:tcPr>
          <w:p w14:paraId="4B7E1E4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6.10%</w:t>
            </w:r>
          </w:p>
        </w:tc>
        <w:tc>
          <w:tcPr>
            <w:tcW w:w="960" w:type="dxa"/>
            <w:tcBorders>
              <w:top w:val="nil"/>
              <w:left w:val="nil"/>
              <w:bottom w:val="single" w:sz="4" w:space="0" w:color="auto"/>
              <w:right w:val="single" w:sz="4" w:space="0" w:color="auto"/>
            </w:tcBorders>
            <w:shd w:val="clear" w:color="auto" w:fill="auto"/>
            <w:noWrap/>
            <w:vAlign w:val="bottom"/>
            <w:hideMark/>
          </w:tcPr>
          <w:p w14:paraId="405B90D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4.85%</w:t>
            </w:r>
          </w:p>
        </w:tc>
        <w:tc>
          <w:tcPr>
            <w:tcW w:w="980" w:type="dxa"/>
            <w:tcBorders>
              <w:top w:val="nil"/>
              <w:left w:val="nil"/>
              <w:bottom w:val="single" w:sz="4" w:space="0" w:color="auto"/>
              <w:right w:val="single" w:sz="4" w:space="0" w:color="auto"/>
            </w:tcBorders>
            <w:shd w:val="clear" w:color="auto" w:fill="auto"/>
            <w:noWrap/>
            <w:vAlign w:val="bottom"/>
            <w:hideMark/>
          </w:tcPr>
          <w:p w14:paraId="13D11B52"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1.15%</w:t>
            </w:r>
          </w:p>
        </w:tc>
      </w:tr>
      <w:tr w:rsidR="00F20114" w:rsidRPr="00934350" w14:paraId="0E649933"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ECA7362"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PYRENEES(S)</w:t>
            </w:r>
          </w:p>
        </w:tc>
        <w:tc>
          <w:tcPr>
            <w:tcW w:w="960" w:type="dxa"/>
            <w:tcBorders>
              <w:top w:val="nil"/>
              <w:left w:val="nil"/>
              <w:bottom w:val="single" w:sz="4" w:space="0" w:color="auto"/>
              <w:right w:val="single" w:sz="4" w:space="0" w:color="auto"/>
            </w:tcBorders>
            <w:shd w:val="clear" w:color="auto" w:fill="auto"/>
            <w:noWrap/>
            <w:vAlign w:val="bottom"/>
            <w:hideMark/>
          </w:tcPr>
          <w:p w14:paraId="77B94AF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3.88%</w:t>
            </w:r>
          </w:p>
        </w:tc>
        <w:tc>
          <w:tcPr>
            <w:tcW w:w="1220" w:type="dxa"/>
            <w:tcBorders>
              <w:top w:val="nil"/>
              <w:left w:val="nil"/>
              <w:bottom w:val="single" w:sz="4" w:space="0" w:color="auto"/>
              <w:right w:val="single" w:sz="4" w:space="0" w:color="auto"/>
            </w:tcBorders>
            <w:shd w:val="clear" w:color="auto" w:fill="auto"/>
            <w:noWrap/>
            <w:vAlign w:val="bottom"/>
            <w:hideMark/>
          </w:tcPr>
          <w:p w14:paraId="1A7DFA2B"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2.6%</w:t>
            </w:r>
          </w:p>
        </w:tc>
        <w:tc>
          <w:tcPr>
            <w:tcW w:w="960" w:type="dxa"/>
            <w:tcBorders>
              <w:top w:val="nil"/>
              <w:left w:val="nil"/>
              <w:bottom w:val="single" w:sz="4" w:space="0" w:color="auto"/>
              <w:right w:val="single" w:sz="4" w:space="0" w:color="auto"/>
            </w:tcBorders>
            <w:shd w:val="clear" w:color="auto" w:fill="auto"/>
            <w:noWrap/>
            <w:vAlign w:val="bottom"/>
            <w:hideMark/>
          </w:tcPr>
          <w:p w14:paraId="6DF2F0A7"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3.4%</w:t>
            </w:r>
          </w:p>
        </w:tc>
        <w:tc>
          <w:tcPr>
            <w:tcW w:w="960" w:type="dxa"/>
            <w:tcBorders>
              <w:top w:val="nil"/>
              <w:left w:val="nil"/>
              <w:bottom w:val="single" w:sz="4" w:space="0" w:color="auto"/>
              <w:right w:val="single" w:sz="4" w:space="0" w:color="auto"/>
            </w:tcBorders>
            <w:shd w:val="clear" w:color="auto" w:fill="auto"/>
            <w:noWrap/>
            <w:vAlign w:val="bottom"/>
            <w:hideMark/>
          </w:tcPr>
          <w:p w14:paraId="1C0716E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4.66%</w:t>
            </w:r>
          </w:p>
        </w:tc>
        <w:tc>
          <w:tcPr>
            <w:tcW w:w="960" w:type="dxa"/>
            <w:tcBorders>
              <w:top w:val="nil"/>
              <w:left w:val="nil"/>
              <w:bottom w:val="single" w:sz="4" w:space="0" w:color="auto"/>
              <w:right w:val="single" w:sz="4" w:space="0" w:color="auto"/>
            </w:tcBorders>
            <w:shd w:val="clear" w:color="auto" w:fill="auto"/>
            <w:noWrap/>
            <w:vAlign w:val="bottom"/>
            <w:hideMark/>
          </w:tcPr>
          <w:p w14:paraId="570571E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2.67%</w:t>
            </w:r>
          </w:p>
        </w:tc>
        <w:tc>
          <w:tcPr>
            <w:tcW w:w="960" w:type="dxa"/>
            <w:tcBorders>
              <w:top w:val="nil"/>
              <w:left w:val="nil"/>
              <w:bottom w:val="single" w:sz="4" w:space="0" w:color="auto"/>
              <w:right w:val="single" w:sz="4" w:space="0" w:color="auto"/>
            </w:tcBorders>
            <w:shd w:val="clear" w:color="auto" w:fill="auto"/>
            <w:noWrap/>
            <w:vAlign w:val="bottom"/>
            <w:hideMark/>
          </w:tcPr>
          <w:p w14:paraId="06EFA5A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2.87%</w:t>
            </w:r>
          </w:p>
        </w:tc>
        <w:tc>
          <w:tcPr>
            <w:tcW w:w="980" w:type="dxa"/>
            <w:tcBorders>
              <w:top w:val="nil"/>
              <w:left w:val="nil"/>
              <w:bottom w:val="single" w:sz="4" w:space="0" w:color="auto"/>
              <w:right w:val="single" w:sz="4" w:space="0" w:color="auto"/>
            </w:tcBorders>
            <w:shd w:val="clear" w:color="auto" w:fill="auto"/>
            <w:noWrap/>
            <w:vAlign w:val="bottom"/>
            <w:hideMark/>
          </w:tcPr>
          <w:p w14:paraId="32B2BF6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0.00%</w:t>
            </w:r>
          </w:p>
        </w:tc>
      </w:tr>
      <w:tr w:rsidR="00F20114" w:rsidRPr="00934350" w14:paraId="2B3747E3"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455EC67"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QUEENSCLIFFE(B)</w:t>
            </w:r>
          </w:p>
        </w:tc>
        <w:tc>
          <w:tcPr>
            <w:tcW w:w="960" w:type="dxa"/>
            <w:tcBorders>
              <w:top w:val="nil"/>
              <w:left w:val="nil"/>
              <w:bottom w:val="single" w:sz="4" w:space="0" w:color="auto"/>
              <w:right w:val="single" w:sz="4" w:space="0" w:color="auto"/>
            </w:tcBorders>
            <w:shd w:val="clear" w:color="auto" w:fill="auto"/>
            <w:noWrap/>
            <w:vAlign w:val="bottom"/>
            <w:hideMark/>
          </w:tcPr>
          <w:p w14:paraId="2F5B1212"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4.50%</w:t>
            </w:r>
          </w:p>
        </w:tc>
        <w:tc>
          <w:tcPr>
            <w:tcW w:w="1220" w:type="dxa"/>
            <w:tcBorders>
              <w:top w:val="nil"/>
              <w:left w:val="nil"/>
              <w:bottom w:val="single" w:sz="4" w:space="0" w:color="auto"/>
              <w:right w:val="single" w:sz="4" w:space="0" w:color="auto"/>
            </w:tcBorders>
            <w:shd w:val="clear" w:color="auto" w:fill="auto"/>
            <w:noWrap/>
            <w:vAlign w:val="bottom"/>
            <w:hideMark/>
          </w:tcPr>
          <w:p w14:paraId="53D1108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3.7%</w:t>
            </w:r>
          </w:p>
        </w:tc>
        <w:tc>
          <w:tcPr>
            <w:tcW w:w="960" w:type="dxa"/>
            <w:tcBorders>
              <w:top w:val="nil"/>
              <w:left w:val="nil"/>
              <w:bottom w:val="single" w:sz="4" w:space="0" w:color="auto"/>
              <w:right w:val="single" w:sz="4" w:space="0" w:color="auto"/>
            </w:tcBorders>
            <w:shd w:val="clear" w:color="auto" w:fill="auto"/>
            <w:noWrap/>
            <w:vAlign w:val="bottom"/>
            <w:hideMark/>
          </w:tcPr>
          <w:p w14:paraId="1674230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3.3%</w:t>
            </w:r>
          </w:p>
        </w:tc>
        <w:tc>
          <w:tcPr>
            <w:tcW w:w="960" w:type="dxa"/>
            <w:tcBorders>
              <w:top w:val="nil"/>
              <w:left w:val="nil"/>
              <w:bottom w:val="single" w:sz="4" w:space="0" w:color="auto"/>
              <w:right w:val="single" w:sz="4" w:space="0" w:color="auto"/>
            </w:tcBorders>
            <w:shd w:val="clear" w:color="auto" w:fill="auto"/>
            <w:noWrap/>
            <w:vAlign w:val="bottom"/>
            <w:hideMark/>
          </w:tcPr>
          <w:p w14:paraId="006F789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3.55%</w:t>
            </w:r>
          </w:p>
        </w:tc>
        <w:tc>
          <w:tcPr>
            <w:tcW w:w="960" w:type="dxa"/>
            <w:tcBorders>
              <w:top w:val="nil"/>
              <w:left w:val="nil"/>
              <w:bottom w:val="single" w:sz="4" w:space="0" w:color="auto"/>
              <w:right w:val="single" w:sz="4" w:space="0" w:color="auto"/>
            </w:tcBorders>
            <w:shd w:val="clear" w:color="auto" w:fill="auto"/>
            <w:noWrap/>
            <w:vAlign w:val="bottom"/>
            <w:hideMark/>
          </w:tcPr>
          <w:p w14:paraId="4F7103A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2.85%</w:t>
            </w:r>
          </w:p>
        </w:tc>
        <w:tc>
          <w:tcPr>
            <w:tcW w:w="960" w:type="dxa"/>
            <w:tcBorders>
              <w:top w:val="nil"/>
              <w:left w:val="nil"/>
              <w:bottom w:val="single" w:sz="4" w:space="0" w:color="auto"/>
              <w:right w:val="single" w:sz="4" w:space="0" w:color="auto"/>
            </w:tcBorders>
            <w:shd w:val="clear" w:color="auto" w:fill="auto"/>
            <w:noWrap/>
            <w:vAlign w:val="bottom"/>
            <w:hideMark/>
          </w:tcPr>
          <w:p w14:paraId="3DA6FC1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3.16%</w:t>
            </w:r>
          </w:p>
        </w:tc>
        <w:tc>
          <w:tcPr>
            <w:tcW w:w="980" w:type="dxa"/>
            <w:tcBorders>
              <w:top w:val="nil"/>
              <w:left w:val="nil"/>
              <w:bottom w:val="single" w:sz="4" w:space="0" w:color="auto"/>
              <w:right w:val="single" w:sz="4" w:space="0" w:color="auto"/>
            </w:tcBorders>
            <w:shd w:val="clear" w:color="auto" w:fill="auto"/>
            <w:noWrap/>
            <w:vAlign w:val="bottom"/>
            <w:hideMark/>
          </w:tcPr>
          <w:p w14:paraId="4A22919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0.12%</w:t>
            </w:r>
          </w:p>
        </w:tc>
      </w:tr>
      <w:tr w:rsidR="00F20114" w:rsidRPr="00934350" w14:paraId="2948D2D1"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2CD8BA3"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SOUTH GIPPSLAND(S)</w:t>
            </w:r>
          </w:p>
        </w:tc>
        <w:tc>
          <w:tcPr>
            <w:tcW w:w="960" w:type="dxa"/>
            <w:tcBorders>
              <w:top w:val="nil"/>
              <w:left w:val="nil"/>
              <w:bottom w:val="single" w:sz="4" w:space="0" w:color="auto"/>
              <w:right w:val="single" w:sz="4" w:space="0" w:color="auto"/>
            </w:tcBorders>
            <w:shd w:val="clear" w:color="auto" w:fill="auto"/>
            <w:noWrap/>
            <w:vAlign w:val="bottom"/>
            <w:hideMark/>
          </w:tcPr>
          <w:p w14:paraId="22729A3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4.44%</w:t>
            </w:r>
          </w:p>
        </w:tc>
        <w:tc>
          <w:tcPr>
            <w:tcW w:w="1220" w:type="dxa"/>
            <w:tcBorders>
              <w:top w:val="nil"/>
              <w:left w:val="nil"/>
              <w:bottom w:val="single" w:sz="4" w:space="0" w:color="auto"/>
              <w:right w:val="single" w:sz="4" w:space="0" w:color="auto"/>
            </w:tcBorders>
            <w:shd w:val="clear" w:color="auto" w:fill="auto"/>
            <w:noWrap/>
            <w:vAlign w:val="bottom"/>
            <w:hideMark/>
          </w:tcPr>
          <w:p w14:paraId="2193446B"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3.3%</w:t>
            </w:r>
          </w:p>
        </w:tc>
        <w:tc>
          <w:tcPr>
            <w:tcW w:w="960" w:type="dxa"/>
            <w:tcBorders>
              <w:top w:val="nil"/>
              <w:left w:val="nil"/>
              <w:bottom w:val="single" w:sz="4" w:space="0" w:color="auto"/>
              <w:right w:val="single" w:sz="4" w:space="0" w:color="auto"/>
            </w:tcBorders>
            <w:shd w:val="clear" w:color="auto" w:fill="auto"/>
            <w:noWrap/>
            <w:vAlign w:val="bottom"/>
            <w:hideMark/>
          </w:tcPr>
          <w:p w14:paraId="29B480D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w:t>
            </w:r>
          </w:p>
        </w:tc>
        <w:tc>
          <w:tcPr>
            <w:tcW w:w="960" w:type="dxa"/>
            <w:tcBorders>
              <w:top w:val="nil"/>
              <w:left w:val="nil"/>
              <w:bottom w:val="single" w:sz="4" w:space="0" w:color="auto"/>
              <w:right w:val="single" w:sz="4" w:space="0" w:color="auto"/>
            </w:tcBorders>
            <w:shd w:val="clear" w:color="auto" w:fill="auto"/>
            <w:noWrap/>
            <w:vAlign w:val="bottom"/>
            <w:hideMark/>
          </w:tcPr>
          <w:p w14:paraId="0CBF3B8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4.10%</w:t>
            </w:r>
          </w:p>
        </w:tc>
        <w:tc>
          <w:tcPr>
            <w:tcW w:w="960" w:type="dxa"/>
            <w:tcBorders>
              <w:top w:val="nil"/>
              <w:left w:val="nil"/>
              <w:bottom w:val="single" w:sz="4" w:space="0" w:color="auto"/>
              <w:right w:val="single" w:sz="4" w:space="0" w:color="auto"/>
            </w:tcBorders>
            <w:shd w:val="clear" w:color="auto" w:fill="auto"/>
            <w:noWrap/>
            <w:vAlign w:val="bottom"/>
            <w:hideMark/>
          </w:tcPr>
          <w:p w14:paraId="1F5C77B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3.48%</w:t>
            </w:r>
          </w:p>
        </w:tc>
        <w:tc>
          <w:tcPr>
            <w:tcW w:w="960" w:type="dxa"/>
            <w:tcBorders>
              <w:top w:val="nil"/>
              <w:left w:val="nil"/>
              <w:bottom w:val="single" w:sz="4" w:space="0" w:color="auto"/>
              <w:right w:val="single" w:sz="4" w:space="0" w:color="auto"/>
            </w:tcBorders>
            <w:shd w:val="clear" w:color="auto" w:fill="auto"/>
            <w:noWrap/>
            <w:vAlign w:val="bottom"/>
            <w:hideMark/>
          </w:tcPr>
          <w:p w14:paraId="3968E1F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2.79%</w:t>
            </w:r>
          </w:p>
        </w:tc>
        <w:tc>
          <w:tcPr>
            <w:tcW w:w="980" w:type="dxa"/>
            <w:tcBorders>
              <w:top w:val="nil"/>
              <w:left w:val="nil"/>
              <w:bottom w:val="single" w:sz="4" w:space="0" w:color="auto"/>
              <w:right w:val="single" w:sz="4" w:space="0" w:color="auto"/>
            </w:tcBorders>
            <w:shd w:val="clear" w:color="auto" w:fill="auto"/>
            <w:noWrap/>
            <w:vAlign w:val="bottom"/>
            <w:hideMark/>
          </w:tcPr>
          <w:p w14:paraId="07B0EB8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0.75%</w:t>
            </w:r>
          </w:p>
        </w:tc>
      </w:tr>
      <w:tr w:rsidR="00F20114" w:rsidRPr="00934350" w14:paraId="0A581860"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9CC72EA"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SOUTHERN GRAMPIANS(S)</w:t>
            </w:r>
          </w:p>
        </w:tc>
        <w:tc>
          <w:tcPr>
            <w:tcW w:w="960" w:type="dxa"/>
            <w:tcBorders>
              <w:top w:val="nil"/>
              <w:left w:val="nil"/>
              <w:bottom w:val="single" w:sz="4" w:space="0" w:color="auto"/>
              <w:right w:val="single" w:sz="4" w:space="0" w:color="auto"/>
            </w:tcBorders>
            <w:shd w:val="clear" w:color="auto" w:fill="auto"/>
            <w:noWrap/>
            <w:vAlign w:val="bottom"/>
            <w:hideMark/>
          </w:tcPr>
          <w:p w14:paraId="636176C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4.62%</w:t>
            </w:r>
          </w:p>
        </w:tc>
        <w:tc>
          <w:tcPr>
            <w:tcW w:w="1220" w:type="dxa"/>
            <w:tcBorders>
              <w:top w:val="nil"/>
              <w:left w:val="nil"/>
              <w:bottom w:val="single" w:sz="4" w:space="0" w:color="auto"/>
              <w:right w:val="single" w:sz="4" w:space="0" w:color="auto"/>
            </w:tcBorders>
            <w:shd w:val="clear" w:color="auto" w:fill="auto"/>
            <w:noWrap/>
            <w:vAlign w:val="bottom"/>
            <w:hideMark/>
          </w:tcPr>
          <w:p w14:paraId="2D16FFE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3.2%</w:t>
            </w:r>
          </w:p>
        </w:tc>
        <w:tc>
          <w:tcPr>
            <w:tcW w:w="960" w:type="dxa"/>
            <w:tcBorders>
              <w:top w:val="nil"/>
              <w:left w:val="nil"/>
              <w:bottom w:val="single" w:sz="4" w:space="0" w:color="auto"/>
              <w:right w:val="single" w:sz="4" w:space="0" w:color="auto"/>
            </w:tcBorders>
            <w:shd w:val="clear" w:color="auto" w:fill="auto"/>
            <w:noWrap/>
            <w:vAlign w:val="bottom"/>
            <w:hideMark/>
          </w:tcPr>
          <w:p w14:paraId="6664C0B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4.4%</w:t>
            </w:r>
          </w:p>
        </w:tc>
        <w:tc>
          <w:tcPr>
            <w:tcW w:w="960" w:type="dxa"/>
            <w:tcBorders>
              <w:top w:val="nil"/>
              <w:left w:val="nil"/>
              <w:bottom w:val="single" w:sz="4" w:space="0" w:color="auto"/>
              <w:right w:val="single" w:sz="4" w:space="0" w:color="auto"/>
            </w:tcBorders>
            <w:shd w:val="clear" w:color="auto" w:fill="auto"/>
            <w:noWrap/>
            <w:vAlign w:val="bottom"/>
            <w:hideMark/>
          </w:tcPr>
          <w:p w14:paraId="424257B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3.49%</w:t>
            </w:r>
          </w:p>
        </w:tc>
        <w:tc>
          <w:tcPr>
            <w:tcW w:w="960" w:type="dxa"/>
            <w:tcBorders>
              <w:top w:val="nil"/>
              <w:left w:val="nil"/>
              <w:bottom w:val="single" w:sz="4" w:space="0" w:color="auto"/>
              <w:right w:val="single" w:sz="4" w:space="0" w:color="auto"/>
            </w:tcBorders>
            <w:shd w:val="clear" w:color="auto" w:fill="auto"/>
            <w:noWrap/>
            <w:vAlign w:val="bottom"/>
            <w:hideMark/>
          </w:tcPr>
          <w:p w14:paraId="062AFD04"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2.92%</w:t>
            </w:r>
          </w:p>
        </w:tc>
        <w:tc>
          <w:tcPr>
            <w:tcW w:w="960" w:type="dxa"/>
            <w:tcBorders>
              <w:top w:val="nil"/>
              <w:left w:val="nil"/>
              <w:bottom w:val="single" w:sz="4" w:space="0" w:color="auto"/>
              <w:right w:val="single" w:sz="4" w:space="0" w:color="auto"/>
            </w:tcBorders>
            <w:shd w:val="clear" w:color="auto" w:fill="auto"/>
            <w:noWrap/>
            <w:vAlign w:val="bottom"/>
            <w:hideMark/>
          </w:tcPr>
          <w:p w14:paraId="3A394284"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2.79%</w:t>
            </w:r>
          </w:p>
        </w:tc>
        <w:tc>
          <w:tcPr>
            <w:tcW w:w="980" w:type="dxa"/>
            <w:tcBorders>
              <w:top w:val="nil"/>
              <w:left w:val="nil"/>
              <w:bottom w:val="single" w:sz="4" w:space="0" w:color="auto"/>
              <w:right w:val="single" w:sz="4" w:space="0" w:color="auto"/>
            </w:tcBorders>
            <w:shd w:val="clear" w:color="auto" w:fill="auto"/>
            <w:noWrap/>
            <w:vAlign w:val="bottom"/>
            <w:hideMark/>
          </w:tcPr>
          <w:p w14:paraId="41B9A76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-0.28%</w:t>
            </w:r>
          </w:p>
        </w:tc>
      </w:tr>
      <w:tr w:rsidR="00F20114" w:rsidRPr="00934350" w14:paraId="55598634"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0ABDB50"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STONNINGTON(C)</w:t>
            </w:r>
          </w:p>
        </w:tc>
        <w:tc>
          <w:tcPr>
            <w:tcW w:w="960" w:type="dxa"/>
            <w:tcBorders>
              <w:top w:val="nil"/>
              <w:left w:val="nil"/>
              <w:bottom w:val="single" w:sz="4" w:space="0" w:color="auto"/>
              <w:right w:val="single" w:sz="4" w:space="0" w:color="auto"/>
            </w:tcBorders>
            <w:shd w:val="clear" w:color="auto" w:fill="auto"/>
            <w:noWrap/>
            <w:vAlign w:val="bottom"/>
            <w:hideMark/>
          </w:tcPr>
          <w:p w14:paraId="0C096DF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4.03%</w:t>
            </w:r>
          </w:p>
        </w:tc>
        <w:tc>
          <w:tcPr>
            <w:tcW w:w="1220" w:type="dxa"/>
            <w:tcBorders>
              <w:top w:val="nil"/>
              <w:left w:val="nil"/>
              <w:bottom w:val="single" w:sz="4" w:space="0" w:color="auto"/>
              <w:right w:val="single" w:sz="4" w:space="0" w:color="auto"/>
            </w:tcBorders>
            <w:shd w:val="clear" w:color="auto" w:fill="auto"/>
            <w:noWrap/>
            <w:vAlign w:val="bottom"/>
            <w:hideMark/>
          </w:tcPr>
          <w:p w14:paraId="60CD92B2"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w:t>
            </w:r>
          </w:p>
        </w:tc>
        <w:tc>
          <w:tcPr>
            <w:tcW w:w="960" w:type="dxa"/>
            <w:tcBorders>
              <w:top w:val="nil"/>
              <w:left w:val="nil"/>
              <w:bottom w:val="single" w:sz="4" w:space="0" w:color="auto"/>
              <w:right w:val="single" w:sz="4" w:space="0" w:color="auto"/>
            </w:tcBorders>
            <w:shd w:val="clear" w:color="auto" w:fill="auto"/>
            <w:noWrap/>
            <w:vAlign w:val="bottom"/>
            <w:hideMark/>
          </w:tcPr>
          <w:p w14:paraId="4981A64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3.8%</w:t>
            </w:r>
          </w:p>
        </w:tc>
        <w:tc>
          <w:tcPr>
            <w:tcW w:w="960" w:type="dxa"/>
            <w:tcBorders>
              <w:top w:val="nil"/>
              <w:left w:val="nil"/>
              <w:bottom w:val="single" w:sz="4" w:space="0" w:color="auto"/>
              <w:right w:val="single" w:sz="4" w:space="0" w:color="auto"/>
            </w:tcBorders>
            <w:shd w:val="clear" w:color="auto" w:fill="auto"/>
            <w:noWrap/>
            <w:vAlign w:val="bottom"/>
            <w:hideMark/>
          </w:tcPr>
          <w:p w14:paraId="0DD5F0E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5.93%</w:t>
            </w:r>
          </w:p>
        </w:tc>
        <w:tc>
          <w:tcPr>
            <w:tcW w:w="960" w:type="dxa"/>
            <w:tcBorders>
              <w:top w:val="nil"/>
              <w:left w:val="nil"/>
              <w:bottom w:val="single" w:sz="4" w:space="0" w:color="auto"/>
              <w:right w:val="single" w:sz="4" w:space="0" w:color="auto"/>
            </w:tcBorders>
            <w:shd w:val="clear" w:color="auto" w:fill="auto"/>
            <w:noWrap/>
            <w:vAlign w:val="bottom"/>
            <w:hideMark/>
          </w:tcPr>
          <w:p w14:paraId="63879D57"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4.01%</w:t>
            </w:r>
          </w:p>
        </w:tc>
        <w:tc>
          <w:tcPr>
            <w:tcW w:w="960" w:type="dxa"/>
            <w:tcBorders>
              <w:top w:val="nil"/>
              <w:left w:val="nil"/>
              <w:bottom w:val="single" w:sz="4" w:space="0" w:color="auto"/>
              <w:right w:val="single" w:sz="4" w:space="0" w:color="auto"/>
            </w:tcBorders>
            <w:shd w:val="clear" w:color="auto" w:fill="auto"/>
            <w:noWrap/>
            <w:vAlign w:val="bottom"/>
            <w:hideMark/>
          </w:tcPr>
          <w:p w14:paraId="64AC011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4.76%</w:t>
            </w:r>
          </w:p>
        </w:tc>
        <w:tc>
          <w:tcPr>
            <w:tcW w:w="980" w:type="dxa"/>
            <w:tcBorders>
              <w:top w:val="nil"/>
              <w:left w:val="nil"/>
              <w:bottom w:val="single" w:sz="4" w:space="0" w:color="auto"/>
              <w:right w:val="single" w:sz="4" w:space="0" w:color="auto"/>
            </w:tcBorders>
            <w:shd w:val="clear" w:color="auto" w:fill="auto"/>
            <w:noWrap/>
            <w:vAlign w:val="bottom"/>
            <w:hideMark/>
          </w:tcPr>
          <w:p w14:paraId="35B3FF6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1.20%</w:t>
            </w:r>
          </w:p>
        </w:tc>
      </w:tr>
      <w:tr w:rsidR="00F20114" w:rsidRPr="00934350" w14:paraId="023E0179"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67E61CA"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STRATHBOGIE(S)</w:t>
            </w:r>
          </w:p>
        </w:tc>
        <w:tc>
          <w:tcPr>
            <w:tcW w:w="960" w:type="dxa"/>
            <w:tcBorders>
              <w:top w:val="nil"/>
              <w:left w:val="nil"/>
              <w:bottom w:val="single" w:sz="4" w:space="0" w:color="auto"/>
              <w:right w:val="single" w:sz="4" w:space="0" w:color="auto"/>
            </w:tcBorders>
            <w:shd w:val="clear" w:color="auto" w:fill="auto"/>
            <w:noWrap/>
            <w:vAlign w:val="bottom"/>
            <w:hideMark/>
          </w:tcPr>
          <w:p w14:paraId="197A679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3.90%</w:t>
            </w:r>
          </w:p>
        </w:tc>
        <w:tc>
          <w:tcPr>
            <w:tcW w:w="1220" w:type="dxa"/>
            <w:tcBorders>
              <w:top w:val="nil"/>
              <w:left w:val="nil"/>
              <w:bottom w:val="single" w:sz="4" w:space="0" w:color="auto"/>
              <w:right w:val="single" w:sz="4" w:space="0" w:color="auto"/>
            </w:tcBorders>
            <w:shd w:val="clear" w:color="auto" w:fill="auto"/>
            <w:noWrap/>
            <w:vAlign w:val="bottom"/>
            <w:hideMark/>
          </w:tcPr>
          <w:p w14:paraId="07E5B4B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3.7%</w:t>
            </w:r>
          </w:p>
        </w:tc>
        <w:tc>
          <w:tcPr>
            <w:tcW w:w="960" w:type="dxa"/>
            <w:tcBorders>
              <w:top w:val="nil"/>
              <w:left w:val="nil"/>
              <w:bottom w:val="single" w:sz="4" w:space="0" w:color="auto"/>
              <w:right w:val="single" w:sz="4" w:space="0" w:color="auto"/>
            </w:tcBorders>
            <w:shd w:val="clear" w:color="auto" w:fill="auto"/>
            <w:noWrap/>
            <w:vAlign w:val="bottom"/>
            <w:hideMark/>
          </w:tcPr>
          <w:p w14:paraId="1252EA0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3.5%</w:t>
            </w:r>
          </w:p>
        </w:tc>
        <w:tc>
          <w:tcPr>
            <w:tcW w:w="960" w:type="dxa"/>
            <w:tcBorders>
              <w:top w:val="nil"/>
              <w:left w:val="nil"/>
              <w:bottom w:val="single" w:sz="4" w:space="0" w:color="auto"/>
              <w:right w:val="single" w:sz="4" w:space="0" w:color="auto"/>
            </w:tcBorders>
            <w:shd w:val="clear" w:color="auto" w:fill="auto"/>
            <w:noWrap/>
            <w:vAlign w:val="bottom"/>
            <w:hideMark/>
          </w:tcPr>
          <w:p w14:paraId="11E82F8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5.37%</w:t>
            </w:r>
          </w:p>
        </w:tc>
        <w:tc>
          <w:tcPr>
            <w:tcW w:w="960" w:type="dxa"/>
            <w:tcBorders>
              <w:top w:val="nil"/>
              <w:left w:val="nil"/>
              <w:bottom w:val="single" w:sz="4" w:space="0" w:color="auto"/>
              <w:right w:val="single" w:sz="4" w:space="0" w:color="auto"/>
            </w:tcBorders>
            <w:shd w:val="clear" w:color="auto" w:fill="auto"/>
            <w:noWrap/>
            <w:vAlign w:val="bottom"/>
            <w:hideMark/>
          </w:tcPr>
          <w:p w14:paraId="1374685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3.59%</w:t>
            </w:r>
          </w:p>
        </w:tc>
        <w:tc>
          <w:tcPr>
            <w:tcW w:w="960" w:type="dxa"/>
            <w:tcBorders>
              <w:top w:val="nil"/>
              <w:left w:val="nil"/>
              <w:bottom w:val="single" w:sz="4" w:space="0" w:color="auto"/>
              <w:right w:val="single" w:sz="4" w:space="0" w:color="auto"/>
            </w:tcBorders>
            <w:shd w:val="clear" w:color="auto" w:fill="auto"/>
            <w:noWrap/>
            <w:vAlign w:val="bottom"/>
            <w:hideMark/>
          </w:tcPr>
          <w:p w14:paraId="73D2EB8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2.82%</w:t>
            </w:r>
          </w:p>
        </w:tc>
        <w:tc>
          <w:tcPr>
            <w:tcW w:w="980" w:type="dxa"/>
            <w:tcBorders>
              <w:top w:val="nil"/>
              <w:left w:val="nil"/>
              <w:bottom w:val="single" w:sz="4" w:space="0" w:color="auto"/>
              <w:right w:val="single" w:sz="4" w:space="0" w:color="auto"/>
            </w:tcBorders>
            <w:shd w:val="clear" w:color="auto" w:fill="auto"/>
            <w:noWrap/>
            <w:vAlign w:val="bottom"/>
            <w:hideMark/>
          </w:tcPr>
          <w:p w14:paraId="7DA3714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0.14%</w:t>
            </w:r>
          </w:p>
        </w:tc>
      </w:tr>
      <w:tr w:rsidR="00F20114" w:rsidRPr="00934350" w14:paraId="2AE954FF"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FCB2D7D"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SURF COAST(S)</w:t>
            </w:r>
          </w:p>
        </w:tc>
        <w:tc>
          <w:tcPr>
            <w:tcW w:w="960" w:type="dxa"/>
            <w:tcBorders>
              <w:top w:val="nil"/>
              <w:left w:val="nil"/>
              <w:bottom w:val="single" w:sz="4" w:space="0" w:color="auto"/>
              <w:right w:val="single" w:sz="4" w:space="0" w:color="auto"/>
            </w:tcBorders>
            <w:shd w:val="clear" w:color="auto" w:fill="auto"/>
            <w:noWrap/>
            <w:vAlign w:val="bottom"/>
            <w:hideMark/>
          </w:tcPr>
          <w:p w14:paraId="509CE68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6.48%</w:t>
            </w:r>
          </w:p>
        </w:tc>
        <w:tc>
          <w:tcPr>
            <w:tcW w:w="1220" w:type="dxa"/>
            <w:tcBorders>
              <w:top w:val="nil"/>
              <w:left w:val="nil"/>
              <w:bottom w:val="single" w:sz="4" w:space="0" w:color="auto"/>
              <w:right w:val="single" w:sz="4" w:space="0" w:color="auto"/>
            </w:tcBorders>
            <w:shd w:val="clear" w:color="auto" w:fill="auto"/>
            <w:noWrap/>
            <w:vAlign w:val="bottom"/>
            <w:hideMark/>
          </w:tcPr>
          <w:p w14:paraId="2E44E33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4.6%</w:t>
            </w:r>
          </w:p>
        </w:tc>
        <w:tc>
          <w:tcPr>
            <w:tcW w:w="960" w:type="dxa"/>
            <w:tcBorders>
              <w:top w:val="nil"/>
              <w:left w:val="nil"/>
              <w:bottom w:val="single" w:sz="4" w:space="0" w:color="auto"/>
              <w:right w:val="single" w:sz="4" w:space="0" w:color="auto"/>
            </w:tcBorders>
            <w:shd w:val="clear" w:color="auto" w:fill="auto"/>
            <w:noWrap/>
            <w:vAlign w:val="bottom"/>
            <w:hideMark/>
          </w:tcPr>
          <w:p w14:paraId="23CEBAA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5.3%</w:t>
            </w:r>
          </w:p>
        </w:tc>
        <w:tc>
          <w:tcPr>
            <w:tcW w:w="960" w:type="dxa"/>
            <w:tcBorders>
              <w:top w:val="nil"/>
              <w:left w:val="nil"/>
              <w:bottom w:val="single" w:sz="4" w:space="0" w:color="auto"/>
              <w:right w:val="single" w:sz="4" w:space="0" w:color="auto"/>
            </w:tcBorders>
            <w:shd w:val="clear" w:color="auto" w:fill="auto"/>
            <w:noWrap/>
            <w:vAlign w:val="bottom"/>
            <w:hideMark/>
          </w:tcPr>
          <w:p w14:paraId="4CDC9A6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4.24%</w:t>
            </w:r>
          </w:p>
        </w:tc>
        <w:tc>
          <w:tcPr>
            <w:tcW w:w="960" w:type="dxa"/>
            <w:tcBorders>
              <w:top w:val="nil"/>
              <w:left w:val="nil"/>
              <w:bottom w:val="single" w:sz="4" w:space="0" w:color="auto"/>
              <w:right w:val="single" w:sz="4" w:space="0" w:color="auto"/>
            </w:tcBorders>
            <w:shd w:val="clear" w:color="auto" w:fill="auto"/>
            <w:noWrap/>
            <w:vAlign w:val="bottom"/>
            <w:hideMark/>
          </w:tcPr>
          <w:p w14:paraId="461C183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3.99%</w:t>
            </w:r>
          </w:p>
        </w:tc>
        <w:tc>
          <w:tcPr>
            <w:tcW w:w="960" w:type="dxa"/>
            <w:tcBorders>
              <w:top w:val="nil"/>
              <w:left w:val="nil"/>
              <w:bottom w:val="single" w:sz="4" w:space="0" w:color="auto"/>
              <w:right w:val="single" w:sz="4" w:space="0" w:color="auto"/>
            </w:tcBorders>
            <w:shd w:val="clear" w:color="auto" w:fill="auto"/>
            <w:noWrap/>
            <w:vAlign w:val="bottom"/>
            <w:hideMark/>
          </w:tcPr>
          <w:p w14:paraId="3ED8E12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2.84%</w:t>
            </w:r>
          </w:p>
        </w:tc>
        <w:tc>
          <w:tcPr>
            <w:tcW w:w="980" w:type="dxa"/>
            <w:tcBorders>
              <w:top w:val="nil"/>
              <w:left w:val="nil"/>
              <w:bottom w:val="single" w:sz="4" w:space="0" w:color="auto"/>
              <w:right w:val="single" w:sz="4" w:space="0" w:color="auto"/>
            </w:tcBorders>
            <w:shd w:val="clear" w:color="auto" w:fill="auto"/>
            <w:noWrap/>
            <w:vAlign w:val="bottom"/>
            <w:hideMark/>
          </w:tcPr>
          <w:p w14:paraId="214338D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0.63%</w:t>
            </w:r>
          </w:p>
        </w:tc>
      </w:tr>
      <w:tr w:rsidR="00F20114" w:rsidRPr="00934350" w14:paraId="6DCC5F33"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46E84E4"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SWAN HILL(RC)</w:t>
            </w:r>
          </w:p>
        </w:tc>
        <w:tc>
          <w:tcPr>
            <w:tcW w:w="960" w:type="dxa"/>
            <w:tcBorders>
              <w:top w:val="nil"/>
              <w:left w:val="nil"/>
              <w:bottom w:val="single" w:sz="4" w:space="0" w:color="auto"/>
              <w:right w:val="single" w:sz="4" w:space="0" w:color="auto"/>
            </w:tcBorders>
            <w:shd w:val="clear" w:color="auto" w:fill="auto"/>
            <w:noWrap/>
            <w:vAlign w:val="bottom"/>
            <w:hideMark/>
          </w:tcPr>
          <w:p w14:paraId="2EECF8E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4.23%</w:t>
            </w:r>
          </w:p>
        </w:tc>
        <w:tc>
          <w:tcPr>
            <w:tcW w:w="122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4152967" w14:textId="77777777" w:rsidR="00F20114" w:rsidRPr="00934350" w:rsidRDefault="00F20114" w:rsidP="00F20114">
            <w:pPr>
              <w:jc w:val="right"/>
              <w:rPr>
                <w:rFonts w:ascii="Calibri" w:hAnsi="Calibri"/>
                <w:color w:val="9C0006"/>
                <w:sz w:val="20"/>
                <w:lang w:eastAsia="en-AU"/>
              </w:rPr>
            </w:pPr>
            <w:r w:rsidRPr="00934350">
              <w:rPr>
                <w:rFonts w:ascii="Calibri" w:hAnsi="Calibri"/>
                <w:color w:val="9C0006"/>
                <w:sz w:val="20"/>
                <w:lang w:eastAsia="en-AU"/>
              </w:rPr>
              <w:t>1.9%</w:t>
            </w:r>
          </w:p>
        </w:tc>
        <w:tc>
          <w:tcPr>
            <w:tcW w:w="960" w:type="dxa"/>
            <w:tcBorders>
              <w:top w:val="nil"/>
              <w:left w:val="nil"/>
              <w:bottom w:val="single" w:sz="4" w:space="0" w:color="auto"/>
              <w:right w:val="single" w:sz="4" w:space="0" w:color="auto"/>
            </w:tcBorders>
            <w:shd w:val="clear" w:color="auto" w:fill="auto"/>
            <w:noWrap/>
            <w:vAlign w:val="bottom"/>
            <w:hideMark/>
          </w:tcPr>
          <w:p w14:paraId="4AE247C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4.9%</w:t>
            </w:r>
          </w:p>
        </w:tc>
        <w:tc>
          <w:tcPr>
            <w:tcW w:w="960" w:type="dxa"/>
            <w:tcBorders>
              <w:top w:val="nil"/>
              <w:left w:val="nil"/>
              <w:bottom w:val="single" w:sz="4" w:space="0" w:color="auto"/>
              <w:right w:val="single" w:sz="4" w:space="0" w:color="auto"/>
            </w:tcBorders>
            <w:shd w:val="clear" w:color="auto" w:fill="auto"/>
            <w:noWrap/>
            <w:vAlign w:val="bottom"/>
            <w:hideMark/>
          </w:tcPr>
          <w:p w14:paraId="65E99F8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3.60%</w:t>
            </w:r>
          </w:p>
        </w:tc>
        <w:tc>
          <w:tcPr>
            <w:tcW w:w="960" w:type="dxa"/>
            <w:tcBorders>
              <w:top w:val="nil"/>
              <w:left w:val="nil"/>
              <w:bottom w:val="single" w:sz="4" w:space="0" w:color="auto"/>
              <w:right w:val="single" w:sz="4" w:space="0" w:color="auto"/>
            </w:tcBorders>
            <w:shd w:val="clear" w:color="auto" w:fill="auto"/>
            <w:noWrap/>
            <w:vAlign w:val="bottom"/>
            <w:hideMark/>
          </w:tcPr>
          <w:p w14:paraId="4E9AA56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3.40%</w:t>
            </w:r>
          </w:p>
        </w:tc>
        <w:tc>
          <w:tcPr>
            <w:tcW w:w="960" w:type="dxa"/>
            <w:tcBorders>
              <w:top w:val="nil"/>
              <w:left w:val="nil"/>
              <w:bottom w:val="single" w:sz="4" w:space="0" w:color="auto"/>
              <w:right w:val="single" w:sz="4" w:space="0" w:color="auto"/>
            </w:tcBorders>
            <w:shd w:val="clear" w:color="auto" w:fill="auto"/>
            <w:noWrap/>
            <w:vAlign w:val="bottom"/>
            <w:hideMark/>
          </w:tcPr>
          <w:p w14:paraId="1DC8880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2.49%</w:t>
            </w:r>
          </w:p>
        </w:tc>
        <w:tc>
          <w:tcPr>
            <w:tcW w:w="980" w:type="dxa"/>
            <w:tcBorders>
              <w:top w:val="nil"/>
              <w:left w:val="nil"/>
              <w:bottom w:val="single" w:sz="4" w:space="0" w:color="auto"/>
              <w:right w:val="single" w:sz="4" w:space="0" w:color="auto"/>
            </w:tcBorders>
            <w:shd w:val="clear" w:color="auto" w:fill="auto"/>
            <w:noWrap/>
            <w:vAlign w:val="bottom"/>
            <w:hideMark/>
          </w:tcPr>
          <w:p w14:paraId="3117816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0.07%</w:t>
            </w:r>
          </w:p>
        </w:tc>
      </w:tr>
      <w:tr w:rsidR="00F20114" w:rsidRPr="00934350" w14:paraId="7E613C36"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46D215C"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TOWONG(S)</w:t>
            </w:r>
          </w:p>
        </w:tc>
        <w:tc>
          <w:tcPr>
            <w:tcW w:w="960" w:type="dxa"/>
            <w:tcBorders>
              <w:top w:val="nil"/>
              <w:left w:val="nil"/>
              <w:bottom w:val="single" w:sz="4" w:space="0" w:color="auto"/>
              <w:right w:val="single" w:sz="4" w:space="0" w:color="auto"/>
            </w:tcBorders>
            <w:shd w:val="clear" w:color="auto" w:fill="auto"/>
            <w:noWrap/>
            <w:vAlign w:val="bottom"/>
            <w:hideMark/>
          </w:tcPr>
          <w:p w14:paraId="79A5AD9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3.89%</w:t>
            </w:r>
          </w:p>
        </w:tc>
        <w:tc>
          <w:tcPr>
            <w:tcW w:w="1220" w:type="dxa"/>
            <w:tcBorders>
              <w:top w:val="nil"/>
              <w:left w:val="nil"/>
              <w:bottom w:val="single" w:sz="4" w:space="0" w:color="auto"/>
              <w:right w:val="single" w:sz="4" w:space="0" w:color="auto"/>
            </w:tcBorders>
            <w:shd w:val="clear" w:color="auto" w:fill="auto"/>
            <w:noWrap/>
            <w:vAlign w:val="bottom"/>
            <w:hideMark/>
          </w:tcPr>
          <w:p w14:paraId="6401A4F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3.1%</w:t>
            </w:r>
          </w:p>
        </w:tc>
        <w:tc>
          <w:tcPr>
            <w:tcW w:w="960" w:type="dxa"/>
            <w:tcBorders>
              <w:top w:val="nil"/>
              <w:left w:val="nil"/>
              <w:bottom w:val="single" w:sz="4" w:space="0" w:color="auto"/>
              <w:right w:val="single" w:sz="4" w:space="0" w:color="auto"/>
            </w:tcBorders>
            <w:shd w:val="clear" w:color="auto" w:fill="auto"/>
            <w:noWrap/>
            <w:vAlign w:val="bottom"/>
            <w:hideMark/>
          </w:tcPr>
          <w:p w14:paraId="2E23790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21E67901" w14:textId="77777777" w:rsidR="00F20114" w:rsidRPr="00934350" w:rsidRDefault="00F20114" w:rsidP="00F20114">
            <w:pPr>
              <w:jc w:val="right"/>
              <w:rPr>
                <w:rFonts w:ascii="Calibri" w:hAnsi="Calibri"/>
                <w:color w:val="9C0006"/>
                <w:sz w:val="20"/>
                <w:lang w:eastAsia="en-AU"/>
              </w:rPr>
            </w:pPr>
            <w:r w:rsidRPr="00934350">
              <w:rPr>
                <w:rFonts w:ascii="Calibri" w:hAnsi="Calibri"/>
                <w:color w:val="9C0006"/>
                <w:sz w:val="20"/>
                <w:lang w:eastAsia="en-AU"/>
              </w:rPr>
              <w:t>2.36%</w:t>
            </w:r>
          </w:p>
        </w:tc>
        <w:tc>
          <w:tcPr>
            <w:tcW w:w="960" w:type="dxa"/>
            <w:tcBorders>
              <w:top w:val="nil"/>
              <w:left w:val="nil"/>
              <w:bottom w:val="single" w:sz="4" w:space="0" w:color="auto"/>
              <w:right w:val="single" w:sz="4" w:space="0" w:color="auto"/>
            </w:tcBorders>
            <w:shd w:val="clear" w:color="auto" w:fill="auto"/>
            <w:noWrap/>
            <w:vAlign w:val="bottom"/>
            <w:hideMark/>
          </w:tcPr>
          <w:p w14:paraId="21BCDA1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3.77%</w:t>
            </w:r>
          </w:p>
        </w:tc>
        <w:tc>
          <w:tcPr>
            <w:tcW w:w="960" w:type="dxa"/>
            <w:tcBorders>
              <w:top w:val="nil"/>
              <w:left w:val="nil"/>
              <w:bottom w:val="single" w:sz="4" w:space="0" w:color="auto"/>
              <w:right w:val="single" w:sz="4" w:space="0" w:color="auto"/>
            </w:tcBorders>
            <w:shd w:val="clear" w:color="auto" w:fill="auto"/>
            <w:noWrap/>
            <w:vAlign w:val="bottom"/>
            <w:hideMark/>
          </w:tcPr>
          <w:p w14:paraId="65070C6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2.94%</w:t>
            </w:r>
          </w:p>
        </w:tc>
        <w:tc>
          <w:tcPr>
            <w:tcW w:w="980" w:type="dxa"/>
            <w:tcBorders>
              <w:top w:val="nil"/>
              <w:left w:val="nil"/>
              <w:bottom w:val="single" w:sz="4" w:space="0" w:color="auto"/>
              <w:right w:val="single" w:sz="4" w:space="0" w:color="auto"/>
            </w:tcBorders>
            <w:shd w:val="clear" w:color="auto" w:fill="auto"/>
            <w:noWrap/>
            <w:vAlign w:val="bottom"/>
            <w:hideMark/>
          </w:tcPr>
          <w:p w14:paraId="5A72BA4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0.00%</w:t>
            </w:r>
          </w:p>
        </w:tc>
      </w:tr>
      <w:tr w:rsidR="00F20114" w:rsidRPr="00934350" w14:paraId="1A41D2BA"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34FDE92"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WANGARATTA(RC)</w:t>
            </w:r>
          </w:p>
        </w:tc>
        <w:tc>
          <w:tcPr>
            <w:tcW w:w="960" w:type="dxa"/>
            <w:tcBorders>
              <w:top w:val="nil"/>
              <w:left w:val="nil"/>
              <w:bottom w:val="single" w:sz="4" w:space="0" w:color="auto"/>
              <w:right w:val="single" w:sz="4" w:space="0" w:color="auto"/>
            </w:tcBorders>
            <w:shd w:val="clear" w:color="auto" w:fill="auto"/>
            <w:noWrap/>
            <w:vAlign w:val="bottom"/>
            <w:hideMark/>
          </w:tcPr>
          <w:p w14:paraId="5A1A8A1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4.88%</w:t>
            </w:r>
          </w:p>
        </w:tc>
        <w:tc>
          <w:tcPr>
            <w:tcW w:w="1220" w:type="dxa"/>
            <w:tcBorders>
              <w:top w:val="nil"/>
              <w:left w:val="nil"/>
              <w:bottom w:val="single" w:sz="4" w:space="0" w:color="auto"/>
              <w:right w:val="single" w:sz="4" w:space="0" w:color="auto"/>
            </w:tcBorders>
            <w:shd w:val="clear" w:color="auto" w:fill="auto"/>
            <w:noWrap/>
            <w:vAlign w:val="bottom"/>
            <w:hideMark/>
          </w:tcPr>
          <w:p w14:paraId="4730625B"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w:t>
            </w:r>
          </w:p>
        </w:tc>
        <w:tc>
          <w:tcPr>
            <w:tcW w:w="960" w:type="dxa"/>
            <w:tcBorders>
              <w:top w:val="nil"/>
              <w:left w:val="nil"/>
              <w:bottom w:val="single" w:sz="4" w:space="0" w:color="auto"/>
              <w:right w:val="single" w:sz="4" w:space="0" w:color="auto"/>
            </w:tcBorders>
            <w:shd w:val="clear" w:color="auto" w:fill="auto"/>
            <w:noWrap/>
            <w:vAlign w:val="bottom"/>
            <w:hideMark/>
          </w:tcPr>
          <w:p w14:paraId="263A1A4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4.1%</w:t>
            </w:r>
          </w:p>
        </w:tc>
        <w:tc>
          <w:tcPr>
            <w:tcW w:w="960" w:type="dxa"/>
            <w:tcBorders>
              <w:top w:val="nil"/>
              <w:left w:val="nil"/>
              <w:bottom w:val="single" w:sz="4" w:space="0" w:color="auto"/>
              <w:right w:val="single" w:sz="4" w:space="0" w:color="auto"/>
            </w:tcBorders>
            <w:shd w:val="clear" w:color="auto" w:fill="auto"/>
            <w:noWrap/>
            <w:vAlign w:val="bottom"/>
            <w:hideMark/>
          </w:tcPr>
          <w:p w14:paraId="1E0EA16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3.92%</w:t>
            </w:r>
          </w:p>
        </w:tc>
        <w:tc>
          <w:tcPr>
            <w:tcW w:w="960" w:type="dxa"/>
            <w:tcBorders>
              <w:top w:val="nil"/>
              <w:left w:val="nil"/>
              <w:bottom w:val="single" w:sz="4" w:space="0" w:color="auto"/>
              <w:right w:val="single" w:sz="4" w:space="0" w:color="auto"/>
            </w:tcBorders>
            <w:shd w:val="clear" w:color="auto" w:fill="auto"/>
            <w:noWrap/>
            <w:vAlign w:val="bottom"/>
            <w:hideMark/>
          </w:tcPr>
          <w:p w14:paraId="3252F28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2.83%</w:t>
            </w:r>
          </w:p>
        </w:tc>
        <w:tc>
          <w:tcPr>
            <w:tcW w:w="960" w:type="dxa"/>
            <w:tcBorders>
              <w:top w:val="nil"/>
              <w:left w:val="nil"/>
              <w:bottom w:val="single" w:sz="4" w:space="0" w:color="auto"/>
              <w:right w:val="single" w:sz="4" w:space="0" w:color="auto"/>
            </w:tcBorders>
            <w:shd w:val="clear" w:color="auto" w:fill="auto"/>
            <w:noWrap/>
            <w:vAlign w:val="bottom"/>
            <w:hideMark/>
          </w:tcPr>
          <w:p w14:paraId="332F773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3.47%</w:t>
            </w:r>
          </w:p>
        </w:tc>
        <w:tc>
          <w:tcPr>
            <w:tcW w:w="980" w:type="dxa"/>
            <w:tcBorders>
              <w:top w:val="nil"/>
              <w:left w:val="nil"/>
              <w:bottom w:val="single" w:sz="4" w:space="0" w:color="auto"/>
              <w:right w:val="single" w:sz="4" w:space="0" w:color="auto"/>
            </w:tcBorders>
            <w:shd w:val="clear" w:color="auto" w:fill="auto"/>
            <w:noWrap/>
            <w:vAlign w:val="bottom"/>
            <w:hideMark/>
          </w:tcPr>
          <w:p w14:paraId="3EFD6614"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0.53%</w:t>
            </w:r>
          </w:p>
        </w:tc>
      </w:tr>
      <w:tr w:rsidR="00F20114" w:rsidRPr="00934350" w14:paraId="0BD4EFFC"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A3DEBA8"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WARRNAMBOOL(C)</w:t>
            </w:r>
          </w:p>
        </w:tc>
        <w:tc>
          <w:tcPr>
            <w:tcW w:w="960" w:type="dxa"/>
            <w:tcBorders>
              <w:top w:val="nil"/>
              <w:left w:val="nil"/>
              <w:bottom w:val="single" w:sz="4" w:space="0" w:color="auto"/>
              <w:right w:val="single" w:sz="4" w:space="0" w:color="auto"/>
            </w:tcBorders>
            <w:shd w:val="clear" w:color="auto" w:fill="auto"/>
            <w:noWrap/>
            <w:vAlign w:val="bottom"/>
            <w:hideMark/>
          </w:tcPr>
          <w:p w14:paraId="64866DD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4.68%</w:t>
            </w:r>
          </w:p>
        </w:tc>
        <w:tc>
          <w:tcPr>
            <w:tcW w:w="1220" w:type="dxa"/>
            <w:tcBorders>
              <w:top w:val="nil"/>
              <w:left w:val="nil"/>
              <w:bottom w:val="single" w:sz="4" w:space="0" w:color="auto"/>
              <w:right w:val="single" w:sz="4" w:space="0" w:color="auto"/>
            </w:tcBorders>
            <w:shd w:val="clear" w:color="auto" w:fill="auto"/>
            <w:noWrap/>
            <w:vAlign w:val="bottom"/>
            <w:hideMark/>
          </w:tcPr>
          <w:p w14:paraId="142F9FF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4.1%</w:t>
            </w:r>
          </w:p>
        </w:tc>
        <w:tc>
          <w:tcPr>
            <w:tcW w:w="960" w:type="dxa"/>
            <w:tcBorders>
              <w:top w:val="nil"/>
              <w:left w:val="nil"/>
              <w:bottom w:val="single" w:sz="4" w:space="0" w:color="auto"/>
              <w:right w:val="single" w:sz="4" w:space="0" w:color="auto"/>
            </w:tcBorders>
            <w:shd w:val="clear" w:color="auto" w:fill="auto"/>
            <w:noWrap/>
            <w:vAlign w:val="bottom"/>
            <w:hideMark/>
          </w:tcPr>
          <w:p w14:paraId="0219046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4.5%</w:t>
            </w:r>
          </w:p>
        </w:tc>
        <w:tc>
          <w:tcPr>
            <w:tcW w:w="960" w:type="dxa"/>
            <w:tcBorders>
              <w:top w:val="nil"/>
              <w:left w:val="nil"/>
              <w:bottom w:val="single" w:sz="4" w:space="0" w:color="auto"/>
              <w:right w:val="single" w:sz="4" w:space="0" w:color="auto"/>
            </w:tcBorders>
            <w:shd w:val="clear" w:color="auto" w:fill="auto"/>
            <w:noWrap/>
            <w:vAlign w:val="bottom"/>
            <w:hideMark/>
          </w:tcPr>
          <w:p w14:paraId="14C9A674"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5.05%</w:t>
            </w:r>
          </w:p>
        </w:tc>
        <w:tc>
          <w:tcPr>
            <w:tcW w:w="960" w:type="dxa"/>
            <w:tcBorders>
              <w:top w:val="nil"/>
              <w:left w:val="nil"/>
              <w:bottom w:val="single" w:sz="4" w:space="0" w:color="auto"/>
              <w:right w:val="single" w:sz="4" w:space="0" w:color="auto"/>
            </w:tcBorders>
            <w:shd w:val="clear" w:color="auto" w:fill="auto"/>
            <w:noWrap/>
            <w:vAlign w:val="bottom"/>
            <w:hideMark/>
          </w:tcPr>
          <w:p w14:paraId="17035FE0"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4.00%</w:t>
            </w:r>
          </w:p>
        </w:tc>
        <w:tc>
          <w:tcPr>
            <w:tcW w:w="960" w:type="dxa"/>
            <w:tcBorders>
              <w:top w:val="nil"/>
              <w:left w:val="nil"/>
              <w:bottom w:val="single" w:sz="4" w:space="0" w:color="auto"/>
              <w:right w:val="single" w:sz="4" w:space="0" w:color="auto"/>
            </w:tcBorders>
            <w:shd w:val="clear" w:color="auto" w:fill="auto"/>
            <w:noWrap/>
            <w:vAlign w:val="bottom"/>
            <w:hideMark/>
          </w:tcPr>
          <w:p w14:paraId="7781D38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3.02%</w:t>
            </w:r>
          </w:p>
        </w:tc>
        <w:tc>
          <w:tcPr>
            <w:tcW w:w="980" w:type="dxa"/>
            <w:tcBorders>
              <w:top w:val="nil"/>
              <w:left w:val="nil"/>
              <w:bottom w:val="single" w:sz="4" w:space="0" w:color="auto"/>
              <w:right w:val="single" w:sz="4" w:space="0" w:color="auto"/>
            </w:tcBorders>
            <w:shd w:val="clear" w:color="auto" w:fill="auto"/>
            <w:noWrap/>
            <w:vAlign w:val="bottom"/>
            <w:hideMark/>
          </w:tcPr>
          <w:p w14:paraId="4A9D33B1"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0.00%</w:t>
            </w:r>
          </w:p>
        </w:tc>
      </w:tr>
      <w:tr w:rsidR="00F20114" w:rsidRPr="00934350" w14:paraId="05CF0DA2"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307527E"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WELLINGTON(S)</w:t>
            </w:r>
          </w:p>
        </w:tc>
        <w:tc>
          <w:tcPr>
            <w:tcW w:w="960" w:type="dxa"/>
            <w:tcBorders>
              <w:top w:val="nil"/>
              <w:left w:val="nil"/>
              <w:bottom w:val="single" w:sz="4" w:space="0" w:color="auto"/>
              <w:right w:val="single" w:sz="4" w:space="0" w:color="auto"/>
            </w:tcBorders>
            <w:shd w:val="clear" w:color="auto" w:fill="auto"/>
            <w:noWrap/>
            <w:vAlign w:val="bottom"/>
            <w:hideMark/>
          </w:tcPr>
          <w:p w14:paraId="4AF46B3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6.33%</w:t>
            </w:r>
          </w:p>
        </w:tc>
        <w:tc>
          <w:tcPr>
            <w:tcW w:w="1220" w:type="dxa"/>
            <w:tcBorders>
              <w:top w:val="nil"/>
              <w:left w:val="nil"/>
              <w:bottom w:val="single" w:sz="4" w:space="0" w:color="auto"/>
              <w:right w:val="single" w:sz="4" w:space="0" w:color="auto"/>
            </w:tcBorders>
            <w:shd w:val="clear" w:color="auto" w:fill="auto"/>
            <w:noWrap/>
            <w:vAlign w:val="bottom"/>
            <w:hideMark/>
          </w:tcPr>
          <w:p w14:paraId="1DC2D73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4.4%</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6C7DBA2" w14:textId="77777777" w:rsidR="00F20114" w:rsidRPr="00934350" w:rsidRDefault="00F20114" w:rsidP="00F20114">
            <w:pPr>
              <w:jc w:val="right"/>
              <w:rPr>
                <w:rFonts w:ascii="Calibri" w:hAnsi="Calibri"/>
                <w:color w:val="9C0006"/>
                <w:sz w:val="20"/>
                <w:lang w:eastAsia="en-AU"/>
              </w:rPr>
            </w:pPr>
            <w:r w:rsidRPr="00934350">
              <w:rPr>
                <w:rFonts w:ascii="Calibri" w:hAnsi="Calibri"/>
                <w:color w:val="9C0006"/>
                <w:sz w:val="20"/>
                <w:lang w:eastAsia="en-AU"/>
              </w:rPr>
              <w:t>2.5%</w:t>
            </w:r>
          </w:p>
        </w:tc>
        <w:tc>
          <w:tcPr>
            <w:tcW w:w="960" w:type="dxa"/>
            <w:tcBorders>
              <w:top w:val="nil"/>
              <w:left w:val="nil"/>
              <w:bottom w:val="single" w:sz="4" w:space="0" w:color="auto"/>
              <w:right w:val="single" w:sz="4" w:space="0" w:color="auto"/>
            </w:tcBorders>
            <w:shd w:val="clear" w:color="auto" w:fill="auto"/>
            <w:noWrap/>
            <w:vAlign w:val="bottom"/>
            <w:hideMark/>
          </w:tcPr>
          <w:p w14:paraId="4C41B097"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3.26%</w:t>
            </w:r>
          </w:p>
        </w:tc>
        <w:tc>
          <w:tcPr>
            <w:tcW w:w="960" w:type="dxa"/>
            <w:tcBorders>
              <w:top w:val="nil"/>
              <w:left w:val="nil"/>
              <w:bottom w:val="single" w:sz="4" w:space="0" w:color="auto"/>
              <w:right w:val="single" w:sz="4" w:space="0" w:color="auto"/>
            </w:tcBorders>
            <w:shd w:val="clear" w:color="auto" w:fill="auto"/>
            <w:noWrap/>
            <w:vAlign w:val="bottom"/>
            <w:hideMark/>
          </w:tcPr>
          <w:p w14:paraId="0F20696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3.00%</w:t>
            </w:r>
          </w:p>
        </w:tc>
        <w:tc>
          <w:tcPr>
            <w:tcW w:w="960" w:type="dxa"/>
            <w:tcBorders>
              <w:top w:val="nil"/>
              <w:left w:val="nil"/>
              <w:bottom w:val="single" w:sz="4" w:space="0" w:color="auto"/>
              <w:right w:val="single" w:sz="4" w:space="0" w:color="auto"/>
            </w:tcBorders>
            <w:shd w:val="clear" w:color="auto" w:fill="auto"/>
            <w:noWrap/>
            <w:vAlign w:val="bottom"/>
            <w:hideMark/>
          </w:tcPr>
          <w:p w14:paraId="6979228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8.27%</w:t>
            </w:r>
          </w:p>
        </w:tc>
        <w:tc>
          <w:tcPr>
            <w:tcW w:w="980" w:type="dxa"/>
            <w:tcBorders>
              <w:top w:val="nil"/>
              <w:left w:val="nil"/>
              <w:bottom w:val="single" w:sz="4" w:space="0" w:color="auto"/>
              <w:right w:val="single" w:sz="4" w:space="0" w:color="auto"/>
            </w:tcBorders>
            <w:shd w:val="clear" w:color="auto" w:fill="auto"/>
            <w:noWrap/>
            <w:vAlign w:val="bottom"/>
            <w:hideMark/>
          </w:tcPr>
          <w:p w14:paraId="672EB47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1.35%</w:t>
            </w:r>
          </w:p>
        </w:tc>
      </w:tr>
      <w:tr w:rsidR="00F20114" w:rsidRPr="00934350" w14:paraId="65D65A98"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34ABABE"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WEST WIMMERA(S)</w:t>
            </w:r>
          </w:p>
        </w:tc>
        <w:tc>
          <w:tcPr>
            <w:tcW w:w="960" w:type="dxa"/>
            <w:tcBorders>
              <w:top w:val="nil"/>
              <w:left w:val="nil"/>
              <w:bottom w:val="single" w:sz="4" w:space="0" w:color="auto"/>
              <w:right w:val="single" w:sz="4" w:space="0" w:color="auto"/>
            </w:tcBorders>
            <w:shd w:val="clear" w:color="auto" w:fill="auto"/>
            <w:noWrap/>
            <w:vAlign w:val="bottom"/>
            <w:hideMark/>
          </w:tcPr>
          <w:p w14:paraId="14EB026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3.66%</w:t>
            </w:r>
          </w:p>
        </w:tc>
        <w:tc>
          <w:tcPr>
            <w:tcW w:w="1220" w:type="dxa"/>
            <w:tcBorders>
              <w:top w:val="nil"/>
              <w:left w:val="nil"/>
              <w:bottom w:val="single" w:sz="4" w:space="0" w:color="auto"/>
              <w:right w:val="single" w:sz="4" w:space="0" w:color="auto"/>
            </w:tcBorders>
            <w:shd w:val="clear" w:color="auto" w:fill="auto"/>
            <w:noWrap/>
            <w:vAlign w:val="bottom"/>
            <w:hideMark/>
          </w:tcPr>
          <w:p w14:paraId="16C7511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2.8%</w:t>
            </w:r>
          </w:p>
        </w:tc>
        <w:tc>
          <w:tcPr>
            <w:tcW w:w="960" w:type="dxa"/>
            <w:tcBorders>
              <w:top w:val="nil"/>
              <w:left w:val="nil"/>
              <w:bottom w:val="single" w:sz="4" w:space="0" w:color="auto"/>
              <w:right w:val="single" w:sz="4" w:space="0" w:color="auto"/>
            </w:tcBorders>
            <w:shd w:val="clear" w:color="auto" w:fill="auto"/>
            <w:noWrap/>
            <w:vAlign w:val="bottom"/>
            <w:hideMark/>
          </w:tcPr>
          <w:p w14:paraId="777E402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3.6%</w:t>
            </w:r>
          </w:p>
        </w:tc>
        <w:tc>
          <w:tcPr>
            <w:tcW w:w="960" w:type="dxa"/>
            <w:tcBorders>
              <w:top w:val="nil"/>
              <w:left w:val="nil"/>
              <w:bottom w:val="single" w:sz="4" w:space="0" w:color="auto"/>
              <w:right w:val="single" w:sz="4" w:space="0" w:color="auto"/>
            </w:tcBorders>
            <w:shd w:val="clear" w:color="auto" w:fill="auto"/>
            <w:noWrap/>
            <w:vAlign w:val="bottom"/>
            <w:hideMark/>
          </w:tcPr>
          <w:p w14:paraId="417135B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3.45%</w:t>
            </w:r>
          </w:p>
        </w:tc>
        <w:tc>
          <w:tcPr>
            <w:tcW w:w="960" w:type="dxa"/>
            <w:tcBorders>
              <w:top w:val="nil"/>
              <w:left w:val="nil"/>
              <w:bottom w:val="single" w:sz="4" w:space="0" w:color="auto"/>
              <w:right w:val="single" w:sz="4" w:space="0" w:color="auto"/>
            </w:tcBorders>
            <w:shd w:val="clear" w:color="auto" w:fill="auto"/>
            <w:noWrap/>
            <w:vAlign w:val="bottom"/>
            <w:hideMark/>
          </w:tcPr>
          <w:p w14:paraId="2F25D9C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3.93%</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A20D1FA" w14:textId="77777777" w:rsidR="00F20114" w:rsidRPr="00934350" w:rsidRDefault="00F20114" w:rsidP="00F20114">
            <w:pPr>
              <w:jc w:val="right"/>
              <w:rPr>
                <w:rFonts w:ascii="Calibri" w:hAnsi="Calibri"/>
                <w:color w:val="9C0006"/>
                <w:sz w:val="20"/>
                <w:lang w:eastAsia="en-AU"/>
              </w:rPr>
            </w:pPr>
            <w:r w:rsidRPr="00934350">
              <w:rPr>
                <w:rFonts w:ascii="Calibri" w:hAnsi="Calibri"/>
                <w:color w:val="9C0006"/>
                <w:sz w:val="20"/>
                <w:lang w:eastAsia="en-AU"/>
              </w:rPr>
              <w:t>2.04%</w:t>
            </w:r>
          </w:p>
        </w:tc>
        <w:tc>
          <w:tcPr>
            <w:tcW w:w="980" w:type="dxa"/>
            <w:tcBorders>
              <w:top w:val="nil"/>
              <w:left w:val="nil"/>
              <w:bottom w:val="single" w:sz="4" w:space="0" w:color="auto"/>
              <w:right w:val="single" w:sz="4" w:space="0" w:color="auto"/>
            </w:tcBorders>
            <w:shd w:val="clear" w:color="auto" w:fill="auto"/>
            <w:noWrap/>
            <w:vAlign w:val="bottom"/>
            <w:hideMark/>
          </w:tcPr>
          <w:p w14:paraId="38245B7B"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0.01%</w:t>
            </w:r>
          </w:p>
        </w:tc>
      </w:tr>
      <w:tr w:rsidR="00F20114" w:rsidRPr="00934350" w14:paraId="27346099"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B5E5C0C"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WHITEHORSE(C)</w:t>
            </w:r>
          </w:p>
        </w:tc>
        <w:tc>
          <w:tcPr>
            <w:tcW w:w="960" w:type="dxa"/>
            <w:tcBorders>
              <w:top w:val="nil"/>
              <w:left w:val="nil"/>
              <w:bottom w:val="single" w:sz="4" w:space="0" w:color="auto"/>
              <w:right w:val="single" w:sz="4" w:space="0" w:color="auto"/>
            </w:tcBorders>
            <w:shd w:val="clear" w:color="auto" w:fill="auto"/>
            <w:noWrap/>
            <w:vAlign w:val="bottom"/>
            <w:hideMark/>
          </w:tcPr>
          <w:p w14:paraId="1DFE289B"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4.11%</w:t>
            </w:r>
          </w:p>
        </w:tc>
        <w:tc>
          <w:tcPr>
            <w:tcW w:w="1220" w:type="dxa"/>
            <w:tcBorders>
              <w:top w:val="nil"/>
              <w:left w:val="nil"/>
              <w:bottom w:val="single" w:sz="4" w:space="0" w:color="auto"/>
              <w:right w:val="single" w:sz="4" w:space="0" w:color="auto"/>
            </w:tcBorders>
            <w:shd w:val="clear" w:color="auto" w:fill="auto"/>
            <w:noWrap/>
            <w:vAlign w:val="bottom"/>
            <w:hideMark/>
          </w:tcPr>
          <w:p w14:paraId="3A68798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3.1%</w:t>
            </w:r>
          </w:p>
        </w:tc>
        <w:tc>
          <w:tcPr>
            <w:tcW w:w="960" w:type="dxa"/>
            <w:tcBorders>
              <w:top w:val="nil"/>
              <w:left w:val="nil"/>
              <w:bottom w:val="single" w:sz="4" w:space="0" w:color="auto"/>
              <w:right w:val="single" w:sz="4" w:space="0" w:color="auto"/>
            </w:tcBorders>
            <w:shd w:val="clear" w:color="auto" w:fill="auto"/>
            <w:noWrap/>
            <w:vAlign w:val="bottom"/>
            <w:hideMark/>
          </w:tcPr>
          <w:p w14:paraId="550B2B3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3.8%</w:t>
            </w:r>
          </w:p>
        </w:tc>
        <w:tc>
          <w:tcPr>
            <w:tcW w:w="960" w:type="dxa"/>
            <w:tcBorders>
              <w:top w:val="nil"/>
              <w:left w:val="nil"/>
              <w:bottom w:val="single" w:sz="4" w:space="0" w:color="auto"/>
              <w:right w:val="single" w:sz="4" w:space="0" w:color="auto"/>
            </w:tcBorders>
            <w:shd w:val="clear" w:color="auto" w:fill="auto"/>
            <w:noWrap/>
            <w:vAlign w:val="bottom"/>
            <w:hideMark/>
          </w:tcPr>
          <w:p w14:paraId="28861B3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3.66%</w:t>
            </w:r>
          </w:p>
        </w:tc>
        <w:tc>
          <w:tcPr>
            <w:tcW w:w="960" w:type="dxa"/>
            <w:tcBorders>
              <w:top w:val="nil"/>
              <w:left w:val="nil"/>
              <w:bottom w:val="single" w:sz="4" w:space="0" w:color="auto"/>
              <w:right w:val="single" w:sz="4" w:space="0" w:color="auto"/>
            </w:tcBorders>
            <w:shd w:val="clear" w:color="auto" w:fill="auto"/>
            <w:noWrap/>
            <w:vAlign w:val="bottom"/>
            <w:hideMark/>
          </w:tcPr>
          <w:p w14:paraId="3BCF3AA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4.05%</w:t>
            </w:r>
          </w:p>
        </w:tc>
        <w:tc>
          <w:tcPr>
            <w:tcW w:w="960" w:type="dxa"/>
            <w:tcBorders>
              <w:top w:val="nil"/>
              <w:left w:val="nil"/>
              <w:bottom w:val="single" w:sz="4" w:space="0" w:color="auto"/>
              <w:right w:val="single" w:sz="4" w:space="0" w:color="auto"/>
            </w:tcBorders>
            <w:shd w:val="clear" w:color="auto" w:fill="auto"/>
            <w:noWrap/>
            <w:vAlign w:val="bottom"/>
            <w:hideMark/>
          </w:tcPr>
          <w:p w14:paraId="180A673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3.18%</w:t>
            </w:r>
          </w:p>
        </w:tc>
        <w:tc>
          <w:tcPr>
            <w:tcW w:w="980" w:type="dxa"/>
            <w:tcBorders>
              <w:top w:val="nil"/>
              <w:left w:val="nil"/>
              <w:bottom w:val="single" w:sz="4" w:space="0" w:color="auto"/>
              <w:right w:val="single" w:sz="4" w:space="0" w:color="auto"/>
            </w:tcBorders>
            <w:shd w:val="clear" w:color="auto" w:fill="auto"/>
            <w:noWrap/>
            <w:vAlign w:val="bottom"/>
            <w:hideMark/>
          </w:tcPr>
          <w:p w14:paraId="6227AD6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0.67%</w:t>
            </w:r>
          </w:p>
        </w:tc>
      </w:tr>
      <w:tr w:rsidR="00F20114" w:rsidRPr="00934350" w14:paraId="2D98CA72"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F6AA40D"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WHITTLESEA(C)</w:t>
            </w:r>
          </w:p>
        </w:tc>
        <w:tc>
          <w:tcPr>
            <w:tcW w:w="960" w:type="dxa"/>
            <w:tcBorders>
              <w:top w:val="nil"/>
              <w:left w:val="nil"/>
              <w:bottom w:val="single" w:sz="4" w:space="0" w:color="auto"/>
              <w:right w:val="single" w:sz="4" w:space="0" w:color="auto"/>
            </w:tcBorders>
            <w:shd w:val="clear" w:color="auto" w:fill="auto"/>
            <w:noWrap/>
            <w:vAlign w:val="bottom"/>
            <w:hideMark/>
          </w:tcPr>
          <w:p w14:paraId="592451B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9.52%</w:t>
            </w:r>
          </w:p>
        </w:tc>
        <w:tc>
          <w:tcPr>
            <w:tcW w:w="1220" w:type="dxa"/>
            <w:tcBorders>
              <w:top w:val="nil"/>
              <w:left w:val="nil"/>
              <w:bottom w:val="single" w:sz="4" w:space="0" w:color="auto"/>
              <w:right w:val="single" w:sz="4" w:space="0" w:color="auto"/>
            </w:tcBorders>
            <w:shd w:val="clear" w:color="auto" w:fill="auto"/>
            <w:noWrap/>
            <w:vAlign w:val="bottom"/>
            <w:hideMark/>
          </w:tcPr>
          <w:p w14:paraId="61601F97"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9.7%</w:t>
            </w:r>
          </w:p>
        </w:tc>
        <w:tc>
          <w:tcPr>
            <w:tcW w:w="960" w:type="dxa"/>
            <w:tcBorders>
              <w:top w:val="nil"/>
              <w:left w:val="nil"/>
              <w:bottom w:val="single" w:sz="4" w:space="0" w:color="auto"/>
              <w:right w:val="single" w:sz="4" w:space="0" w:color="auto"/>
            </w:tcBorders>
            <w:shd w:val="clear" w:color="auto" w:fill="auto"/>
            <w:noWrap/>
            <w:vAlign w:val="bottom"/>
            <w:hideMark/>
          </w:tcPr>
          <w:p w14:paraId="3FA8C79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10.4%</w:t>
            </w:r>
          </w:p>
        </w:tc>
        <w:tc>
          <w:tcPr>
            <w:tcW w:w="960" w:type="dxa"/>
            <w:tcBorders>
              <w:top w:val="nil"/>
              <w:left w:val="nil"/>
              <w:bottom w:val="single" w:sz="4" w:space="0" w:color="auto"/>
              <w:right w:val="single" w:sz="4" w:space="0" w:color="auto"/>
            </w:tcBorders>
            <w:shd w:val="clear" w:color="auto" w:fill="auto"/>
            <w:noWrap/>
            <w:vAlign w:val="bottom"/>
            <w:hideMark/>
          </w:tcPr>
          <w:p w14:paraId="48FD9644"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8.80%</w:t>
            </w:r>
          </w:p>
        </w:tc>
        <w:tc>
          <w:tcPr>
            <w:tcW w:w="960" w:type="dxa"/>
            <w:tcBorders>
              <w:top w:val="nil"/>
              <w:left w:val="nil"/>
              <w:bottom w:val="single" w:sz="4" w:space="0" w:color="auto"/>
              <w:right w:val="single" w:sz="4" w:space="0" w:color="auto"/>
            </w:tcBorders>
            <w:shd w:val="clear" w:color="auto" w:fill="auto"/>
            <w:noWrap/>
            <w:vAlign w:val="bottom"/>
            <w:hideMark/>
          </w:tcPr>
          <w:p w14:paraId="437A813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6.41%</w:t>
            </w:r>
          </w:p>
        </w:tc>
        <w:tc>
          <w:tcPr>
            <w:tcW w:w="960" w:type="dxa"/>
            <w:tcBorders>
              <w:top w:val="nil"/>
              <w:left w:val="nil"/>
              <w:bottom w:val="single" w:sz="4" w:space="0" w:color="auto"/>
              <w:right w:val="single" w:sz="4" w:space="0" w:color="auto"/>
            </w:tcBorders>
            <w:shd w:val="clear" w:color="auto" w:fill="auto"/>
            <w:noWrap/>
            <w:vAlign w:val="bottom"/>
            <w:hideMark/>
          </w:tcPr>
          <w:p w14:paraId="4DBB5AD7"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5.31%</w:t>
            </w:r>
          </w:p>
        </w:tc>
        <w:tc>
          <w:tcPr>
            <w:tcW w:w="980" w:type="dxa"/>
            <w:tcBorders>
              <w:top w:val="nil"/>
              <w:left w:val="nil"/>
              <w:bottom w:val="single" w:sz="4" w:space="0" w:color="auto"/>
              <w:right w:val="single" w:sz="4" w:space="0" w:color="auto"/>
            </w:tcBorders>
            <w:shd w:val="clear" w:color="auto" w:fill="auto"/>
            <w:noWrap/>
            <w:vAlign w:val="bottom"/>
            <w:hideMark/>
          </w:tcPr>
          <w:p w14:paraId="2798D7B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3.13%</w:t>
            </w:r>
          </w:p>
        </w:tc>
      </w:tr>
      <w:tr w:rsidR="00F20114" w:rsidRPr="00934350" w14:paraId="623A78EB"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99B4304"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WODONGA(C)</w:t>
            </w:r>
          </w:p>
        </w:tc>
        <w:tc>
          <w:tcPr>
            <w:tcW w:w="960" w:type="dxa"/>
            <w:tcBorders>
              <w:top w:val="nil"/>
              <w:left w:val="nil"/>
              <w:bottom w:val="single" w:sz="4" w:space="0" w:color="auto"/>
              <w:right w:val="single" w:sz="4" w:space="0" w:color="auto"/>
            </w:tcBorders>
            <w:shd w:val="clear" w:color="auto" w:fill="auto"/>
            <w:noWrap/>
            <w:vAlign w:val="bottom"/>
            <w:hideMark/>
          </w:tcPr>
          <w:p w14:paraId="3466D4D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5.99%</w:t>
            </w:r>
          </w:p>
        </w:tc>
        <w:tc>
          <w:tcPr>
            <w:tcW w:w="1220" w:type="dxa"/>
            <w:tcBorders>
              <w:top w:val="nil"/>
              <w:left w:val="nil"/>
              <w:bottom w:val="single" w:sz="4" w:space="0" w:color="auto"/>
              <w:right w:val="single" w:sz="4" w:space="0" w:color="auto"/>
            </w:tcBorders>
            <w:shd w:val="clear" w:color="auto" w:fill="auto"/>
            <w:noWrap/>
            <w:vAlign w:val="bottom"/>
            <w:hideMark/>
          </w:tcPr>
          <w:p w14:paraId="6800BEA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3.3%</w:t>
            </w:r>
          </w:p>
        </w:tc>
        <w:tc>
          <w:tcPr>
            <w:tcW w:w="960" w:type="dxa"/>
            <w:tcBorders>
              <w:top w:val="nil"/>
              <w:left w:val="nil"/>
              <w:bottom w:val="single" w:sz="4" w:space="0" w:color="auto"/>
              <w:right w:val="single" w:sz="4" w:space="0" w:color="auto"/>
            </w:tcBorders>
            <w:shd w:val="clear" w:color="auto" w:fill="auto"/>
            <w:noWrap/>
            <w:vAlign w:val="bottom"/>
            <w:hideMark/>
          </w:tcPr>
          <w:p w14:paraId="7FA01357"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5.4%</w:t>
            </w:r>
          </w:p>
        </w:tc>
        <w:tc>
          <w:tcPr>
            <w:tcW w:w="960" w:type="dxa"/>
            <w:tcBorders>
              <w:top w:val="nil"/>
              <w:left w:val="nil"/>
              <w:bottom w:val="single" w:sz="4" w:space="0" w:color="auto"/>
              <w:right w:val="single" w:sz="4" w:space="0" w:color="auto"/>
            </w:tcBorders>
            <w:shd w:val="clear" w:color="auto" w:fill="auto"/>
            <w:noWrap/>
            <w:vAlign w:val="bottom"/>
            <w:hideMark/>
          </w:tcPr>
          <w:p w14:paraId="3B12F3A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5.41%</w:t>
            </w:r>
          </w:p>
        </w:tc>
        <w:tc>
          <w:tcPr>
            <w:tcW w:w="960" w:type="dxa"/>
            <w:tcBorders>
              <w:top w:val="nil"/>
              <w:left w:val="nil"/>
              <w:bottom w:val="single" w:sz="4" w:space="0" w:color="auto"/>
              <w:right w:val="single" w:sz="4" w:space="0" w:color="auto"/>
            </w:tcBorders>
            <w:shd w:val="clear" w:color="auto" w:fill="auto"/>
            <w:noWrap/>
            <w:vAlign w:val="bottom"/>
            <w:hideMark/>
          </w:tcPr>
          <w:p w14:paraId="611A4208"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4.52%</w:t>
            </w:r>
          </w:p>
        </w:tc>
        <w:tc>
          <w:tcPr>
            <w:tcW w:w="960" w:type="dxa"/>
            <w:tcBorders>
              <w:top w:val="nil"/>
              <w:left w:val="nil"/>
              <w:bottom w:val="single" w:sz="4" w:space="0" w:color="auto"/>
              <w:right w:val="single" w:sz="4" w:space="0" w:color="auto"/>
            </w:tcBorders>
            <w:shd w:val="clear" w:color="auto" w:fill="auto"/>
            <w:noWrap/>
            <w:vAlign w:val="bottom"/>
            <w:hideMark/>
          </w:tcPr>
          <w:p w14:paraId="47640A1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3.98%</w:t>
            </w:r>
          </w:p>
        </w:tc>
        <w:tc>
          <w:tcPr>
            <w:tcW w:w="980" w:type="dxa"/>
            <w:tcBorders>
              <w:top w:val="nil"/>
              <w:left w:val="nil"/>
              <w:bottom w:val="single" w:sz="4" w:space="0" w:color="auto"/>
              <w:right w:val="single" w:sz="4" w:space="0" w:color="auto"/>
            </w:tcBorders>
            <w:shd w:val="clear" w:color="auto" w:fill="auto"/>
            <w:noWrap/>
            <w:vAlign w:val="bottom"/>
            <w:hideMark/>
          </w:tcPr>
          <w:p w14:paraId="63E4F93D"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0.74%</w:t>
            </w:r>
          </w:p>
        </w:tc>
      </w:tr>
      <w:tr w:rsidR="00F20114" w:rsidRPr="00934350" w14:paraId="632AD823"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83DAE74"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WYNDHAM(C)</w:t>
            </w:r>
          </w:p>
        </w:tc>
        <w:tc>
          <w:tcPr>
            <w:tcW w:w="960" w:type="dxa"/>
            <w:tcBorders>
              <w:top w:val="nil"/>
              <w:left w:val="nil"/>
              <w:bottom w:val="single" w:sz="4" w:space="0" w:color="auto"/>
              <w:right w:val="single" w:sz="4" w:space="0" w:color="auto"/>
            </w:tcBorders>
            <w:shd w:val="clear" w:color="auto" w:fill="auto"/>
            <w:noWrap/>
            <w:vAlign w:val="bottom"/>
            <w:hideMark/>
          </w:tcPr>
          <w:p w14:paraId="715A853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12.36%</w:t>
            </w:r>
          </w:p>
        </w:tc>
        <w:tc>
          <w:tcPr>
            <w:tcW w:w="1220" w:type="dxa"/>
            <w:tcBorders>
              <w:top w:val="nil"/>
              <w:left w:val="nil"/>
              <w:bottom w:val="single" w:sz="4" w:space="0" w:color="auto"/>
              <w:right w:val="single" w:sz="4" w:space="0" w:color="auto"/>
            </w:tcBorders>
            <w:shd w:val="clear" w:color="auto" w:fill="auto"/>
            <w:noWrap/>
            <w:vAlign w:val="bottom"/>
            <w:hideMark/>
          </w:tcPr>
          <w:p w14:paraId="38B63A9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11.5%</w:t>
            </w:r>
          </w:p>
        </w:tc>
        <w:tc>
          <w:tcPr>
            <w:tcW w:w="960" w:type="dxa"/>
            <w:tcBorders>
              <w:top w:val="nil"/>
              <w:left w:val="nil"/>
              <w:bottom w:val="single" w:sz="4" w:space="0" w:color="auto"/>
              <w:right w:val="single" w:sz="4" w:space="0" w:color="auto"/>
            </w:tcBorders>
            <w:shd w:val="clear" w:color="auto" w:fill="auto"/>
            <w:noWrap/>
            <w:vAlign w:val="bottom"/>
            <w:hideMark/>
          </w:tcPr>
          <w:p w14:paraId="41F3A7E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11.3%</w:t>
            </w:r>
          </w:p>
        </w:tc>
        <w:tc>
          <w:tcPr>
            <w:tcW w:w="960" w:type="dxa"/>
            <w:tcBorders>
              <w:top w:val="nil"/>
              <w:left w:val="nil"/>
              <w:bottom w:val="single" w:sz="4" w:space="0" w:color="auto"/>
              <w:right w:val="single" w:sz="4" w:space="0" w:color="auto"/>
            </w:tcBorders>
            <w:shd w:val="clear" w:color="auto" w:fill="auto"/>
            <w:noWrap/>
            <w:vAlign w:val="bottom"/>
            <w:hideMark/>
          </w:tcPr>
          <w:p w14:paraId="3B7DF17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8.34%</w:t>
            </w:r>
          </w:p>
        </w:tc>
        <w:tc>
          <w:tcPr>
            <w:tcW w:w="960" w:type="dxa"/>
            <w:tcBorders>
              <w:top w:val="nil"/>
              <w:left w:val="nil"/>
              <w:bottom w:val="single" w:sz="4" w:space="0" w:color="auto"/>
              <w:right w:val="single" w:sz="4" w:space="0" w:color="auto"/>
            </w:tcBorders>
            <w:shd w:val="clear" w:color="auto" w:fill="auto"/>
            <w:noWrap/>
            <w:vAlign w:val="bottom"/>
            <w:hideMark/>
          </w:tcPr>
          <w:p w14:paraId="69A5F95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5.66%</w:t>
            </w:r>
          </w:p>
        </w:tc>
        <w:tc>
          <w:tcPr>
            <w:tcW w:w="960" w:type="dxa"/>
            <w:tcBorders>
              <w:top w:val="nil"/>
              <w:left w:val="nil"/>
              <w:bottom w:val="single" w:sz="4" w:space="0" w:color="auto"/>
              <w:right w:val="single" w:sz="4" w:space="0" w:color="auto"/>
            </w:tcBorders>
            <w:shd w:val="clear" w:color="auto" w:fill="auto"/>
            <w:noWrap/>
            <w:vAlign w:val="bottom"/>
            <w:hideMark/>
          </w:tcPr>
          <w:p w14:paraId="1F5B498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4.39%</w:t>
            </w:r>
          </w:p>
        </w:tc>
        <w:tc>
          <w:tcPr>
            <w:tcW w:w="980" w:type="dxa"/>
            <w:tcBorders>
              <w:top w:val="nil"/>
              <w:left w:val="nil"/>
              <w:bottom w:val="single" w:sz="4" w:space="0" w:color="auto"/>
              <w:right w:val="single" w:sz="4" w:space="0" w:color="auto"/>
            </w:tcBorders>
            <w:shd w:val="clear" w:color="auto" w:fill="auto"/>
            <w:noWrap/>
            <w:vAlign w:val="bottom"/>
            <w:hideMark/>
          </w:tcPr>
          <w:p w14:paraId="0C20D8D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1.21%</w:t>
            </w:r>
          </w:p>
        </w:tc>
      </w:tr>
      <w:tr w:rsidR="00F20114" w:rsidRPr="00934350" w14:paraId="54BFFBB1"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DB2AD79"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YARRA (C)</w:t>
            </w:r>
          </w:p>
        </w:tc>
        <w:tc>
          <w:tcPr>
            <w:tcW w:w="960" w:type="dxa"/>
            <w:tcBorders>
              <w:top w:val="nil"/>
              <w:left w:val="nil"/>
              <w:bottom w:val="single" w:sz="4" w:space="0" w:color="auto"/>
              <w:right w:val="single" w:sz="4" w:space="0" w:color="auto"/>
            </w:tcBorders>
            <w:shd w:val="clear" w:color="auto" w:fill="auto"/>
            <w:noWrap/>
            <w:vAlign w:val="bottom"/>
            <w:hideMark/>
          </w:tcPr>
          <w:p w14:paraId="4AB5F75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5.73%</w:t>
            </w:r>
          </w:p>
        </w:tc>
        <w:tc>
          <w:tcPr>
            <w:tcW w:w="1220" w:type="dxa"/>
            <w:tcBorders>
              <w:top w:val="nil"/>
              <w:left w:val="nil"/>
              <w:bottom w:val="single" w:sz="4" w:space="0" w:color="auto"/>
              <w:right w:val="single" w:sz="4" w:space="0" w:color="auto"/>
            </w:tcBorders>
            <w:shd w:val="clear" w:color="auto" w:fill="auto"/>
            <w:noWrap/>
            <w:vAlign w:val="bottom"/>
            <w:hideMark/>
          </w:tcPr>
          <w:p w14:paraId="41DE8C2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3.6%</w:t>
            </w:r>
          </w:p>
        </w:tc>
        <w:tc>
          <w:tcPr>
            <w:tcW w:w="960" w:type="dxa"/>
            <w:tcBorders>
              <w:top w:val="nil"/>
              <w:left w:val="nil"/>
              <w:bottom w:val="single" w:sz="4" w:space="0" w:color="auto"/>
              <w:right w:val="single" w:sz="4" w:space="0" w:color="auto"/>
            </w:tcBorders>
            <w:shd w:val="clear" w:color="auto" w:fill="auto"/>
            <w:noWrap/>
            <w:vAlign w:val="bottom"/>
            <w:hideMark/>
          </w:tcPr>
          <w:p w14:paraId="11B3ECA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4.1%</w:t>
            </w:r>
          </w:p>
        </w:tc>
        <w:tc>
          <w:tcPr>
            <w:tcW w:w="960" w:type="dxa"/>
            <w:tcBorders>
              <w:top w:val="nil"/>
              <w:left w:val="nil"/>
              <w:bottom w:val="single" w:sz="4" w:space="0" w:color="auto"/>
              <w:right w:val="single" w:sz="4" w:space="0" w:color="auto"/>
            </w:tcBorders>
            <w:shd w:val="clear" w:color="auto" w:fill="auto"/>
            <w:noWrap/>
            <w:vAlign w:val="bottom"/>
            <w:hideMark/>
          </w:tcPr>
          <w:p w14:paraId="3E8A310F"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5.59%</w:t>
            </w:r>
          </w:p>
        </w:tc>
        <w:tc>
          <w:tcPr>
            <w:tcW w:w="960" w:type="dxa"/>
            <w:tcBorders>
              <w:top w:val="nil"/>
              <w:left w:val="nil"/>
              <w:bottom w:val="single" w:sz="4" w:space="0" w:color="auto"/>
              <w:right w:val="single" w:sz="4" w:space="0" w:color="auto"/>
            </w:tcBorders>
            <w:shd w:val="clear" w:color="auto" w:fill="auto"/>
            <w:noWrap/>
            <w:vAlign w:val="bottom"/>
            <w:hideMark/>
          </w:tcPr>
          <w:p w14:paraId="5688F25A"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4.92%</w:t>
            </w:r>
          </w:p>
        </w:tc>
        <w:tc>
          <w:tcPr>
            <w:tcW w:w="960" w:type="dxa"/>
            <w:tcBorders>
              <w:top w:val="nil"/>
              <w:left w:val="nil"/>
              <w:bottom w:val="single" w:sz="4" w:space="0" w:color="auto"/>
              <w:right w:val="single" w:sz="4" w:space="0" w:color="auto"/>
            </w:tcBorders>
            <w:shd w:val="clear" w:color="auto" w:fill="auto"/>
            <w:noWrap/>
            <w:vAlign w:val="bottom"/>
            <w:hideMark/>
          </w:tcPr>
          <w:p w14:paraId="5EC641BB"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5.58%</w:t>
            </w:r>
          </w:p>
        </w:tc>
        <w:tc>
          <w:tcPr>
            <w:tcW w:w="980" w:type="dxa"/>
            <w:tcBorders>
              <w:top w:val="nil"/>
              <w:left w:val="nil"/>
              <w:bottom w:val="single" w:sz="4" w:space="0" w:color="auto"/>
              <w:right w:val="single" w:sz="4" w:space="0" w:color="auto"/>
            </w:tcBorders>
            <w:shd w:val="clear" w:color="auto" w:fill="auto"/>
            <w:noWrap/>
            <w:vAlign w:val="bottom"/>
            <w:hideMark/>
          </w:tcPr>
          <w:p w14:paraId="76D4975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1.40%</w:t>
            </w:r>
          </w:p>
        </w:tc>
      </w:tr>
      <w:tr w:rsidR="00F20114" w:rsidRPr="00934350" w14:paraId="605BBD06"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4278998"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YARRA RANGES(S)</w:t>
            </w:r>
          </w:p>
        </w:tc>
        <w:tc>
          <w:tcPr>
            <w:tcW w:w="960" w:type="dxa"/>
            <w:tcBorders>
              <w:top w:val="nil"/>
              <w:left w:val="nil"/>
              <w:bottom w:val="single" w:sz="4" w:space="0" w:color="auto"/>
              <w:right w:val="single" w:sz="4" w:space="0" w:color="auto"/>
            </w:tcBorders>
            <w:shd w:val="clear" w:color="auto" w:fill="auto"/>
            <w:noWrap/>
            <w:vAlign w:val="bottom"/>
            <w:hideMark/>
          </w:tcPr>
          <w:p w14:paraId="5BD67352"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4.21%</w:t>
            </w:r>
          </w:p>
        </w:tc>
        <w:tc>
          <w:tcPr>
            <w:tcW w:w="1220" w:type="dxa"/>
            <w:tcBorders>
              <w:top w:val="nil"/>
              <w:left w:val="nil"/>
              <w:bottom w:val="single" w:sz="4" w:space="0" w:color="auto"/>
              <w:right w:val="single" w:sz="4" w:space="0" w:color="auto"/>
            </w:tcBorders>
            <w:shd w:val="clear" w:color="auto" w:fill="auto"/>
            <w:noWrap/>
            <w:vAlign w:val="bottom"/>
            <w:hideMark/>
          </w:tcPr>
          <w:p w14:paraId="4D12E83B"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3.7%</w:t>
            </w:r>
          </w:p>
        </w:tc>
        <w:tc>
          <w:tcPr>
            <w:tcW w:w="960" w:type="dxa"/>
            <w:tcBorders>
              <w:top w:val="nil"/>
              <w:left w:val="nil"/>
              <w:bottom w:val="single" w:sz="4" w:space="0" w:color="auto"/>
              <w:right w:val="single" w:sz="4" w:space="0" w:color="auto"/>
            </w:tcBorders>
            <w:shd w:val="clear" w:color="auto" w:fill="auto"/>
            <w:noWrap/>
            <w:vAlign w:val="bottom"/>
            <w:hideMark/>
          </w:tcPr>
          <w:p w14:paraId="6963F84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4.0%</w:t>
            </w:r>
          </w:p>
        </w:tc>
        <w:tc>
          <w:tcPr>
            <w:tcW w:w="960" w:type="dxa"/>
            <w:tcBorders>
              <w:top w:val="nil"/>
              <w:left w:val="nil"/>
              <w:bottom w:val="single" w:sz="4" w:space="0" w:color="auto"/>
              <w:right w:val="single" w:sz="4" w:space="0" w:color="auto"/>
            </w:tcBorders>
            <w:shd w:val="clear" w:color="auto" w:fill="auto"/>
            <w:noWrap/>
            <w:vAlign w:val="bottom"/>
            <w:hideMark/>
          </w:tcPr>
          <w:p w14:paraId="3B3965C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3.84%</w:t>
            </w:r>
          </w:p>
        </w:tc>
        <w:tc>
          <w:tcPr>
            <w:tcW w:w="960" w:type="dxa"/>
            <w:tcBorders>
              <w:top w:val="nil"/>
              <w:left w:val="nil"/>
              <w:bottom w:val="single" w:sz="4" w:space="0" w:color="auto"/>
              <w:right w:val="single" w:sz="4" w:space="0" w:color="auto"/>
            </w:tcBorders>
            <w:shd w:val="clear" w:color="auto" w:fill="auto"/>
            <w:noWrap/>
            <w:vAlign w:val="bottom"/>
            <w:hideMark/>
          </w:tcPr>
          <w:p w14:paraId="24029242"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3.31%</w:t>
            </w:r>
          </w:p>
        </w:tc>
        <w:tc>
          <w:tcPr>
            <w:tcW w:w="960" w:type="dxa"/>
            <w:tcBorders>
              <w:top w:val="nil"/>
              <w:left w:val="nil"/>
              <w:bottom w:val="single" w:sz="4" w:space="0" w:color="auto"/>
              <w:right w:val="single" w:sz="4" w:space="0" w:color="auto"/>
            </w:tcBorders>
            <w:shd w:val="clear" w:color="auto" w:fill="auto"/>
            <w:noWrap/>
            <w:vAlign w:val="bottom"/>
            <w:hideMark/>
          </w:tcPr>
          <w:p w14:paraId="11B1B756"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3.28%</w:t>
            </w:r>
          </w:p>
        </w:tc>
        <w:tc>
          <w:tcPr>
            <w:tcW w:w="980" w:type="dxa"/>
            <w:tcBorders>
              <w:top w:val="nil"/>
              <w:left w:val="nil"/>
              <w:bottom w:val="single" w:sz="4" w:space="0" w:color="auto"/>
              <w:right w:val="single" w:sz="4" w:space="0" w:color="auto"/>
            </w:tcBorders>
            <w:shd w:val="clear" w:color="auto" w:fill="auto"/>
            <w:noWrap/>
            <w:vAlign w:val="bottom"/>
            <w:hideMark/>
          </w:tcPr>
          <w:p w14:paraId="69D30B0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0.00%</w:t>
            </w:r>
          </w:p>
        </w:tc>
      </w:tr>
      <w:tr w:rsidR="00F20114" w:rsidRPr="00934350" w14:paraId="145A6D69" w14:textId="77777777" w:rsidTr="00F20114">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A6F7E13" w14:textId="77777777" w:rsidR="00F20114" w:rsidRPr="00934350" w:rsidRDefault="00F20114" w:rsidP="00F20114">
            <w:pPr>
              <w:rPr>
                <w:rFonts w:ascii="Calibri" w:hAnsi="Calibri"/>
                <w:color w:val="000000"/>
                <w:sz w:val="20"/>
                <w:lang w:eastAsia="en-AU"/>
              </w:rPr>
            </w:pPr>
            <w:r w:rsidRPr="00934350">
              <w:rPr>
                <w:rFonts w:ascii="Calibri" w:hAnsi="Calibri"/>
                <w:color w:val="000000"/>
                <w:sz w:val="20"/>
                <w:lang w:eastAsia="en-AU"/>
              </w:rPr>
              <w:t>YARRIAMBIACK(S)</w:t>
            </w:r>
          </w:p>
        </w:tc>
        <w:tc>
          <w:tcPr>
            <w:tcW w:w="960" w:type="dxa"/>
            <w:tcBorders>
              <w:top w:val="nil"/>
              <w:left w:val="nil"/>
              <w:bottom w:val="single" w:sz="4" w:space="0" w:color="auto"/>
              <w:right w:val="single" w:sz="4" w:space="0" w:color="auto"/>
            </w:tcBorders>
            <w:shd w:val="clear" w:color="auto" w:fill="auto"/>
            <w:noWrap/>
            <w:vAlign w:val="bottom"/>
            <w:hideMark/>
          </w:tcPr>
          <w:p w14:paraId="6244722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2.65%</w:t>
            </w:r>
          </w:p>
        </w:tc>
        <w:tc>
          <w:tcPr>
            <w:tcW w:w="1220" w:type="dxa"/>
            <w:tcBorders>
              <w:top w:val="nil"/>
              <w:left w:val="nil"/>
              <w:bottom w:val="single" w:sz="4" w:space="0" w:color="auto"/>
              <w:right w:val="single" w:sz="4" w:space="0" w:color="auto"/>
            </w:tcBorders>
            <w:shd w:val="clear" w:color="auto" w:fill="auto"/>
            <w:noWrap/>
            <w:vAlign w:val="bottom"/>
            <w:hideMark/>
          </w:tcPr>
          <w:p w14:paraId="76DBEE13"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3.3%</w:t>
            </w:r>
          </w:p>
        </w:tc>
        <w:tc>
          <w:tcPr>
            <w:tcW w:w="960" w:type="dxa"/>
            <w:tcBorders>
              <w:top w:val="nil"/>
              <w:left w:val="nil"/>
              <w:bottom w:val="single" w:sz="4" w:space="0" w:color="auto"/>
              <w:right w:val="single" w:sz="4" w:space="0" w:color="auto"/>
            </w:tcBorders>
            <w:shd w:val="clear" w:color="auto" w:fill="auto"/>
            <w:noWrap/>
            <w:vAlign w:val="bottom"/>
            <w:hideMark/>
          </w:tcPr>
          <w:p w14:paraId="6E4939A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3.5%</w:t>
            </w:r>
          </w:p>
        </w:tc>
        <w:tc>
          <w:tcPr>
            <w:tcW w:w="960" w:type="dxa"/>
            <w:tcBorders>
              <w:top w:val="nil"/>
              <w:left w:val="nil"/>
              <w:bottom w:val="single" w:sz="4" w:space="0" w:color="auto"/>
              <w:right w:val="single" w:sz="4" w:space="0" w:color="auto"/>
            </w:tcBorders>
            <w:shd w:val="clear" w:color="auto" w:fill="auto"/>
            <w:noWrap/>
            <w:vAlign w:val="bottom"/>
            <w:hideMark/>
          </w:tcPr>
          <w:p w14:paraId="0A36758C"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3.23%</w:t>
            </w:r>
          </w:p>
        </w:tc>
        <w:tc>
          <w:tcPr>
            <w:tcW w:w="960" w:type="dxa"/>
            <w:tcBorders>
              <w:top w:val="nil"/>
              <w:left w:val="nil"/>
              <w:bottom w:val="single" w:sz="4" w:space="0" w:color="auto"/>
              <w:right w:val="single" w:sz="4" w:space="0" w:color="auto"/>
            </w:tcBorders>
            <w:shd w:val="clear" w:color="auto" w:fill="auto"/>
            <w:noWrap/>
            <w:vAlign w:val="bottom"/>
            <w:hideMark/>
          </w:tcPr>
          <w:p w14:paraId="66482B49"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3.27%</w:t>
            </w:r>
          </w:p>
        </w:tc>
        <w:tc>
          <w:tcPr>
            <w:tcW w:w="960" w:type="dxa"/>
            <w:tcBorders>
              <w:top w:val="nil"/>
              <w:left w:val="nil"/>
              <w:bottom w:val="single" w:sz="4" w:space="0" w:color="auto"/>
              <w:right w:val="single" w:sz="4" w:space="0" w:color="auto"/>
            </w:tcBorders>
            <w:shd w:val="clear" w:color="auto" w:fill="auto"/>
            <w:noWrap/>
            <w:vAlign w:val="bottom"/>
            <w:hideMark/>
          </w:tcPr>
          <w:p w14:paraId="79B18EE5"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2.86%</w:t>
            </w:r>
          </w:p>
        </w:tc>
        <w:tc>
          <w:tcPr>
            <w:tcW w:w="980" w:type="dxa"/>
            <w:tcBorders>
              <w:top w:val="nil"/>
              <w:left w:val="nil"/>
              <w:bottom w:val="single" w:sz="4" w:space="0" w:color="auto"/>
              <w:right w:val="single" w:sz="4" w:space="0" w:color="auto"/>
            </w:tcBorders>
            <w:shd w:val="clear" w:color="auto" w:fill="auto"/>
            <w:noWrap/>
            <w:vAlign w:val="bottom"/>
            <w:hideMark/>
          </w:tcPr>
          <w:p w14:paraId="2BC3DF4E" w14:textId="77777777" w:rsidR="00F20114" w:rsidRPr="00934350" w:rsidRDefault="00F20114" w:rsidP="00F20114">
            <w:pPr>
              <w:jc w:val="right"/>
              <w:rPr>
                <w:rFonts w:ascii="Calibri" w:hAnsi="Calibri"/>
                <w:color w:val="000000"/>
                <w:sz w:val="20"/>
                <w:lang w:eastAsia="en-AU"/>
              </w:rPr>
            </w:pPr>
            <w:r w:rsidRPr="00934350">
              <w:rPr>
                <w:rFonts w:ascii="Calibri" w:hAnsi="Calibri"/>
                <w:color w:val="000000"/>
                <w:sz w:val="20"/>
                <w:lang w:eastAsia="en-AU"/>
              </w:rPr>
              <w:t>0.12%</w:t>
            </w:r>
          </w:p>
        </w:tc>
      </w:tr>
    </w:tbl>
    <w:p w14:paraId="6C23FFDA" w14:textId="77777777" w:rsidR="00F20114" w:rsidRDefault="00F20114" w:rsidP="00F20114"/>
    <w:p w14:paraId="3C1B3C91" w14:textId="77777777" w:rsidR="00F20114" w:rsidRDefault="00F20114" w:rsidP="00F20114">
      <w:r>
        <w:t xml:space="preserve">According to the ESC Framework this issue would be addressed through the variation process. There would appear, however, to be a reasonable case either for a “no-loss” or “minimum increase” provision applicable to total rate revenues. </w:t>
      </w:r>
    </w:p>
    <w:p w14:paraId="7BEF4F94" w14:textId="77777777" w:rsidR="00F20114" w:rsidRDefault="00F20114" w:rsidP="00F20114">
      <w:pPr>
        <w:rPr>
          <w:b/>
        </w:rPr>
      </w:pPr>
      <w:r>
        <w:rPr>
          <w:b/>
        </w:rPr>
        <w:br w:type="page"/>
      </w:r>
    </w:p>
    <w:p w14:paraId="26CCD6DB" w14:textId="77777777" w:rsidR="00F20114" w:rsidRDefault="00F20114" w:rsidP="00F20114">
      <w:pPr>
        <w:pStyle w:val="Heading3"/>
      </w:pPr>
      <w:r w:rsidRPr="007A22DB">
        <w:lastRenderedPageBreak/>
        <w:t>C</w:t>
      </w:r>
      <w:r>
        <w:t>ouncils Funding Waste Services t</w:t>
      </w:r>
      <w:r w:rsidRPr="007A22DB">
        <w:t>hrough General Rates</w:t>
      </w:r>
    </w:p>
    <w:p w14:paraId="1B5B4D3A" w14:textId="77777777" w:rsidR="00F20114" w:rsidRPr="00F20114" w:rsidRDefault="00F20114" w:rsidP="00F20114"/>
    <w:p w14:paraId="18AE705B" w14:textId="77777777" w:rsidR="00F20114" w:rsidRDefault="00F20114" w:rsidP="00F20114">
      <w:r>
        <w:t>The Framework excludes sanitation charges normally included as part of the rates notice. This potentially raises issues for councils currently funding these services through general rates particularly should a variation be sought with respect to waste management costs.</w:t>
      </w:r>
    </w:p>
    <w:p w14:paraId="77191511" w14:textId="77777777" w:rsidR="00F20114" w:rsidRDefault="00F20114" w:rsidP="00F20114"/>
    <w:p w14:paraId="184A2E5B" w14:textId="77777777" w:rsidR="00F20114" w:rsidRDefault="00F20114" w:rsidP="00F20114">
      <w:r>
        <w:t>An expectation that affected councils should change their pricing policy, and as the majority do, levy a service rate for this purpose is not considered appropriate.  Councils’ consideration of the regressive nature of such fixed charges and whether in practice the setting of such charges will actually influence behaviour are legitimate factors that inform their decisions</w:t>
      </w:r>
      <w:r>
        <w:rPr>
          <w:rStyle w:val="FootnoteReference"/>
        </w:rPr>
        <w:footnoteReference w:id="4"/>
      </w:r>
      <w:r>
        <w:t>.</w:t>
      </w:r>
    </w:p>
    <w:p w14:paraId="70E1123A" w14:textId="77777777" w:rsidR="00F20114" w:rsidRDefault="00F20114" w:rsidP="00F20114"/>
    <w:p w14:paraId="05852B9E" w14:textId="77777777" w:rsidR="00F20114" w:rsidRDefault="00F20114" w:rsidP="00F20114">
      <w:pPr>
        <w:pStyle w:val="Heading3"/>
      </w:pPr>
      <w:r w:rsidRPr="003107D6">
        <w:t>Exclusion of Rates in Lieu and Rate Rebates</w:t>
      </w:r>
    </w:p>
    <w:p w14:paraId="60E6F921" w14:textId="77777777" w:rsidR="00F20114" w:rsidRPr="00F20114" w:rsidRDefault="00F20114" w:rsidP="00F20114"/>
    <w:p w14:paraId="17F051B0" w14:textId="6552CB90" w:rsidR="00F20114" w:rsidRDefault="00F20114" w:rsidP="00F20114">
      <w:r>
        <w:t>The rationale for excluding rates in lieu, rating agreements and rate rebates</w:t>
      </w:r>
      <w:r w:rsidR="00C93A42">
        <w:t>,</w:t>
      </w:r>
      <w:r>
        <w:t xml:space="preserve"> is not really addressed satisfactorily. Rates in lieu and rating agreements are used for universal funding of services and directly influence the general rates paid by other ratepayers. </w:t>
      </w:r>
    </w:p>
    <w:p w14:paraId="797A9996" w14:textId="77777777" w:rsidR="00F20114" w:rsidRDefault="00F20114" w:rsidP="00F20114"/>
    <w:p w14:paraId="6F6308B9" w14:textId="77777777" w:rsidR="00F20114" w:rsidRDefault="00F20114" w:rsidP="00F20114">
      <w:r>
        <w:t>According to the definitions included in the Framework paper the rate revenue figure used for calculations is a gross figure.  According to available data 37 councils currently provide rate rebates for various reasons.</w:t>
      </w:r>
    </w:p>
    <w:p w14:paraId="45529D5D" w14:textId="77777777" w:rsidR="00F20114" w:rsidRDefault="00F20114" w:rsidP="00F20114"/>
    <w:p w14:paraId="0D6BD1E1" w14:textId="77777777" w:rsidR="00F20114" w:rsidRDefault="00F20114" w:rsidP="00F20114">
      <w:pPr>
        <w:pStyle w:val="Heading3"/>
      </w:pPr>
      <w:r w:rsidRPr="001C6107">
        <w:t>Inflator</w:t>
      </w:r>
    </w:p>
    <w:p w14:paraId="7C5F5716" w14:textId="77777777" w:rsidR="00F20114" w:rsidRPr="00F20114" w:rsidRDefault="00F20114" w:rsidP="00F20114"/>
    <w:p w14:paraId="709CE997" w14:textId="620F0970" w:rsidR="00F20114" w:rsidRDefault="00F20114" w:rsidP="00F20114">
      <w:pPr>
        <w:pStyle w:val="Heading4"/>
      </w:pPr>
      <w:r w:rsidRPr="00F20114">
        <w:t>Index Weighting Factors</w:t>
      </w:r>
    </w:p>
    <w:p w14:paraId="4EBA36C6" w14:textId="77777777" w:rsidR="00F20114" w:rsidRPr="00F20114" w:rsidRDefault="00F20114" w:rsidP="00F20114"/>
    <w:p w14:paraId="58D41994" w14:textId="77777777" w:rsidR="00F20114" w:rsidRDefault="00F20114" w:rsidP="00F20114">
      <w:r w:rsidRPr="00177BB1">
        <w:t xml:space="preserve">The cap provided by the framework will </w:t>
      </w:r>
      <w:r>
        <w:t xml:space="preserve">render smaller increases than has been historically </w:t>
      </w:r>
      <w:r w:rsidRPr="00177BB1">
        <w:t xml:space="preserve">experienced </w:t>
      </w:r>
      <w:r>
        <w:t>in the sector and l</w:t>
      </w:r>
      <w:r w:rsidRPr="00177BB1">
        <w:t xml:space="preserve">ess than generally needed </w:t>
      </w:r>
      <w:r>
        <w:t xml:space="preserve">by councils. </w:t>
      </w:r>
    </w:p>
    <w:p w14:paraId="5BE61FD3" w14:textId="77777777" w:rsidR="00F20114" w:rsidRPr="00177BB1" w:rsidRDefault="00F20114" w:rsidP="00F20114"/>
    <w:p w14:paraId="265FD26C" w14:textId="77777777" w:rsidR="00F20114" w:rsidRDefault="00F20114" w:rsidP="00F20114">
      <w:r w:rsidRPr="00E12540">
        <w:t xml:space="preserve">The </w:t>
      </w:r>
      <w:r>
        <w:t>cap</w:t>
      </w:r>
      <w:r w:rsidRPr="00E12540">
        <w:t xml:space="preserve"> is constructed on </w:t>
      </w:r>
      <w:r>
        <w:t xml:space="preserve">the basis of </w:t>
      </w:r>
      <w:r w:rsidRPr="00E12540">
        <w:t>40% wages</w:t>
      </w:r>
      <w:r>
        <w:t xml:space="preserve"> (wages prices index [WPI])</w:t>
      </w:r>
      <w:r w:rsidRPr="00E12540">
        <w:t xml:space="preserve">/ 60% </w:t>
      </w:r>
      <w:r>
        <w:t>“</w:t>
      </w:r>
      <w:r w:rsidRPr="00E12540">
        <w:t>other costs</w:t>
      </w:r>
      <w:r>
        <w:t>”</w:t>
      </w:r>
      <w:r w:rsidRPr="00E12540">
        <w:t xml:space="preserve"> </w:t>
      </w:r>
      <w:r>
        <w:t>(consumer price index [CPI])  – approximating the current average proportion of employee costs for the sector.  Council data indicate wages account from 23% to 54% across the sector with one quarter of councils outside a standard deviation.  A general cap will therefore have variable implications for councils, amplified by differences between the WPI and CPI.</w:t>
      </w:r>
    </w:p>
    <w:p w14:paraId="45183ADF" w14:textId="77777777" w:rsidR="00F20114" w:rsidRDefault="00F20114" w:rsidP="00F20114"/>
    <w:p w14:paraId="4D975B59" w14:textId="0814845B" w:rsidR="00F20114" w:rsidRDefault="00F20114" w:rsidP="00F20114">
      <w:r>
        <w:t xml:space="preserve">A comparison was made of the implied cap (net of efficiency factors) based on the recommended 40% WPI/60% CPI and what the cap would have been based on actual splits of councils’ employee and other recurrent costs for 2013-14. When the difference between WPI and CPI was most marked there was around a plus or minus 0.2% difference when compared against the cap and 0.4% between the highest and lowest councils.  While these differences are small in a proportionate sense, the equity side of things is more illustrative when dollar impacts are considered, particularly were relatively large differences to persist in the CPI and WPI over a number of years.  For example, the one-year effect in 2014-15 for two metropolitan </w:t>
      </w:r>
      <w:r>
        <w:lastRenderedPageBreak/>
        <w:t xml:space="preserve">councils ranged from $91k (advantage) to -$175k (disadvantage) and the effect for a rural shire was $-23k.  </w:t>
      </w:r>
    </w:p>
    <w:p w14:paraId="4298331C" w14:textId="77777777" w:rsidR="00F20114" w:rsidRDefault="00F20114" w:rsidP="00F20114">
      <w:pPr>
        <w:rPr>
          <w:b/>
        </w:rPr>
      </w:pPr>
    </w:p>
    <w:p w14:paraId="63ED817A" w14:textId="3A3C3EA1" w:rsidR="00F20114" w:rsidRDefault="00F20114" w:rsidP="00F20114">
      <w:pPr>
        <w:pStyle w:val="Heading4"/>
      </w:pPr>
      <w:r>
        <w:t>Relevance of Consumer Price Index (CPI)</w:t>
      </w:r>
    </w:p>
    <w:p w14:paraId="298D0A07" w14:textId="77777777" w:rsidR="00F20114" w:rsidRPr="00F20114" w:rsidRDefault="00F20114" w:rsidP="00F20114"/>
    <w:p w14:paraId="22C666D1" w14:textId="071DE970" w:rsidR="00F20114" w:rsidRDefault="00F20114" w:rsidP="00F20114">
      <w:r w:rsidRPr="006F76D3">
        <w:t>The CPI ref</w:t>
      </w:r>
      <w:r>
        <w:t xml:space="preserve">lects movement in the final prices paid by household consumers for a weighted basket of goods and services and therefore is a general indicator of “prices paid” not of production costs. The selection of the CPI represents a bias in favour of perceived community expectations about prices rather than any consideration of the cost of inputs. No consideration is given, in any case, whether the basket items, or their weightings, reasonably reflects the inputs for local government service provision.  </w:t>
      </w:r>
    </w:p>
    <w:p w14:paraId="30632336" w14:textId="77777777" w:rsidR="00F20114" w:rsidRDefault="00F20114" w:rsidP="00F20114"/>
    <w:p w14:paraId="664AACCD" w14:textId="21911B65" w:rsidR="00F20114" w:rsidRDefault="00F20114" w:rsidP="00F20114">
      <w:r>
        <w:t xml:space="preserve">Weightings of costs in the CPI produced by the ABS are provided below which indicate that the CPI has little relevance to local government inputs. For example, approaching one third of the weighted change in costs is attributable to food, beverages and tobacco and 19% to housing costs excluding utilities and 3% to education costs. Utilities (excluding water) account on average for around 8% or more of councils’ recurrent costs although the weighted change in the CPI incorporates a figure of less than 4%. </w:t>
      </w:r>
    </w:p>
    <w:p w14:paraId="59D41AAC" w14:textId="77777777" w:rsidR="00F20114" w:rsidRDefault="00F20114" w:rsidP="00F20114"/>
    <w:p w14:paraId="39102F65" w14:textId="77777777" w:rsidR="00F20114" w:rsidRPr="00ED49CA" w:rsidRDefault="00F20114" w:rsidP="00F20114">
      <w:pPr>
        <w:rPr>
          <w:b/>
          <w:sz w:val="20"/>
        </w:rPr>
      </w:pPr>
      <w:r>
        <w:rPr>
          <w:b/>
          <w:sz w:val="20"/>
        </w:rPr>
        <w:t xml:space="preserve">ABS </w:t>
      </w:r>
      <w:r w:rsidRPr="00ED49CA">
        <w:rPr>
          <w:b/>
          <w:sz w:val="20"/>
        </w:rPr>
        <w:t>CPI Basket Weightings</w:t>
      </w:r>
      <w:r>
        <w:rPr>
          <w:b/>
          <w:sz w:val="20"/>
        </w:rPr>
        <w:t xml:space="preserve"> – Contribution to CPI</w:t>
      </w:r>
    </w:p>
    <w:tbl>
      <w:tblPr>
        <w:tblW w:w="5000" w:type="pct"/>
        <w:tblLook w:val="04A0" w:firstRow="1" w:lastRow="0" w:firstColumn="1" w:lastColumn="0" w:noHBand="0" w:noVBand="1"/>
      </w:tblPr>
      <w:tblGrid>
        <w:gridCol w:w="7001"/>
        <w:gridCol w:w="1528"/>
      </w:tblGrid>
      <w:tr w:rsidR="00F20114" w:rsidRPr="00ED49CA" w14:paraId="7FE0FDE4" w14:textId="77777777" w:rsidTr="00F20114">
        <w:trPr>
          <w:trHeight w:val="300"/>
        </w:trPr>
        <w:tc>
          <w:tcPr>
            <w:tcW w:w="41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F719A5" w14:textId="77777777" w:rsidR="00F20114" w:rsidRPr="00ED49CA" w:rsidRDefault="00F20114" w:rsidP="00F20114">
            <w:pPr>
              <w:rPr>
                <w:rFonts w:ascii="Calibri" w:hAnsi="Calibri"/>
                <w:b/>
                <w:color w:val="000000"/>
                <w:sz w:val="20"/>
                <w:lang w:eastAsia="en-AU"/>
              </w:rPr>
            </w:pPr>
            <w:r w:rsidRPr="00ED49CA">
              <w:rPr>
                <w:rFonts w:ascii="Calibri" w:hAnsi="Calibri"/>
                <w:b/>
                <w:color w:val="000000"/>
                <w:sz w:val="20"/>
                <w:lang w:eastAsia="en-AU"/>
              </w:rPr>
              <w:t>Cost</w:t>
            </w:r>
          </w:p>
        </w:tc>
        <w:tc>
          <w:tcPr>
            <w:tcW w:w="896" w:type="pct"/>
            <w:tcBorders>
              <w:top w:val="single" w:sz="4" w:space="0" w:color="auto"/>
              <w:left w:val="nil"/>
              <w:bottom w:val="single" w:sz="4" w:space="0" w:color="auto"/>
              <w:right w:val="single" w:sz="4" w:space="0" w:color="auto"/>
            </w:tcBorders>
            <w:shd w:val="clear" w:color="auto" w:fill="auto"/>
            <w:noWrap/>
            <w:vAlign w:val="bottom"/>
          </w:tcPr>
          <w:p w14:paraId="6E9FB49E" w14:textId="77777777" w:rsidR="00F20114" w:rsidRPr="00ED49CA" w:rsidRDefault="00F20114" w:rsidP="00F20114">
            <w:pPr>
              <w:jc w:val="right"/>
              <w:rPr>
                <w:rFonts w:ascii="Calibri" w:hAnsi="Calibri"/>
                <w:b/>
                <w:color w:val="000000"/>
                <w:sz w:val="20"/>
                <w:lang w:eastAsia="en-AU"/>
              </w:rPr>
            </w:pPr>
            <w:r w:rsidRPr="00ED49CA">
              <w:rPr>
                <w:rFonts w:ascii="Calibri" w:hAnsi="Calibri"/>
                <w:b/>
                <w:color w:val="000000"/>
                <w:sz w:val="20"/>
                <w:lang w:eastAsia="en-AU"/>
              </w:rPr>
              <w:t>% Total</w:t>
            </w:r>
          </w:p>
        </w:tc>
      </w:tr>
      <w:tr w:rsidR="00F20114" w:rsidRPr="00ED49CA" w14:paraId="01DD5E3B" w14:textId="77777777" w:rsidTr="00F20114">
        <w:trPr>
          <w:trHeight w:val="300"/>
        </w:trPr>
        <w:tc>
          <w:tcPr>
            <w:tcW w:w="41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914A0" w14:textId="77777777" w:rsidR="00F20114" w:rsidRPr="00ED49CA" w:rsidRDefault="00F20114" w:rsidP="00F20114">
            <w:pPr>
              <w:rPr>
                <w:rFonts w:ascii="Calibri" w:hAnsi="Calibri"/>
                <w:color w:val="000000"/>
                <w:sz w:val="20"/>
                <w:lang w:eastAsia="en-AU"/>
              </w:rPr>
            </w:pPr>
            <w:r w:rsidRPr="00ED49CA">
              <w:rPr>
                <w:rFonts w:ascii="Calibri" w:hAnsi="Calibri"/>
                <w:color w:val="000000"/>
                <w:sz w:val="20"/>
                <w:lang w:eastAsia="en-AU"/>
              </w:rPr>
              <w:t>Food and Non-Alcoholic Beverages</w:t>
            </w:r>
          </w:p>
        </w:tc>
        <w:tc>
          <w:tcPr>
            <w:tcW w:w="896" w:type="pct"/>
            <w:tcBorders>
              <w:top w:val="single" w:sz="4" w:space="0" w:color="auto"/>
              <w:left w:val="nil"/>
              <w:bottom w:val="single" w:sz="4" w:space="0" w:color="auto"/>
              <w:right w:val="single" w:sz="4" w:space="0" w:color="auto"/>
            </w:tcBorders>
            <w:shd w:val="clear" w:color="auto" w:fill="auto"/>
            <w:noWrap/>
            <w:vAlign w:val="bottom"/>
            <w:hideMark/>
          </w:tcPr>
          <w:p w14:paraId="4119479E" w14:textId="77777777" w:rsidR="00F20114" w:rsidRPr="00ED49CA" w:rsidRDefault="00F20114" w:rsidP="00F20114">
            <w:pPr>
              <w:jc w:val="right"/>
              <w:rPr>
                <w:rFonts w:ascii="Calibri" w:hAnsi="Calibri"/>
                <w:color w:val="000000"/>
                <w:sz w:val="20"/>
                <w:lang w:eastAsia="en-AU"/>
              </w:rPr>
            </w:pPr>
            <w:r w:rsidRPr="00ED49CA">
              <w:rPr>
                <w:rFonts w:ascii="Calibri" w:hAnsi="Calibri"/>
                <w:color w:val="000000"/>
                <w:sz w:val="20"/>
                <w:lang w:eastAsia="en-AU"/>
              </w:rPr>
              <w:t>16.84</w:t>
            </w:r>
          </w:p>
        </w:tc>
      </w:tr>
      <w:tr w:rsidR="00F20114" w:rsidRPr="00ED49CA" w14:paraId="7BB8B63C" w14:textId="77777777" w:rsidTr="00F20114">
        <w:trPr>
          <w:trHeight w:val="300"/>
        </w:trPr>
        <w:tc>
          <w:tcPr>
            <w:tcW w:w="4104" w:type="pct"/>
            <w:tcBorders>
              <w:top w:val="nil"/>
              <w:left w:val="single" w:sz="4" w:space="0" w:color="auto"/>
              <w:bottom w:val="single" w:sz="4" w:space="0" w:color="auto"/>
              <w:right w:val="single" w:sz="4" w:space="0" w:color="auto"/>
            </w:tcBorders>
            <w:shd w:val="clear" w:color="auto" w:fill="auto"/>
            <w:noWrap/>
            <w:vAlign w:val="bottom"/>
            <w:hideMark/>
          </w:tcPr>
          <w:p w14:paraId="2474AB24" w14:textId="77777777" w:rsidR="00F20114" w:rsidRPr="00ED49CA" w:rsidRDefault="00F20114" w:rsidP="00F20114">
            <w:pPr>
              <w:rPr>
                <w:rFonts w:ascii="Calibri" w:hAnsi="Calibri"/>
                <w:color w:val="000000"/>
                <w:sz w:val="20"/>
                <w:lang w:eastAsia="en-AU"/>
              </w:rPr>
            </w:pPr>
            <w:r w:rsidRPr="00ED49CA">
              <w:rPr>
                <w:rFonts w:ascii="Calibri" w:hAnsi="Calibri"/>
                <w:color w:val="000000"/>
                <w:sz w:val="20"/>
                <w:lang w:eastAsia="en-AU"/>
              </w:rPr>
              <w:t>Alcohol and Tobacco</w:t>
            </w:r>
          </w:p>
        </w:tc>
        <w:tc>
          <w:tcPr>
            <w:tcW w:w="896" w:type="pct"/>
            <w:tcBorders>
              <w:top w:val="nil"/>
              <w:left w:val="nil"/>
              <w:bottom w:val="single" w:sz="4" w:space="0" w:color="auto"/>
              <w:right w:val="single" w:sz="4" w:space="0" w:color="auto"/>
            </w:tcBorders>
            <w:shd w:val="clear" w:color="auto" w:fill="auto"/>
            <w:noWrap/>
            <w:vAlign w:val="bottom"/>
            <w:hideMark/>
          </w:tcPr>
          <w:p w14:paraId="2AD65647" w14:textId="77777777" w:rsidR="00F20114" w:rsidRPr="00ED49CA" w:rsidRDefault="00F20114" w:rsidP="00F20114">
            <w:pPr>
              <w:jc w:val="right"/>
              <w:rPr>
                <w:rFonts w:ascii="Calibri" w:hAnsi="Calibri"/>
                <w:color w:val="000000"/>
                <w:sz w:val="20"/>
                <w:lang w:eastAsia="en-AU"/>
              </w:rPr>
            </w:pPr>
            <w:r w:rsidRPr="00ED49CA">
              <w:rPr>
                <w:rFonts w:ascii="Calibri" w:hAnsi="Calibri"/>
                <w:color w:val="000000"/>
                <w:sz w:val="20"/>
                <w:lang w:eastAsia="en-AU"/>
              </w:rPr>
              <w:t>7.06</w:t>
            </w:r>
          </w:p>
        </w:tc>
      </w:tr>
      <w:tr w:rsidR="00F20114" w:rsidRPr="00ED49CA" w14:paraId="646EE73D" w14:textId="77777777" w:rsidTr="00F20114">
        <w:trPr>
          <w:trHeight w:val="300"/>
        </w:trPr>
        <w:tc>
          <w:tcPr>
            <w:tcW w:w="4104" w:type="pct"/>
            <w:tcBorders>
              <w:top w:val="nil"/>
              <w:left w:val="single" w:sz="4" w:space="0" w:color="auto"/>
              <w:bottom w:val="single" w:sz="4" w:space="0" w:color="auto"/>
              <w:right w:val="single" w:sz="4" w:space="0" w:color="auto"/>
            </w:tcBorders>
            <w:shd w:val="clear" w:color="auto" w:fill="auto"/>
            <w:noWrap/>
            <w:vAlign w:val="bottom"/>
            <w:hideMark/>
          </w:tcPr>
          <w:p w14:paraId="783410D5" w14:textId="77777777" w:rsidR="00F20114" w:rsidRPr="00ED49CA" w:rsidRDefault="00F20114" w:rsidP="00F20114">
            <w:pPr>
              <w:rPr>
                <w:rFonts w:ascii="Calibri" w:hAnsi="Calibri"/>
                <w:color w:val="000000"/>
                <w:sz w:val="20"/>
                <w:lang w:eastAsia="en-AU"/>
              </w:rPr>
            </w:pPr>
            <w:r w:rsidRPr="00ED49CA">
              <w:rPr>
                <w:rFonts w:ascii="Calibri" w:hAnsi="Calibri"/>
                <w:color w:val="000000"/>
                <w:sz w:val="20"/>
                <w:lang w:eastAsia="en-AU"/>
              </w:rPr>
              <w:t>Clothing and Footwear</w:t>
            </w:r>
          </w:p>
        </w:tc>
        <w:tc>
          <w:tcPr>
            <w:tcW w:w="896" w:type="pct"/>
            <w:tcBorders>
              <w:top w:val="nil"/>
              <w:left w:val="nil"/>
              <w:bottom w:val="single" w:sz="4" w:space="0" w:color="auto"/>
              <w:right w:val="single" w:sz="4" w:space="0" w:color="auto"/>
            </w:tcBorders>
            <w:shd w:val="clear" w:color="auto" w:fill="auto"/>
            <w:noWrap/>
            <w:vAlign w:val="bottom"/>
            <w:hideMark/>
          </w:tcPr>
          <w:p w14:paraId="0076B0F2" w14:textId="77777777" w:rsidR="00F20114" w:rsidRPr="00ED49CA" w:rsidRDefault="00F20114" w:rsidP="00F20114">
            <w:pPr>
              <w:jc w:val="right"/>
              <w:rPr>
                <w:rFonts w:ascii="Calibri" w:hAnsi="Calibri"/>
                <w:color w:val="000000"/>
                <w:sz w:val="20"/>
                <w:lang w:eastAsia="en-AU"/>
              </w:rPr>
            </w:pPr>
            <w:r w:rsidRPr="00ED49CA">
              <w:rPr>
                <w:rFonts w:ascii="Calibri" w:hAnsi="Calibri"/>
                <w:color w:val="000000"/>
                <w:sz w:val="20"/>
                <w:lang w:eastAsia="en-AU"/>
              </w:rPr>
              <w:t>3.98</w:t>
            </w:r>
          </w:p>
        </w:tc>
      </w:tr>
      <w:tr w:rsidR="00F20114" w:rsidRPr="00ED49CA" w14:paraId="53A90C5C" w14:textId="77777777" w:rsidTr="00F20114">
        <w:trPr>
          <w:trHeight w:val="300"/>
        </w:trPr>
        <w:tc>
          <w:tcPr>
            <w:tcW w:w="4104" w:type="pct"/>
            <w:tcBorders>
              <w:top w:val="nil"/>
              <w:left w:val="single" w:sz="4" w:space="0" w:color="auto"/>
              <w:bottom w:val="single" w:sz="4" w:space="0" w:color="auto"/>
              <w:right w:val="single" w:sz="4" w:space="0" w:color="auto"/>
            </w:tcBorders>
            <w:shd w:val="clear" w:color="auto" w:fill="auto"/>
            <w:noWrap/>
            <w:vAlign w:val="bottom"/>
            <w:hideMark/>
          </w:tcPr>
          <w:p w14:paraId="0DA9F943" w14:textId="77777777" w:rsidR="00F20114" w:rsidRPr="00ED49CA" w:rsidRDefault="00F20114" w:rsidP="00F20114">
            <w:pPr>
              <w:rPr>
                <w:rFonts w:ascii="Calibri" w:hAnsi="Calibri"/>
                <w:color w:val="000000"/>
                <w:sz w:val="20"/>
                <w:lang w:eastAsia="en-AU"/>
              </w:rPr>
            </w:pPr>
            <w:r w:rsidRPr="00ED49CA">
              <w:rPr>
                <w:rFonts w:ascii="Calibri" w:hAnsi="Calibri"/>
                <w:color w:val="000000"/>
                <w:sz w:val="20"/>
                <w:lang w:eastAsia="en-AU"/>
              </w:rPr>
              <w:t>Housing ex. utilities</w:t>
            </w:r>
          </w:p>
        </w:tc>
        <w:tc>
          <w:tcPr>
            <w:tcW w:w="896" w:type="pct"/>
            <w:tcBorders>
              <w:top w:val="nil"/>
              <w:left w:val="nil"/>
              <w:bottom w:val="single" w:sz="4" w:space="0" w:color="auto"/>
              <w:right w:val="single" w:sz="4" w:space="0" w:color="auto"/>
            </w:tcBorders>
            <w:shd w:val="clear" w:color="auto" w:fill="auto"/>
            <w:noWrap/>
            <w:vAlign w:val="bottom"/>
            <w:hideMark/>
          </w:tcPr>
          <w:p w14:paraId="4CCC4612" w14:textId="77777777" w:rsidR="00F20114" w:rsidRPr="00ED49CA" w:rsidRDefault="00F20114" w:rsidP="00F20114">
            <w:pPr>
              <w:jc w:val="right"/>
              <w:rPr>
                <w:rFonts w:ascii="Calibri" w:hAnsi="Calibri"/>
                <w:color w:val="000000"/>
                <w:sz w:val="20"/>
                <w:lang w:eastAsia="en-AU"/>
              </w:rPr>
            </w:pPr>
            <w:r w:rsidRPr="00ED49CA">
              <w:rPr>
                <w:rFonts w:ascii="Calibri" w:hAnsi="Calibri"/>
                <w:color w:val="000000"/>
                <w:sz w:val="20"/>
                <w:lang w:eastAsia="en-AU"/>
              </w:rPr>
              <w:t>18.69</w:t>
            </w:r>
          </w:p>
        </w:tc>
      </w:tr>
      <w:tr w:rsidR="00F20114" w:rsidRPr="00ED49CA" w14:paraId="7D941828" w14:textId="77777777" w:rsidTr="00F20114">
        <w:trPr>
          <w:trHeight w:val="300"/>
        </w:trPr>
        <w:tc>
          <w:tcPr>
            <w:tcW w:w="4104" w:type="pct"/>
            <w:tcBorders>
              <w:top w:val="nil"/>
              <w:left w:val="single" w:sz="4" w:space="0" w:color="auto"/>
              <w:bottom w:val="single" w:sz="4" w:space="0" w:color="auto"/>
              <w:right w:val="single" w:sz="4" w:space="0" w:color="auto"/>
            </w:tcBorders>
            <w:shd w:val="clear" w:color="auto" w:fill="auto"/>
            <w:noWrap/>
            <w:vAlign w:val="bottom"/>
            <w:hideMark/>
          </w:tcPr>
          <w:p w14:paraId="174C0DE0" w14:textId="77777777" w:rsidR="00F20114" w:rsidRPr="00ED49CA" w:rsidRDefault="00F20114" w:rsidP="00F20114">
            <w:pPr>
              <w:rPr>
                <w:rFonts w:ascii="Calibri" w:hAnsi="Calibri"/>
                <w:color w:val="000000"/>
                <w:sz w:val="20"/>
                <w:lang w:eastAsia="en-AU"/>
              </w:rPr>
            </w:pPr>
            <w:r w:rsidRPr="00ED49CA">
              <w:rPr>
                <w:rFonts w:ascii="Calibri" w:hAnsi="Calibri"/>
                <w:color w:val="000000"/>
                <w:sz w:val="20"/>
                <w:lang w:eastAsia="en-AU"/>
              </w:rPr>
              <w:t>Utilities</w:t>
            </w:r>
          </w:p>
        </w:tc>
        <w:tc>
          <w:tcPr>
            <w:tcW w:w="896" w:type="pct"/>
            <w:tcBorders>
              <w:top w:val="nil"/>
              <w:left w:val="nil"/>
              <w:bottom w:val="single" w:sz="4" w:space="0" w:color="auto"/>
              <w:right w:val="single" w:sz="4" w:space="0" w:color="auto"/>
            </w:tcBorders>
            <w:shd w:val="clear" w:color="auto" w:fill="auto"/>
            <w:noWrap/>
            <w:vAlign w:val="bottom"/>
            <w:hideMark/>
          </w:tcPr>
          <w:p w14:paraId="5BBD05CB" w14:textId="77777777" w:rsidR="00F20114" w:rsidRPr="00ED49CA" w:rsidRDefault="00F20114" w:rsidP="00F20114">
            <w:pPr>
              <w:jc w:val="right"/>
              <w:rPr>
                <w:rFonts w:ascii="Calibri" w:hAnsi="Calibri"/>
                <w:color w:val="000000"/>
                <w:sz w:val="20"/>
                <w:lang w:eastAsia="en-AU"/>
              </w:rPr>
            </w:pPr>
            <w:r w:rsidRPr="00ED49CA">
              <w:rPr>
                <w:rFonts w:ascii="Calibri" w:hAnsi="Calibri"/>
                <w:color w:val="000000"/>
                <w:sz w:val="20"/>
                <w:lang w:eastAsia="en-AU"/>
              </w:rPr>
              <w:t>3.61</w:t>
            </w:r>
          </w:p>
        </w:tc>
      </w:tr>
      <w:tr w:rsidR="00F20114" w:rsidRPr="00ED49CA" w14:paraId="669E50A8" w14:textId="77777777" w:rsidTr="00F20114">
        <w:trPr>
          <w:trHeight w:val="300"/>
        </w:trPr>
        <w:tc>
          <w:tcPr>
            <w:tcW w:w="4104" w:type="pct"/>
            <w:tcBorders>
              <w:top w:val="nil"/>
              <w:left w:val="single" w:sz="4" w:space="0" w:color="auto"/>
              <w:bottom w:val="single" w:sz="4" w:space="0" w:color="auto"/>
              <w:right w:val="single" w:sz="4" w:space="0" w:color="auto"/>
            </w:tcBorders>
            <w:shd w:val="clear" w:color="auto" w:fill="auto"/>
            <w:noWrap/>
            <w:vAlign w:val="bottom"/>
            <w:hideMark/>
          </w:tcPr>
          <w:p w14:paraId="356FA773" w14:textId="77777777" w:rsidR="00F20114" w:rsidRPr="00ED49CA" w:rsidRDefault="00F20114" w:rsidP="00F20114">
            <w:pPr>
              <w:rPr>
                <w:rFonts w:ascii="Calibri" w:hAnsi="Calibri"/>
                <w:color w:val="000000"/>
                <w:sz w:val="20"/>
                <w:lang w:eastAsia="en-AU"/>
              </w:rPr>
            </w:pPr>
            <w:r w:rsidRPr="00ED49CA">
              <w:rPr>
                <w:rFonts w:ascii="Calibri" w:hAnsi="Calibri"/>
                <w:color w:val="000000"/>
                <w:sz w:val="20"/>
                <w:lang w:eastAsia="en-AU"/>
              </w:rPr>
              <w:t>Furnishings, Household Equipment and Services</w:t>
            </w:r>
          </w:p>
        </w:tc>
        <w:tc>
          <w:tcPr>
            <w:tcW w:w="896" w:type="pct"/>
            <w:tcBorders>
              <w:top w:val="nil"/>
              <w:left w:val="nil"/>
              <w:bottom w:val="single" w:sz="4" w:space="0" w:color="auto"/>
              <w:right w:val="single" w:sz="4" w:space="0" w:color="auto"/>
            </w:tcBorders>
            <w:shd w:val="clear" w:color="auto" w:fill="auto"/>
            <w:noWrap/>
            <w:vAlign w:val="bottom"/>
            <w:hideMark/>
          </w:tcPr>
          <w:p w14:paraId="1777B66E" w14:textId="77777777" w:rsidR="00F20114" w:rsidRPr="00ED49CA" w:rsidRDefault="00F20114" w:rsidP="00F20114">
            <w:pPr>
              <w:jc w:val="right"/>
              <w:rPr>
                <w:rFonts w:ascii="Calibri" w:hAnsi="Calibri"/>
                <w:color w:val="000000"/>
                <w:sz w:val="20"/>
                <w:lang w:eastAsia="en-AU"/>
              </w:rPr>
            </w:pPr>
            <w:r w:rsidRPr="00ED49CA">
              <w:rPr>
                <w:rFonts w:ascii="Calibri" w:hAnsi="Calibri"/>
                <w:color w:val="000000"/>
                <w:sz w:val="20"/>
                <w:lang w:eastAsia="en-AU"/>
              </w:rPr>
              <w:t>9.10</w:t>
            </w:r>
          </w:p>
        </w:tc>
      </w:tr>
      <w:tr w:rsidR="00F20114" w:rsidRPr="00ED49CA" w14:paraId="24E5B782" w14:textId="77777777" w:rsidTr="00F20114">
        <w:trPr>
          <w:trHeight w:val="300"/>
        </w:trPr>
        <w:tc>
          <w:tcPr>
            <w:tcW w:w="4104" w:type="pct"/>
            <w:tcBorders>
              <w:top w:val="nil"/>
              <w:left w:val="single" w:sz="4" w:space="0" w:color="auto"/>
              <w:bottom w:val="single" w:sz="4" w:space="0" w:color="auto"/>
              <w:right w:val="single" w:sz="4" w:space="0" w:color="auto"/>
            </w:tcBorders>
            <w:shd w:val="clear" w:color="auto" w:fill="auto"/>
            <w:noWrap/>
            <w:vAlign w:val="bottom"/>
            <w:hideMark/>
          </w:tcPr>
          <w:p w14:paraId="62892DCC" w14:textId="77777777" w:rsidR="00F20114" w:rsidRPr="00ED49CA" w:rsidRDefault="00F20114" w:rsidP="00F20114">
            <w:pPr>
              <w:rPr>
                <w:rFonts w:ascii="Calibri" w:hAnsi="Calibri"/>
                <w:color w:val="000000"/>
                <w:sz w:val="20"/>
                <w:lang w:eastAsia="en-AU"/>
              </w:rPr>
            </w:pPr>
            <w:r w:rsidRPr="00ED49CA">
              <w:rPr>
                <w:rFonts w:ascii="Calibri" w:hAnsi="Calibri"/>
                <w:color w:val="000000"/>
                <w:sz w:val="20"/>
                <w:lang w:eastAsia="en-AU"/>
              </w:rPr>
              <w:t>Health</w:t>
            </w:r>
          </w:p>
        </w:tc>
        <w:tc>
          <w:tcPr>
            <w:tcW w:w="896" w:type="pct"/>
            <w:tcBorders>
              <w:top w:val="nil"/>
              <w:left w:val="nil"/>
              <w:bottom w:val="single" w:sz="4" w:space="0" w:color="auto"/>
              <w:right w:val="single" w:sz="4" w:space="0" w:color="auto"/>
            </w:tcBorders>
            <w:shd w:val="clear" w:color="auto" w:fill="auto"/>
            <w:noWrap/>
            <w:vAlign w:val="bottom"/>
            <w:hideMark/>
          </w:tcPr>
          <w:p w14:paraId="43AED31C" w14:textId="77777777" w:rsidR="00F20114" w:rsidRPr="00ED49CA" w:rsidRDefault="00F20114" w:rsidP="00F20114">
            <w:pPr>
              <w:jc w:val="right"/>
              <w:rPr>
                <w:rFonts w:ascii="Calibri" w:hAnsi="Calibri"/>
                <w:color w:val="000000"/>
                <w:sz w:val="20"/>
                <w:lang w:eastAsia="en-AU"/>
              </w:rPr>
            </w:pPr>
            <w:r w:rsidRPr="00ED49CA">
              <w:rPr>
                <w:rFonts w:ascii="Calibri" w:hAnsi="Calibri"/>
                <w:color w:val="000000"/>
                <w:sz w:val="20"/>
                <w:lang w:eastAsia="en-AU"/>
              </w:rPr>
              <w:t>5.29</w:t>
            </w:r>
          </w:p>
        </w:tc>
      </w:tr>
      <w:tr w:rsidR="00F20114" w:rsidRPr="00ED49CA" w14:paraId="77DFDED2" w14:textId="77777777" w:rsidTr="00F20114">
        <w:trPr>
          <w:trHeight w:val="300"/>
        </w:trPr>
        <w:tc>
          <w:tcPr>
            <w:tcW w:w="4104" w:type="pct"/>
            <w:tcBorders>
              <w:top w:val="nil"/>
              <w:left w:val="single" w:sz="4" w:space="0" w:color="auto"/>
              <w:bottom w:val="single" w:sz="4" w:space="0" w:color="auto"/>
              <w:right w:val="single" w:sz="4" w:space="0" w:color="auto"/>
            </w:tcBorders>
            <w:shd w:val="clear" w:color="auto" w:fill="auto"/>
            <w:noWrap/>
            <w:vAlign w:val="bottom"/>
            <w:hideMark/>
          </w:tcPr>
          <w:p w14:paraId="1BBDC401" w14:textId="77777777" w:rsidR="00F20114" w:rsidRPr="00ED49CA" w:rsidRDefault="00F20114" w:rsidP="00F20114">
            <w:pPr>
              <w:rPr>
                <w:rFonts w:ascii="Calibri" w:hAnsi="Calibri"/>
                <w:color w:val="000000"/>
                <w:sz w:val="20"/>
                <w:lang w:eastAsia="en-AU"/>
              </w:rPr>
            </w:pPr>
            <w:r w:rsidRPr="00ED49CA">
              <w:rPr>
                <w:rFonts w:ascii="Calibri" w:hAnsi="Calibri"/>
                <w:color w:val="000000"/>
                <w:sz w:val="20"/>
                <w:lang w:eastAsia="en-AU"/>
              </w:rPr>
              <w:t>Transport</w:t>
            </w:r>
          </w:p>
        </w:tc>
        <w:tc>
          <w:tcPr>
            <w:tcW w:w="896" w:type="pct"/>
            <w:tcBorders>
              <w:top w:val="nil"/>
              <w:left w:val="nil"/>
              <w:bottom w:val="single" w:sz="4" w:space="0" w:color="auto"/>
              <w:right w:val="single" w:sz="4" w:space="0" w:color="auto"/>
            </w:tcBorders>
            <w:shd w:val="clear" w:color="auto" w:fill="auto"/>
            <w:noWrap/>
            <w:vAlign w:val="bottom"/>
            <w:hideMark/>
          </w:tcPr>
          <w:p w14:paraId="5A1522AB" w14:textId="77777777" w:rsidR="00F20114" w:rsidRPr="00ED49CA" w:rsidRDefault="00F20114" w:rsidP="00F20114">
            <w:pPr>
              <w:jc w:val="right"/>
              <w:rPr>
                <w:rFonts w:ascii="Calibri" w:hAnsi="Calibri"/>
                <w:color w:val="000000"/>
                <w:sz w:val="20"/>
                <w:lang w:eastAsia="en-AU"/>
              </w:rPr>
            </w:pPr>
            <w:r w:rsidRPr="00ED49CA">
              <w:rPr>
                <w:rFonts w:ascii="Calibri" w:hAnsi="Calibri"/>
                <w:color w:val="000000"/>
                <w:sz w:val="20"/>
                <w:lang w:eastAsia="en-AU"/>
              </w:rPr>
              <w:t>11.55</w:t>
            </w:r>
          </w:p>
        </w:tc>
      </w:tr>
      <w:tr w:rsidR="00F20114" w:rsidRPr="00ED49CA" w14:paraId="2522DCAE" w14:textId="77777777" w:rsidTr="00F20114">
        <w:trPr>
          <w:trHeight w:val="300"/>
        </w:trPr>
        <w:tc>
          <w:tcPr>
            <w:tcW w:w="4104" w:type="pct"/>
            <w:tcBorders>
              <w:top w:val="nil"/>
              <w:left w:val="single" w:sz="4" w:space="0" w:color="auto"/>
              <w:bottom w:val="single" w:sz="4" w:space="0" w:color="auto"/>
              <w:right w:val="single" w:sz="4" w:space="0" w:color="auto"/>
            </w:tcBorders>
            <w:shd w:val="clear" w:color="auto" w:fill="auto"/>
            <w:noWrap/>
            <w:vAlign w:val="bottom"/>
            <w:hideMark/>
          </w:tcPr>
          <w:p w14:paraId="62742349" w14:textId="77777777" w:rsidR="00F20114" w:rsidRPr="00ED49CA" w:rsidRDefault="00F20114" w:rsidP="00F20114">
            <w:pPr>
              <w:rPr>
                <w:rFonts w:ascii="Calibri" w:hAnsi="Calibri"/>
                <w:color w:val="000000"/>
                <w:sz w:val="20"/>
                <w:lang w:eastAsia="en-AU"/>
              </w:rPr>
            </w:pPr>
            <w:r w:rsidRPr="00ED49CA">
              <w:rPr>
                <w:rFonts w:ascii="Calibri" w:hAnsi="Calibri"/>
                <w:color w:val="000000"/>
                <w:sz w:val="20"/>
                <w:lang w:eastAsia="en-AU"/>
              </w:rPr>
              <w:t>Communication</w:t>
            </w:r>
          </w:p>
        </w:tc>
        <w:tc>
          <w:tcPr>
            <w:tcW w:w="896" w:type="pct"/>
            <w:tcBorders>
              <w:top w:val="nil"/>
              <w:left w:val="nil"/>
              <w:bottom w:val="single" w:sz="4" w:space="0" w:color="auto"/>
              <w:right w:val="single" w:sz="4" w:space="0" w:color="auto"/>
            </w:tcBorders>
            <w:shd w:val="clear" w:color="auto" w:fill="auto"/>
            <w:noWrap/>
            <w:vAlign w:val="bottom"/>
            <w:hideMark/>
          </w:tcPr>
          <w:p w14:paraId="1C7A913F" w14:textId="77777777" w:rsidR="00F20114" w:rsidRPr="00ED49CA" w:rsidRDefault="00F20114" w:rsidP="00F20114">
            <w:pPr>
              <w:jc w:val="right"/>
              <w:rPr>
                <w:rFonts w:ascii="Calibri" w:hAnsi="Calibri"/>
                <w:color w:val="000000"/>
                <w:sz w:val="20"/>
                <w:lang w:eastAsia="en-AU"/>
              </w:rPr>
            </w:pPr>
            <w:r w:rsidRPr="00ED49CA">
              <w:rPr>
                <w:rFonts w:ascii="Calibri" w:hAnsi="Calibri"/>
                <w:color w:val="000000"/>
                <w:sz w:val="20"/>
                <w:lang w:eastAsia="en-AU"/>
              </w:rPr>
              <w:t>3.05</w:t>
            </w:r>
          </w:p>
        </w:tc>
      </w:tr>
      <w:tr w:rsidR="00F20114" w:rsidRPr="00ED49CA" w14:paraId="21164909" w14:textId="77777777" w:rsidTr="00F20114">
        <w:trPr>
          <w:trHeight w:val="300"/>
        </w:trPr>
        <w:tc>
          <w:tcPr>
            <w:tcW w:w="4104" w:type="pct"/>
            <w:tcBorders>
              <w:top w:val="nil"/>
              <w:left w:val="single" w:sz="4" w:space="0" w:color="auto"/>
              <w:bottom w:val="single" w:sz="4" w:space="0" w:color="auto"/>
              <w:right w:val="single" w:sz="4" w:space="0" w:color="auto"/>
            </w:tcBorders>
            <w:shd w:val="clear" w:color="auto" w:fill="auto"/>
            <w:noWrap/>
            <w:vAlign w:val="bottom"/>
            <w:hideMark/>
          </w:tcPr>
          <w:p w14:paraId="4578BAEE" w14:textId="77777777" w:rsidR="00F20114" w:rsidRPr="00ED49CA" w:rsidRDefault="00F20114" w:rsidP="00F20114">
            <w:pPr>
              <w:rPr>
                <w:rFonts w:ascii="Calibri" w:hAnsi="Calibri"/>
                <w:color w:val="000000"/>
                <w:sz w:val="20"/>
                <w:lang w:eastAsia="en-AU"/>
              </w:rPr>
            </w:pPr>
            <w:r w:rsidRPr="00ED49CA">
              <w:rPr>
                <w:rFonts w:ascii="Calibri" w:hAnsi="Calibri"/>
                <w:color w:val="000000"/>
                <w:sz w:val="20"/>
                <w:lang w:eastAsia="en-AU"/>
              </w:rPr>
              <w:t>Recreation and Culture</w:t>
            </w:r>
          </w:p>
        </w:tc>
        <w:tc>
          <w:tcPr>
            <w:tcW w:w="896" w:type="pct"/>
            <w:tcBorders>
              <w:top w:val="nil"/>
              <w:left w:val="nil"/>
              <w:bottom w:val="single" w:sz="4" w:space="0" w:color="auto"/>
              <w:right w:val="single" w:sz="4" w:space="0" w:color="auto"/>
            </w:tcBorders>
            <w:shd w:val="clear" w:color="auto" w:fill="auto"/>
            <w:noWrap/>
            <w:vAlign w:val="bottom"/>
            <w:hideMark/>
          </w:tcPr>
          <w:p w14:paraId="43A80D62" w14:textId="77777777" w:rsidR="00F20114" w:rsidRPr="00ED49CA" w:rsidRDefault="00F20114" w:rsidP="00F20114">
            <w:pPr>
              <w:jc w:val="right"/>
              <w:rPr>
                <w:rFonts w:ascii="Calibri" w:hAnsi="Calibri"/>
                <w:color w:val="000000"/>
                <w:sz w:val="20"/>
                <w:lang w:eastAsia="en-AU"/>
              </w:rPr>
            </w:pPr>
            <w:r w:rsidRPr="00ED49CA">
              <w:rPr>
                <w:rFonts w:ascii="Calibri" w:hAnsi="Calibri"/>
                <w:color w:val="000000"/>
                <w:sz w:val="20"/>
                <w:lang w:eastAsia="en-AU"/>
              </w:rPr>
              <w:t>12.56</w:t>
            </w:r>
          </w:p>
        </w:tc>
      </w:tr>
      <w:tr w:rsidR="00F20114" w:rsidRPr="00ED49CA" w14:paraId="10E361BB" w14:textId="77777777" w:rsidTr="00F20114">
        <w:trPr>
          <w:trHeight w:val="300"/>
        </w:trPr>
        <w:tc>
          <w:tcPr>
            <w:tcW w:w="4104" w:type="pct"/>
            <w:tcBorders>
              <w:top w:val="nil"/>
              <w:left w:val="single" w:sz="4" w:space="0" w:color="auto"/>
              <w:bottom w:val="single" w:sz="4" w:space="0" w:color="auto"/>
              <w:right w:val="single" w:sz="4" w:space="0" w:color="auto"/>
            </w:tcBorders>
            <w:shd w:val="clear" w:color="auto" w:fill="auto"/>
            <w:noWrap/>
            <w:vAlign w:val="bottom"/>
            <w:hideMark/>
          </w:tcPr>
          <w:p w14:paraId="6EFCAF57" w14:textId="77777777" w:rsidR="00F20114" w:rsidRPr="00ED49CA" w:rsidRDefault="00F20114" w:rsidP="00F20114">
            <w:pPr>
              <w:rPr>
                <w:rFonts w:ascii="Calibri" w:hAnsi="Calibri"/>
                <w:color w:val="000000"/>
                <w:sz w:val="20"/>
                <w:lang w:eastAsia="en-AU"/>
              </w:rPr>
            </w:pPr>
            <w:r w:rsidRPr="00ED49CA">
              <w:rPr>
                <w:rFonts w:ascii="Calibri" w:hAnsi="Calibri"/>
                <w:color w:val="000000"/>
                <w:sz w:val="20"/>
                <w:lang w:eastAsia="en-AU"/>
              </w:rPr>
              <w:t>Education</w:t>
            </w:r>
          </w:p>
        </w:tc>
        <w:tc>
          <w:tcPr>
            <w:tcW w:w="896" w:type="pct"/>
            <w:tcBorders>
              <w:top w:val="nil"/>
              <w:left w:val="nil"/>
              <w:bottom w:val="single" w:sz="4" w:space="0" w:color="auto"/>
              <w:right w:val="single" w:sz="4" w:space="0" w:color="auto"/>
            </w:tcBorders>
            <w:shd w:val="clear" w:color="auto" w:fill="auto"/>
            <w:noWrap/>
            <w:vAlign w:val="bottom"/>
            <w:hideMark/>
          </w:tcPr>
          <w:p w14:paraId="6EDF8AF9" w14:textId="77777777" w:rsidR="00F20114" w:rsidRPr="00ED49CA" w:rsidRDefault="00F20114" w:rsidP="00F20114">
            <w:pPr>
              <w:jc w:val="right"/>
              <w:rPr>
                <w:rFonts w:ascii="Calibri" w:hAnsi="Calibri"/>
                <w:color w:val="000000"/>
                <w:sz w:val="20"/>
                <w:lang w:eastAsia="en-AU"/>
              </w:rPr>
            </w:pPr>
            <w:r w:rsidRPr="00ED49CA">
              <w:rPr>
                <w:rFonts w:ascii="Calibri" w:hAnsi="Calibri"/>
                <w:color w:val="000000"/>
                <w:sz w:val="20"/>
                <w:lang w:eastAsia="en-AU"/>
              </w:rPr>
              <w:t>3.18</w:t>
            </w:r>
          </w:p>
        </w:tc>
      </w:tr>
      <w:tr w:rsidR="00F20114" w:rsidRPr="00ED49CA" w14:paraId="4E651CF7" w14:textId="77777777" w:rsidTr="00F20114">
        <w:trPr>
          <w:trHeight w:val="300"/>
        </w:trPr>
        <w:tc>
          <w:tcPr>
            <w:tcW w:w="4104" w:type="pct"/>
            <w:tcBorders>
              <w:top w:val="nil"/>
              <w:left w:val="single" w:sz="4" w:space="0" w:color="auto"/>
              <w:bottom w:val="single" w:sz="4" w:space="0" w:color="auto"/>
              <w:right w:val="single" w:sz="4" w:space="0" w:color="auto"/>
            </w:tcBorders>
            <w:shd w:val="clear" w:color="auto" w:fill="auto"/>
            <w:noWrap/>
            <w:vAlign w:val="bottom"/>
            <w:hideMark/>
          </w:tcPr>
          <w:p w14:paraId="7E28EC5E" w14:textId="77777777" w:rsidR="00F20114" w:rsidRPr="00ED49CA" w:rsidRDefault="00F20114" w:rsidP="00F20114">
            <w:pPr>
              <w:rPr>
                <w:rFonts w:ascii="Calibri" w:hAnsi="Calibri"/>
                <w:color w:val="000000"/>
                <w:sz w:val="20"/>
                <w:lang w:eastAsia="en-AU"/>
              </w:rPr>
            </w:pPr>
            <w:r w:rsidRPr="00ED49CA">
              <w:rPr>
                <w:rFonts w:ascii="Calibri" w:hAnsi="Calibri"/>
                <w:color w:val="000000"/>
                <w:sz w:val="20"/>
                <w:lang w:eastAsia="en-AU"/>
              </w:rPr>
              <w:t xml:space="preserve">Insurance </w:t>
            </w:r>
          </w:p>
        </w:tc>
        <w:tc>
          <w:tcPr>
            <w:tcW w:w="896" w:type="pct"/>
            <w:tcBorders>
              <w:top w:val="nil"/>
              <w:left w:val="nil"/>
              <w:bottom w:val="single" w:sz="4" w:space="0" w:color="auto"/>
              <w:right w:val="single" w:sz="4" w:space="0" w:color="auto"/>
            </w:tcBorders>
            <w:shd w:val="clear" w:color="auto" w:fill="auto"/>
            <w:noWrap/>
            <w:vAlign w:val="bottom"/>
            <w:hideMark/>
          </w:tcPr>
          <w:p w14:paraId="0300BD26" w14:textId="77777777" w:rsidR="00F20114" w:rsidRPr="00ED49CA" w:rsidRDefault="00F20114" w:rsidP="00F20114">
            <w:pPr>
              <w:jc w:val="right"/>
              <w:rPr>
                <w:rFonts w:ascii="Calibri" w:hAnsi="Calibri"/>
                <w:color w:val="000000"/>
                <w:sz w:val="20"/>
                <w:lang w:eastAsia="en-AU"/>
              </w:rPr>
            </w:pPr>
            <w:r w:rsidRPr="00ED49CA">
              <w:rPr>
                <w:rFonts w:ascii="Calibri" w:hAnsi="Calibri"/>
                <w:color w:val="000000"/>
                <w:sz w:val="20"/>
                <w:lang w:eastAsia="en-AU"/>
              </w:rPr>
              <w:t>1.40</w:t>
            </w:r>
          </w:p>
        </w:tc>
      </w:tr>
      <w:tr w:rsidR="00F20114" w:rsidRPr="00ED49CA" w14:paraId="0086A30D" w14:textId="77777777" w:rsidTr="00F20114">
        <w:trPr>
          <w:trHeight w:val="300"/>
        </w:trPr>
        <w:tc>
          <w:tcPr>
            <w:tcW w:w="4104" w:type="pct"/>
            <w:tcBorders>
              <w:top w:val="nil"/>
              <w:left w:val="single" w:sz="4" w:space="0" w:color="auto"/>
              <w:bottom w:val="single" w:sz="4" w:space="0" w:color="auto"/>
              <w:right w:val="single" w:sz="4" w:space="0" w:color="auto"/>
            </w:tcBorders>
            <w:shd w:val="clear" w:color="auto" w:fill="auto"/>
            <w:noWrap/>
            <w:vAlign w:val="bottom"/>
            <w:hideMark/>
          </w:tcPr>
          <w:p w14:paraId="1815187C" w14:textId="77777777" w:rsidR="00F20114" w:rsidRPr="00ED49CA" w:rsidRDefault="00F20114" w:rsidP="00F20114">
            <w:pPr>
              <w:rPr>
                <w:rFonts w:ascii="Calibri" w:hAnsi="Calibri"/>
                <w:color w:val="000000"/>
                <w:sz w:val="20"/>
                <w:lang w:eastAsia="en-AU"/>
              </w:rPr>
            </w:pPr>
            <w:r w:rsidRPr="00ED49CA">
              <w:rPr>
                <w:rFonts w:ascii="Calibri" w:hAnsi="Calibri"/>
                <w:color w:val="000000"/>
                <w:sz w:val="20"/>
                <w:lang w:eastAsia="en-AU"/>
              </w:rPr>
              <w:t>Financial Services</w:t>
            </w:r>
          </w:p>
        </w:tc>
        <w:tc>
          <w:tcPr>
            <w:tcW w:w="896" w:type="pct"/>
            <w:tcBorders>
              <w:top w:val="nil"/>
              <w:left w:val="nil"/>
              <w:bottom w:val="single" w:sz="4" w:space="0" w:color="auto"/>
              <w:right w:val="single" w:sz="4" w:space="0" w:color="auto"/>
            </w:tcBorders>
            <w:shd w:val="clear" w:color="auto" w:fill="auto"/>
            <w:noWrap/>
            <w:vAlign w:val="bottom"/>
            <w:hideMark/>
          </w:tcPr>
          <w:p w14:paraId="7C5914FA" w14:textId="77777777" w:rsidR="00F20114" w:rsidRPr="00ED49CA" w:rsidRDefault="00F20114" w:rsidP="00F20114">
            <w:pPr>
              <w:jc w:val="right"/>
              <w:rPr>
                <w:rFonts w:ascii="Calibri" w:hAnsi="Calibri"/>
                <w:color w:val="000000"/>
                <w:sz w:val="20"/>
                <w:lang w:eastAsia="en-AU"/>
              </w:rPr>
            </w:pPr>
            <w:r w:rsidRPr="00ED49CA">
              <w:rPr>
                <w:rFonts w:ascii="Calibri" w:hAnsi="Calibri"/>
                <w:color w:val="000000"/>
                <w:sz w:val="20"/>
                <w:lang w:eastAsia="en-AU"/>
              </w:rPr>
              <w:t>3.68</w:t>
            </w:r>
          </w:p>
        </w:tc>
      </w:tr>
      <w:tr w:rsidR="00F20114" w:rsidRPr="00ED49CA" w14:paraId="57BFC730" w14:textId="77777777" w:rsidTr="00F20114">
        <w:trPr>
          <w:trHeight w:val="300"/>
        </w:trPr>
        <w:tc>
          <w:tcPr>
            <w:tcW w:w="4104" w:type="pct"/>
            <w:tcBorders>
              <w:top w:val="nil"/>
              <w:left w:val="single" w:sz="4" w:space="0" w:color="auto"/>
              <w:bottom w:val="single" w:sz="4" w:space="0" w:color="auto"/>
              <w:right w:val="single" w:sz="4" w:space="0" w:color="auto"/>
            </w:tcBorders>
            <w:shd w:val="clear" w:color="auto" w:fill="auto"/>
            <w:noWrap/>
            <w:vAlign w:val="bottom"/>
            <w:hideMark/>
          </w:tcPr>
          <w:p w14:paraId="4829D050" w14:textId="77777777" w:rsidR="00F20114" w:rsidRPr="00ED49CA" w:rsidRDefault="00F20114" w:rsidP="00F20114">
            <w:pPr>
              <w:rPr>
                <w:rFonts w:ascii="Calibri" w:hAnsi="Calibri"/>
                <w:color w:val="000000"/>
                <w:sz w:val="20"/>
                <w:lang w:eastAsia="en-AU"/>
              </w:rPr>
            </w:pPr>
            <w:r w:rsidRPr="00ED49CA">
              <w:rPr>
                <w:rFonts w:ascii="Calibri" w:hAnsi="Calibri"/>
                <w:color w:val="000000"/>
                <w:sz w:val="20"/>
                <w:lang w:eastAsia="en-AU"/>
              </w:rPr>
              <w:t>Total</w:t>
            </w:r>
          </w:p>
        </w:tc>
        <w:tc>
          <w:tcPr>
            <w:tcW w:w="896" w:type="pct"/>
            <w:tcBorders>
              <w:top w:val="nil"/>
              <w:left w:val="nil"/>
              <w:bottom w:val="single" w:sz="4" w:space="0" w:color="auto"/>
              <w:right w:val="single" w:sz="4" w:space="0" w:color="auto"/>
            </w:tcBorders>
            <w:shd w:val="clear" w:color="auto" w:fill="auto"/>
            <w:noWrap/>
            <w:vAlign w:val="bottom"/>
            <w:hideMark/>
          </w:tcPr>
          <w:p w14:paraId="07295573" w14:textId="77777777" w:rsidR="00F20114" w:rsidRPr="00ED49CA" w:rsidRDefault="00F20114" w:rsidP="00F20114">
            <w:pPr>
              <w:jc w:val="right"/>
              <w:rPr>
                <w:rFonts w:ascii="Calibri" w:hAnsi="Calibri"/>
                <w:color w:val="000000"/>
                <w:sz w:val="20"/>
                <w:lang w:eastAsia="en-AU"/>
              </w:rPr>
            </w:pPr>
            <w:r w:rsidRPr="00ED49CA">
              <w:rPr>
                <w:rFonts w:ascii="Calibri" w:hAnsi="Calibri"/>
                <w:color w:val="000000"/>
                <w:sz w:val="20"/>
                <w:lang w:eastAsia="en-AU"/>
              </w:rPr>
              <w:t>99.99</w:t>
            </w:r>
          </w:p>
        </w:tc>
      </w:tr>
    </w:tbl>
    <w:p w14:paraId="73494EEE" w14:textId="77777777" w:rsidR="00F20114" w:rsidRDefault="00F20114" w:rsidP="00F20114">
      <w:pPr>
        <w:rPr>
          <w:b/>
        </w:rPr>
      </w:pPr>
    </w:p>
    <w:p w14:paraId="5E660023" w14:textId="77777777" w:rsidR="00F20114" w:rsidRDefault="00F20114" w:rsidP="00F20114">
      <w:r>
        <w:t>The DTF is understood to construct its own version of the CPI for Melbourne where cost categories have been differentiated into market goods and services (excluding volatile items) accounting for 75 per cent of the total CPI basket, with the remaining 25 per cent attributable to other items.</w:t>
      </w:r>
    </w:p>
    <w:p w14:paraId="0A202C57" w14:textId="77777777" w:rsidR="00F20114" w:rsidRDefault="00F20114" w:rsidP="00F20114"/>
    <w:p w14:paraId="0F51AF1E" w14:textId="77777777" w:rsidR="00F20114" w:rsidRDefault="00F20114" w:rsidP="00F20114">
      <w:r>
        <w:t xml:space="preserve">The former group captures the types of goods and services typically driven by market factors (excluding volatile items) and consists of all CPI groups except for automotive fuel, fruit and vegetables, utilities, property rates and charges, child care, health, other services in respect of motor vehicles, urban transport fares, postal services, and education. The excluded items are argued to represent those which are more </w:t>
      </w:r>
      <w:r>
        <w:lastRenderedPageBreak/>
        <w:t>heavily influenced by non-market factors (such as administered price changes) or exhibit volatility as a result of supply</w:t>
      </w:r>
      <w:r>
        <w:noBreakHyphen/>
        <w:t>side factors.</w:t>
      </w:r>
    </w:p>
    <w:p w14:paraId="4BB7DD80" w14:textId="77777777" w:rsidR="00F20114" w:rsidRDefault="00F20114" w:rsidP="00F20114"/>
    <w:p w14:paraId="67B95BE7" w14:textId="77777777" w:rsidR="00F20114" w:rsidRDefault="00F20114" w:rsidP="00F20114">
      <w:r>
        <w:t xml:space="preserve">It is unclear what weights are afforded to the costs within the DTF’s remaining basket after discounting for volatile items or whether the balance are merely pro-rated and what material differences arise from this approach.  The published dataset, “DTF Macroeconomic Indicators, gives </w:t>
      </w:r>
      <w:r w:rsidRPr="000309C2">
        <w:rPr>
          <w:i/>
        </w:rPr>
        <w:t>budget</w:t>
      </w:r>
      <w:r>
        <w:t xml:space="preserve"> and </w:t>
      </w:r>
      <w:r w:rsidRPr="000309C2">
        <w:rPr>
          <w:i/>
        </w:rPr>
        <w:t>budget update</w:t>
      </w:r>
      <w:r>
        <w:t xml:space="preserve"> forecasts for CPI but the </w:t>
      </w:r>
      <w:r w:rsidRPr="000309C2">
        <w:rPr>
          <w:i/>
        </w:rPr>
        <w:t>actual</w:t>
      </w:r>
      <w:r>
        <w:t xml:space="preserve"> figures included are ABS figures. This begs the question as to what the actuals would have been based on the DTF method. Clearly, what and how much is included in the measure to be used, needs to be clear and easy to understand.</w:t>
      </w:r>
    </w:p>
    <w:p w14:paraId="4D07960B" w14:textId="77777777" w:rsidR="00F20114" w:rsidRPr="00542CD4" w:rsidRDefault="00F20114" w:rsidP="00F20114"/>
    <w:p w14:paraId="3713F7C4" w14:textId="3B6BBF45" w:rsidR="00F20114" w:rsidRDefault="00F20114" w:rsidP="00F20114">
      <w:r>
        <w:t xml:space="preserve">The exclusion of automotive fuels and utilities on the basis of volatility in prices would appear counter-intuitive given </w:t>
      </w:r>
      <w:r w:rsidR="00D81674">
        <w:t xml:space="preserve">the </w:t>
      </w:r>
      <w:r>
        <w:t xml:space="preserve">importance of these as costs for councils’ service provision e.g. recreation centres and infrastructure construction and maintenance. </w:t>
      </w:r>
    </w:p>
    <w:p w14:paraId="1414F6E4" w14:textId="77777777" w:rsidR="00F20114" w:rsidRDefault="00F20114" w:rsidP="00F20114"/>
    <w:p w14:paraId="035056C2" w14:textId="2EBFAC7D" w:rsidR="00F20114" w:rsidRDefault="00F20114" w:rsidP="00F20114">
      <w:pPr>
        <w:rPr>
          <w:b/>
        </w:rPr>
      </w:pPr>
      <w:r w:rsidRPr="00542CD4">
        <w:t>A significant proportion of councils</w:t>
      </w:r>
      <w:r>
        <w:t>’</w:t>
      </w:r>
      <w:r w:rsidRPr="00542CD4">
        <w:t xml:space="preserve"> spending</w:t>
      </w:r>
      <w:r>
        <w:t xml:space="preserve">, around </w:t>
      </w:r>
      <w:r w:rsidR="00CC235C">
        <w:t>22%</w:t>
      </w:r>
      <w:r>
        <w:t xml:space="preserve"> </w:t>
      </w:r>
      <w:r w:rsidRPr="00542CD4">
        <w:t xml:space="preserve">is dedicated to </w:t>
      </w:r>
      <w:r>
        <w:t xml:space="preserve">building and non-building </w:t>
      </w:r>
      <w:r w:rsidRPr="00542CD4">
        <w:t>construction</w:t>
      </w:r>
      <w:r>
        <w:t xml:space="preserve"> and any indices need to be reflective of this. The extent of any consideration of any existing production cost indices or their possible development has not been adequately discussed by the ESC.</w:t>
      </w:r>
    </w:p>
    <w:p w14:paraId="3FA37F86" w14:textId="77777777" w:rsidR="00F20114" w:rsidRDefault="00F20114" w:rsidP="00F20114">
      <w:pPr>
        <w:rPr>
          <w:b/>
        </w:rPr>
      </w:pPr>
    </w:p>
    <w:p w14:paraId="7E6007B3" w14:textId="5F47040C" w:rsidR="00F20114" w:rsidRDefault="00F20114" w:rsidP="00BA1A30">
      <w:pPr>
        <w:pStyle w:val="Heading4"/>
      </w:pPr>
      <w:r>
        <w:t>Limitations of Wages P</w:t>
      </w:r>
      <w:r w:rsidRPr="006F76D3">
        <w:t>r</w:t>
      </w:r>
      <w:r>
        <w:t>i</w:t>
      </w:r>
      <w:r w:rsidRPr="006F76D3">
        <w:t>ce Index</w:t>
      </w:r>
      <w:r>
        <w:t xml:space="preserve"> </w:t>
      </w:r>
      <w:r w:rsidRPr="006F76D3">
        <w:t>(WPI)</w:t>
      </w:r>
    </w:p>
    <w:p w14:paraId="45145DEE" w14:textId="77777777" w:rsidR="00BA1A30" w:rsidRPr="006F76D3" w:rsidRDefault="00BA1A30" w:rsidP="00F20114">
      <w:pPr>
        <w:rPr>
          <w:b/>
        </w:rPr>
      </w:pPr>
    </w:p>
    <w:p w14:paraId="39644FB3" w14:textId="77777777" w:rsidR="00F20114" w:rsidRDefault="00F20114" w:rsidP="00F20114">
      <w:r>
        <w:t xml:space="preserve">WPI only considers “pure” price changes in labour costs and does not consider </w:t>
      </w:r>
      <w:r w:rsidRPr="005A2722">
        <w:t>changes in the age, grade or level of qualification of the occupant</w:t>
      </w:r>
      <w:r>
        <w:t xml:space="preserve"> and relevant pay.  The local government sector is characterised highly by salary progression via levels within bands.  The costs of annual progression for a large number of employees will therefore not be accounted for in the cap which alone may add more than 1% to wage payments in councils with low staff turnover. </w:t>
      </w:r>
    </w:p>
    <w:p w14:paraId="58525081" w14:textId="77777777" w:rsidR="00BA1A30" w:rsidRDefault="00BA1A30" w:rsidP="00F20114"/>
    <w:p w14:paraId="68E753D4" w14:textId="77777777" w:rsidR="00F20114" w:rsidRDefault="00F20114" w:rsidP="00F20114">
      <w:r>
        <w:t>While opposition may be taken to any claim local government labour market conditions are different from those generally prevailing, councils are not like private sector providers that can just “close shop” or drastically change product lines – they have to keep providing services and often have to pay premium prices for labour. For example, they have to compete in labour markets where demand is strong in disciplines like planning and environmental health and may need to provide higher rates in order to attract staff to specific locations.</w:t>
      </w:r>
    </w:p>
    <w:p w14:paraId="0D87EC99" w14:textId="77777777" w:rsidR="00BA1A30" w:rsidRDefault="00BA1A30" w:rsidP="00F20114"/>
    <w:p w14:paraId="328C515F" w14:textId="77777777" w:rsidR="00F20114" w:rsidRDefault="00F20114" w:rsidP="00F20114">
      <w:pPr>
        <w:rPr>
          <w:b/>
        </w:rPr>
      </w:pPr>
    </w:p>
    <w:p w14:paraId="4C1A6E4C" w14:textId="77777777" w:rsidR="00F20114" w:rsidRDefault="00F20114" w:rsidP="00F20114">
      <w:pPr>
        <w:rPr>
          <w:b/>
        </w:rPr>
      </w:pPr>
      <w:r>
        <w:rPr>
          <w:b/>
        </w:rPr>
        <w:br w:type="page"/>
      </w:r>
    </w:p>
    <w:p w14:paraId="2D0629B6" w14:textId="73DD68CA" w:rsidR="00F20114" w:rsidRDefault="00F20114" w:rsidP="005F0E18">
      <w:pPr>
        <w:pStyle w:val="Heading4"/>
      </w:pPr>
      <w:r w:rsidRPr="00A02CCA">
        <w:lastRenderedPageBreak/>
        <w:t>Forecast-Based Index</w:t>
      </w:r>
    </w:p>
    <w:p w14:paraId="607AE543" w14:textId="77777777" w:rsidR="00BA1A30" w:rsidRPr="00BA1A30" w:rsidRDefault="00BA1A30" w:rsidP="00BA1A30"/>
    <w:p w14:paraId="65BA1361" w14:textId="77777777" w:rsidR="00F20114" w:rsidRDefault="00F20114" w:rsidP="00F20114">
      <w:r>
        <w:t xml:space="preserve">The ESC recommends the Framework should adopt a rates cap based on State Department of Treasury and Finance forecasts of increases in the CPI and WPI.  The ESC proposes that the DTF forecasts provided in December of the previous year be used for this purpose. </w:t>
      </w:r>
    </w:p>
    <w:p w14:paraId="2E865A7D" w14:textId="77777777" w:rsidR="00BA1A30" w:rsidRDefault="00BA1A30" w:rsidP="00F20114"/>
    <w:p w14:paraId="734A369D" w14:textId="77777777" w:rsidR="00F20114" w:rsidRDefault="00F20114" w:rsidP="00F20114">
      <w:r>
        <w:t>The State Government Budget is delivered in May of the previous year and includes forecasts for planning purposes. Updated budget (mid-cycle) forecasts are also provided and these are assumed to be the December ones referred to by the ESC.</w:t>
      </w:r>
    </w:p>
    <w:p w14:paraId="011E10A3" w14:textId="77777777" w:rsidR="00BA1A30" w:rsidRDefault="00BA1A30" w:rsidP="00F20114"/>
    <w:p w14:paraId="7970EA65" w14:textId="77777777" w:rsidR="00F20114" w:rsidRDefault="00F20114" w:rsidP="00F20114">
      <w:r>
        <w:t xml:space="preserve">The cap that is imposed on councils will reflect anticipated general cost and wage movements. Forecasts are not always accurate - what happens in the case where State forecasts vary materially from the actual, particularly where forecasts are too low?  Given that a forecast-based cap will have influenced councils’ decision-making there would appear good argument for retrospective adjustments to current year capping. </w:t>
      </w:r>
    </w:p>
    <w:p w14:paraId="7BDD12D5" w14:textId="77777777" w:rsidR="00BA1A30" w:rsidRDefault="00BA1A30" w:rsidP="00F20114"/>
    <w:p w14:paraId="6B288191" w14:textId="77777777" w:rsidR="00F20114" w:rsidRDefault="00F20114" w:rsidP="00F20114">
      <w:r>
        <w:t xml:space="preserve">It is instructive to look at what the historical experience shows if the forecast-based cap proposed by the ESC were to be compared with what the cap would have been based on actuals. </w:t>
      </w:r>
    </w:p>
    <w:p w14:paraId="0BFF9230" w14:textId="77777777" w:rsidR="00BA1A30" w:rsidRDefault="00BA1A30" w:rsidP="00F20114"/>
    <w:tbl>
      <w:tblPr>
        <w:tblW w:w="9600" w:type="dxa"/>
        <w:tblInd w:w="93" w:type="dxa"/>
        <w:tblLook w:val="04A0" w:firstRow="1" w:lastRow="0" w:firstColumn="1" w:lastColumn="0" w:noHBand="0" w:noVBand="1"/>
      </w:tblPr>
      <w:tblGrid>
        <w:gridCol w:w="1261"/>
        <w:gridCol w:w="960"/>
        <w:gridCol w:w="960"/>
        <w:gridCol w:w="960"/>
        <w:gridCol w:w="960"/>
        <w:gridCol w:w="960"/>
        <w:gridCol w:w="960"/>
        <w:gridCol w:w="960"/>
        <w:gridCol w:w="960"/>
        <w:gridCol w:w="960"/>
      </w:tblGrid>
      <w:tr w:rsidR="00F20114" w:rsidRPr="00926B35" w14:paraId="639B2E25" w14:textId="77777777" w:rsidTr="00F20114">
        <w:trPr>
          <w:trHeight w:val="300"/>
          <w:tblHeader/>
        </w:trPr>
        <w:tc>
          <w:tcPr>
            <w:tcW w:w="9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697EE50" w14:textId="77777777" w:rsidR="00F20114" w:rsidRPr="00926B35" w:rsidRDefault="00F20114" w:rsidP="00F20114">
            <w:pPr>
              <w:rPr>
                <w:color w:val="000000"/>
                <w:sz w:val="20"/>
                <w:lang w:eastAsia="en-AU"/>
              </w:rPr>
            </w:pPr>
            <w:r w:rsidRPr="00926B35">
              <w:rPr>
                <w:color w:val="000000"/>
                <w:sz w:val="20"/>
                <w:lang w:eastAsia="en-AU"/>
              </w:rPr>
              <w:t> </w:t>
            </w:r>
          </w:p>
        </w:tc>
        <w:tc>
          <w:tcPr>
            <w:tcW w:w="960" w:type="dxa"/>
            <w:tcBorders>
              <w:top w:val="single" w:sz="4" w:space="0" w:color="auto"/>
              <w:left w:val="nil"/>
              <w:bottom w:val="single" w:sz="4" w:space="0" w:color="auto"/>
              <w:right w:val="single" w:sz="4" w:space="0" w:color="auto"/>
            </w:tcBorders>
            <w:shd w:val="clear" w:color="000000" w:fill="FDE9D9"/>
            <w:noWrap/>
            <w:vAlign w:val="center"/>
            <w:hideMark/>
          </w:tcPr>
          <w:p w14:paraId="6D9E59B6" w14:textId="77777777" w:rsidR="00F20114" w:rsidRPr="00926B35" w:rsidRDefault="00F20114" w:rsidP="00F20114">
            <w:pPr>
              <w:rPr>
                <w:b/>
                <w:bCs/>
                <w:color w:val="000000"/>
                <w:sz w:val="20"/>
                <w:lang w:eastAsia="en-AU"/>
              </w:rPr>
            </w:pPr>
            <w:r w:rsidRPr="00926B35">
              <w:rPr>
                <w:b/>
                <w:bCs/>
                <w:color w:val="000000"/>
                <w:sz w:val="20"/>
                <w:lang w:eastAsia="en-AU"/>
              </w:rPr>
              <w:t>ABS</w:t>
            </w:r>
          </w:p>
        </w:tc>
        <w:tc>
          <w:tcPr>
            <w:tcW w:w="960" w:type="dxa"/>
            <w:tcBorders>
              <w:top w:val="single" w:sz="4" w:space="0" w:color="auto"/>
              <w:left w:val="nil"/>
              <w:bottom w:val="single" w:sz="4" w:space="0" w:color="auto"/>
              <w:right w:val="single" w:sz="4" w:space="0" w:color="auto"/>
            </w:tcBorders>
            <w:shd w:val="clear" w:color="000000" w:fill="000000"/>
            <w:noWrap/>
            <w:vAlign w:val="center"/>
            <w:hideMark/>
          </w:tcPr>
          <w:p w14:paraId="6EE49579" w14:textId="77777777" w:rsidR="00F20114" w:rsidRPr="00926B35" w:rsidRDefault="00F20114" w:rsidP="00F20114">
            <w:pPr>
              <w:rPr>
                <w:b/>
                <w:bCs/>
                <w:color w:val="000000"/>
                <w:sz w:val="20"/>
                <w:lang w:eastAsia="en-AU"/>
              </w:rPr>
            </w:pPr>
            <w:r w:rsidRPr="00926B35">
              <w:rPr>
                <w:b/>
                <w:bCs/>
                <w:color w:val="000000"/>
                <w:sz w:val="20"/>
                <w:lang w:eastAsia="en-AU"/>
              </w:rPr>
              <w:t> </w:t>
            </w:r>
          </w:p>
        </w:tc>
        <w:tc>
          <w:tcPr>
            <w:tcW w:w="960" w:type="dxa"/>
            <w:tcBorders>
              <w:top w:val="single" w:sz="4" w:space="0" w:color="auto"/>
              <w:left w:val="nil"/>
              <w:bottom w:val="single" w:sz="4" w:space="0" w:color="auto"/>
              <w:right w:val="single" w:sz="4" w:space="0" w:color="auto"/>
            </w:tcBorders>
            <w:shd w:val="clear" w:color="000000" w:fill="000000"/>
            <w:noWrap/>
            <w:vAlign w:val="center"/>
            <w:hideMark/>
          </w:tcPr>
          <w:p w14:paraId="5247349F" w14:textId="77777777" w:rsidR="00F20114" w:rsidRPr="00926B35" w:rsidRDefault="00F20114" w:rsidP="00F20114">
            <w:pPr>
              <w:rPr>
                <w:b/>
                <w:bCs/>
                <w:color w:val="000000"/>
                <w:sz w:val="20"/>
                <w:lang w:eastAsia="en-AU"/>
              </w:rPr>
            </w:pPr>
            <w:r w:rsidRPr="00926B35">
              <w:rPr>
                <w:b/>
                <w:bCs/>
                <w:color w:val="000000"/>
                <w:sz w:val="20"/>
                <w:lang w:eastAsia="en-AU"/>
              </w:rPr>
              <w:t> </w:t>
            </w:r>
          </w:p>
        </w:tc>
        <w:tc>
          <w:tcPr>
            <w:tcW w:w="5760" w:type="dxa"/>
            <w:gridSpan w:val="6"/>
            <w:tcBorders>
              <w:top w:val="single" w:sz="4" w:space="0" w:color="auto"/>
              <w:left w:val="nil"/>
              <w:bottom w:val="single" w:sz="4" w:space="0" w:color="auto"/>
              <w:right w:val="single" w:sz="4" w:space="0" w:color="auto"/>
            </w:tcBorders>
            <w:shd w:val="clear" w:color="000000" w:fill="DAEEF3"/>
            <w:noWrap/>
            <w:vAlign w:val="center"/>
            <w:hideMark/>
          </w:tcPr>
          <w:p w14:paraId="10BAA6BC" w14:textId="77777777" w:rsidR="00F20114" w:rsidRPr="00926B35" w:rsidRDefault="00F20114" w:rsidP="00F20114">
            <w:pPr>
              <w:jc w:val="center"/>
              <w:rPr>
                <w:b/>
                <w:bCs/>
                <w:color w:val="000000"/>
                <w:sz w:val="20"/>
                <w:lang w:eastAsia="en-AU"/>
              </w:rPr>
            </w:pPr>
            <w:r w:rsidRPr="00926B35">
              <w:rPr>
                <w:b/>
                <w:bCs/>
                <w:color w:val="000000"/>
                <w:sz w:val="20"/>
                <w:lang w:eastAsia="en-AU"/>
              </w:rPr>
              <w:t>State Dept. Treasury &amp; Finance</w:t>
            </w:r>
          </w:p>
        </w:tc>
      </w:tr>
      <w:tr w:rsidR="00F20114" w:rsidRPr="00926B35" w14:paraId="5EE81B03" w14:textId="77777777" w:rsidTr="00F20114">
        <w:trPr>
          <w:trHeight w:val="300"/>
          <w:tblHeader/>
        </w:trPr>
        <w:tc>
          <w:tcPr>
            <w:tcW w:w="960" w:type="dxa"/>
            <w:tcBorders>
              <w:top w:val="nil"/>
              <w:left w:val="single" w:sz="4" w:space="0" w:color="auto"/>
              <w:bottom w:val="single" w:sz="4" w:space="0" w:color="auto"/>
              <w:right w:val="single" w:sz="4" w:space="0" w:color="auto"/>
            </w:tcBorders>
            <w:shd w:val="clear" w:color="000000" w:fill="000000"/>
            <w:noWrap/>
            <w:vAlign w:val="center"/>
            <w:hideMark/>
          </w:tcPr>
          <w:p w14:paraId="534635F4" w14:textId="77777777" w:rsidR="00F20114" w:rsidRPr="00926B35" w:rsidRDefault="00F20114" w:rsidP="00F20114">
            <w:pPr>
              <w:rPr>
                <w:color w:val="000000"/>
                <w:sz w:val="20"/>
                <w:lang w:eastAsia="en-AU"/>
              </w:rPr>
            </w:pPr>
            <w:r w:rsidRPr="00926B35">
              <w:rPr>
                <w:color w:val="000000"/>
                <w:sz w:val="20"/>
                <w:lang w:eastAsia="en-AU"/>
              </w:rPr>
              <w:t> </w:t>
            </w:r>
          </w:p>
        </w:tc>
        <w:tc>
          <w:tcPr>
            <w:tcW w:w="960" w:type="dxa"/>
            <w:tcBorders>
              <w:top w:val="nil"/>
              <w:left w:val="nil"/>
              <w:bottom w:val="single" w:sz="4" w:space="0" w:color="auto"/>
              <w:right w:val="single" w:sz="4" w:space="0" w:color="auto"/>
            </w:tcBorders>
            <w:shd w:val="clear" w:color="000000" w:fill="FDE9D9"/>
            <w:noWrap/>
            <w:vAlign w:val="center"/>
            <w:hideMark/>
          </w:tcPr>
          <w:p w14:paraId="4790BCCA" w14:textId="77777777" w:rsidR="00F20114" w:rsidRPr="00926B35" w:rsidRDefault="00F20114" w:rsidP="00F20114">
            <w:pPr>
              <w:rPr>
                <w:b/>
                <w:bCs/>
                <w:color w:val="000000"/>
                <w:sz w:val="20"/>
                <w:lang w:eastAsia="en-AU"/>
              </w:rPr>
            </w:pPr>
            <w:r w:rsidRPr="00926B35">
              <w:rPr>
                <w:b/>
                <w:bCs/>
                <w:color w:val="000000"/>
                <w:sz w:val="20"/>
                <w:lang w:eastAsia="en-AU"/>
              </w:rPr>
              <w:t>Actual</w:t>
            </w:r>
          </w:p>
        </w:tc>
        <w:tc>
          <w:tcPr>
            <w:tcW w:w="960" w:type="dxa"/>
            <w:tcBorders>
              <w:top w:val="nil"/>
              <w:left w:val="nil"/>
              <w:bottom w:val="single" w:sz="4" w:space="0" w:color="auto"/>
              <w:right w:val="single" w:sz="4" w:space="0" w:color="auto"/>
            </w:tcBorders>
            <w:shd w:val="clear" w:color="000000" w:fill="000000"/>
            <w:noWrap/>
            <w:vAlign w:val="center"/>
            <w:hideMark/>
          </w:tcPr>
          <w:p w14:paraId="16A7617C" w14:textId="77777777" w:rsidR="00F20114" w:rsidRPr="00926B35" w:rsidRDefault="00F20114" w:rsidP="00F20114">
            <w:pPr>
              <w:rPr>
                <w:b/>
                <w:bCs/>
                <w:color w:val="000000"/>
                <w:sz w:val="20"/>
                <w:lang w:eastAsia="en-AU"/>
              </w:rPr>
            </w:pPr>
            <w:r w:rsidRPr="00926B35">
              <w:rPr>
                <w:b/>
                <w:bCs/>
                <w:color w:val="000000"/>
                <w:sz w:val="20"/>
                <w:lang w:eastAsia="en-AU"/>
              </w:rPr>
              <w:t> </w:t>
            </w:r>
          </w:p>
        </w:tc>
        <w:tc>
          <w:tcPr>
            <w:tcW w:w="960" w:type="dxa"/>
            <w:tcBorders>
              <w:top w:val="nil"/>
              <w:left w:val="nil"/>
              <w:bottom w:val="single" w:sz="4" w:space="0" w:color="auto"/>
              <w:right w:val="single" w:sz="4" w:space="0" w:color="auto"/>
            </w:tcBorders>
            <w:shd w:val="clear" w:color="000000" w:fill="000000"/>
            <w:noWrap/>
            <w:vAlign w:val="center"/>
            <w:hideMark/>
          </w:tcPr>
          <w:p w14:paraId="2E538C31" w14:textId="77777777" w:rsidR="00F20114" w:rsidRPr="00926B35" w:rsidRDefault="00F20114" w:rsidP="00F20114">
            <w:pPr>
              <w:rPr>
                <w:b/>
                <w:bCs/>
                <w:color w:val="000000"/>
                <w:sz w:val="20"/>
                <w:lang w:eastAsia="en-AU"/>
              </w:rPr>
            </w:pPr>
            <w:r w:rsidRPr="00926B35">
              <w:rPr>
                <w:b/>
                <w:bCs/>
                <w:color w:val="000000"/>
                <w:sz w:val="20"/>
                <w:lang w:eastAsia="en-AU"/>
              </w:rPr>
              <w:t> </w:t>
            </w:r>
          </w:p>
        </w:tc>
        <w:tc>
          <w:tcPr>
            <w:tcW w:w="1920" w:type="dxa"/>
            <w:gridSpan w:val="2"/>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56360BD7" w14:textId="77777777" w:rsidR="00F20114" w:rsidRPr="00926B35" w:rsidRDefault="00F20114" w:rsidP="00F20114">
            <w:pPr>
              <w:jc w:val="center"/>
              <w:rPr>
                <w:b/>
                <w:bCs/>
                <w:color w:val="000000"/>
                <w:sz w:val="20"/>
                <w:lang w:eastAsia="en-AU"/>
              </w:rPr>
            </w:pPr>
            <w:r w:rsidRPr="00926B35">
              <w:rPr>
                <w:b/>
                <w:bCs/>
                <w:color w:val="000000"/>
                <w:sz w:val="20"/>
                <w:lang w:eastAsia="en-AU"/>
              </w:rPr>
              <w:t>Actual</w:t>
            </w:r>
          </w:p>
        </w:tc>
        <w:tc>
          <w:tcPr>
            <w:tcW w:w="1920" w:type="dxa"/>
            <w:gridSpan w:val="2"/>
            <w:tcBorders>
              <w:top w:val="single" w:sz="4" w:space="0" w:color="auto"/>
              <w:left w:val="nil"/>
              <w:bottom w:val="single" w:sz="4" w:space="0" w:color="auto"/>
              <w:right w:val="single" w:sz="4" w:space="0" w:color="auto"/>
            </w:tcBorders>
            <w:shd w:val="clear" w:color="000000" w:fill="DAEEF3"/>
            <w:noWrap/>
            <w:vAlign w:val="center"/>
            <w:hideMark/>
          </w:tcPr>
          <w:p w14:paraId="7271215A" w14:textId="77777777" w:rsidR="00F20114" w:rsidRPr="00926B35" w:rsidRDefault="00F20114" w:rsidP="00F20114">
            <w:pPr>
              <w:jc w:val="center"/>
              <w:rPr>
                <w:b/>
                <w:bCs/>
                <w:color w:val="000000"/>
                <w:sz w:val="20"/>
                <w:lang w:eastAsia="en-AU"/>
              </w:rPr>
            </w:pPr>
            <w:r w:rsidRPr="00926B35">
              <w:rPr>
                <w:b/>
                <w:bCs/>
                <w:color w:val="000000"/>
                <w:sz w:val="20"/>
                <w:lang w:eastAsia="en-AU"/>
              </w:rPr>
              <w:t>Budget</w:t>
            </w:r>
          </w:p>
        </w:tc>
        <w:tc>
          <w:tcPr>
            <w:tcW w:w="1920" w:type="dxa"/>
            <w:gridSpan w:val="2"/>
            <w:tcBorders>
              <w:top w:val="single" w:sz="4" w:space="0" w:color="auto"/>
              <w:left w:val="nil"/>
              <w:bottom w:val="single" w:sz="4" w:space="0" w:color="auto"/>
              <w:right w:val="single" w:sz="4" w:space="0" w:color="auto"/>
            </w:tcBorders>
            <w:shd w:val="clear" w:color="000000" w:fill="DAEEF3"/>
            <w:noWrap/>
            <w:vAlign w:val="center"/>
            <w:hideMark/>
          </w:tcPr>
          <w:p w14:paraId="79196943" w14:textId="77777777" w:rsidR="00F20114" w:rsidRPr="00926B35" w:rsidRDefault="00F20114" w:rsidP="00F20114">
            <w:pPr>
              <w:jc w:val="center"/>
              <w:rPr>
                <w:b/>
                <w:bCs/>
                <w:color w:val="000000"/>
                <w:sz w:val="20"/>
                <w:lang w:eastAsia="en-AU"/>
              </w:rPr>
            </w:pPr>
            <w:r w:rsidRPr="00926B35">
              <w:rPr>
                <w:b/>
                <w:bCs/>
                <w:color w:val="000000"/>
                <w:sz w:val="20"/>
                <w:lang w:eastAsia="en-AU"/>
              </w:rPr>
              <w:t xml:space="preserve">Budget Update </w:t>
            </w:r>
          </w:p>
        </w:tc>
      </w:tr>
      <w:tr w:rsidR="00F20114" w:rsidRPr="00926B35" w14:paraId="5BA23A54" w14:textId="77777777" w:rsidTr="00F20114">
        <w:trPr>
          <w:trHeight w:val="885"/>
          <w:tblHeader/>
        </w:trPr>
        <w:tc>
          <w:tcPr>
            <w:tcW w:w="960" w:type="dxa"/>
            <w:tcBorders>
              <w:top w:val="nil"/>
              <w:left w:val="single" w:sz="4" w:space="0" w:color="auto"/>
              <w:bottom w:val="single" w:sz="4" w:space="0" w:color="auto"/>
              <w:right w:val="single" w:sz="4" w:space="0" w:color="auto"/>
            </w:tcBorders>
            <w:shd w:val="clear" w:color="000000" w:fill="000000"/>
            <w:noWrap/>
            <w:vAlign w:val="center"/>
            <w:hideMark/>
          </w:tcPr>
          <w:p w14:paraId="09611CAF" w14:textId="77777777" w:rsidR="00F20114" w:rsidRPr="00926B35" w:rsidRDefault="00F20114" w:rsidP="00F20114">
            <w:pPr>
              <w:rPr>
                <w:color w:val="000000"/>
                <w:sz w:val="20"/>
                <w:lang w:eastAsia="en-AU"/>
              </w:rPr>
            </w:pPr>
            <w:r w:rsidRPr="00926B35">
              <w:rPr>
                <w:color w:val="000000"/>
                <w:sz w:val="20"/>
                <w:lang w:eastAsia="en-AU"/>
              </w:rPr>
              <w:t> </w:t>
            </w:r>
          </w:p>
        </w:tc>
        <w:tc>
          <w:tcPr>
            <w:tcW w:w="960" w:type="dxa"/>
            <w:tcBorders>
              <w:top w:val="nil"/>
              <w:left w:val="nil"/>
              <w:bottom w:val="single" w:sz="4" w:space="0" w:color="auto"/>
              <w:right w:val="single" w:sz="4" w:space="0" w:color="auto"/>
            </w:tcBorders>
            <w:shd w:val="clear" w:color="000000" w:fill="FDE9D9"/>
            <w:textDirection w:val="tbRl"/>
            <w:vAlign w:val="center"/>
            <w:hideMark/>
          </w:tcPr>
          <w:p w14:paraId="6D9609D6" w14:textId="77777777" w:rsidR="00F20114" w:rsidRPr="00926B35" w:rsidRDefault="00F20114" w:rsidP="00F20114">
            <w:pPr>
              <w:jc w:val="center"/>
              <w:rPr>
                <w:b/>
                <w:bCs/>
                <w:color w:val="000000"/>
                <w:sz w:val="20"/>
                <w:lang w:eastAsia="en-AU"/>
              </w:rPr>
            </w:pPr>
            <w:r w:rsidRPr="00926B35">
              <w:rPr>
                <w:b/>
                <w:bCs/>
                <w:color w:val="000000"/>
                <w:sz w:val="20"/>
                <w:lang w:eastAsia="en-AU"/>
              </w:rPr>
              <w:t>Weighted Cap 40%/60%</w:t>
            </w:r>
          </w:p>
        </w:tc>
        <w:tc>
          <w:tcPr>
            <w:tcW w:w="960" w:type="dxa"/>
            <w:tcBorders>
              <w:top w:val="nil"/>
              <w:left w:val="nil"/>
              <w:bottom w:val="single" w:sz="4" w:space="0" w:color="auto"/>
              <w:right w:val="single" w:sz="4" w:space="0" w:color="auto"/>
            </w:tcBorders>
            <w:shd w:val="clear" w:color="000000" w:fill="FDE9D9"/>
            <w:textDirection w:val="tbRl"/>
            <w:vAlign w:val="center"/>
            <w:hideMark/>
          </w:tcPr>
          <w:p w14:paraId="300453A6" w14:textId="77777777" w:rsidR="00F20114" w:rsidRPr="00926B35" w:rsidRDefault="00F20114" w:rsidP="00F20114">
            <w:pPr>
              <w:jc w:val="center"/>
              <w:rPr>
                <w:b/>
                <w:bCs/>
                <w:color w:val="000000"/>
                <w:sz w:val="20"/>
                <w:lang w:eastAsia="en-AU"/>
              </w:rPr>
            </w:pPr>
            <w:r>
              <w:rPr>
                <w:b/>
                <w:bCs/>
                <w:color w:val="000000"/>
                <w:sz w:val="20"/>
                <w:lang w:eastAsia="en-AU"/>
              </w:rPr>
              <w:t>Efficiency</w:t>
            </w:r>
            <w:r w:rsidRPr="00926B35">
              <w:rPr>
                <w:b/>
                <w:bCs/>
                <w:color w:val="000000"/>
                <w:sz w:val="20"/>
                <w:lang w:eastAsia="en-AU"/>
              </w:rPr>
              <w:t xml:space="preserve"> Factor</w:t>
            </w:r>
          </w:p>
        </w:tc>
        <w:tc>
          <w:tcPr>
            <w:tcW w:w="960" w:type="dxa"/>
            <w:tcBorders>
              <w:top w:val="nil"/>
              <w:left w:val="nil"/>
              <w:bottom w:val="single" w:sz="4" w:space="0" w:color="auto"/>
              <w:right w:val="single" w:sz="4" w:space="0" w:color="auto"/>
            </w:tcBorders>
            <w:shd w:val="clear" w:color="000000" w:fill="FDE9D9"/>
            <w:textDirection w:val="tbRl"/>
            <w:vAlign w:val="center"/>
            <w:hideMark/>
          </w:tcPr>
          <w:p w14:paraId="3109D95A" w14:textId="77777777" w:rsidR="00F20114" w:rsidRPr="00926B35" w:rsidRDefault="00F20114" w:rsidP="00F20114">
            <w:pPr>
              <w:jc w:val="center"/>
              <w:rPr>
                <w:b/>
                <w:bCs/>
                <w:color w:val="000000"/>
                <w:sz w:val="20"/>
                <w:lang w:eastAsia="en-AU"/>
              </w:rPr>
            </w:pPr>
            <w:r w:rsidRPr="00926B35">
              <w:rPr>
                <w:b/>
                <w:bCs/>
                <w:color w:val="000000"/>
                <w:sz w:val="20"/>
                <w:lang w:eastAsia="en-AU"/>
              </w:rPr>
              <w:t>Net Cap</w:t>
            </w:r>
          </w:p>
        </w:tc>
        <w:tc>
          <w:tcPr>
            <w:tcW w:w="960" w:type="dxa"/>
            <w:tcBorders>
              <w:top w:val="nil"/>
              <w:left w:val="nil"/>
              <w:bottom w:val="single" w:sz="4" w:space="0" w:color="auto"/>
              <w:right w:val="single" w:sz="4" w:space="0" w:color="auto"/>
            </w:tcBorders>
            <w:shd w:val="clear" w:color="auto" w:fill="8DB3E2" w:themeFill="text2" w:themeFillTint="66"/>
            <w:textDirection w:val="tbRl"/>
            <w:vAlign w:val="center"/>
            <w:hideMark/>
          </w:tcPr>
          <w:p w14:paraId="61E42790" w14:textId="77777777" w:rsidR="00F20114" w:rsidRPr="00926B35" w:rsidRDefault="00F20114" w:rsidP="00F20114">
            <w:pPr>
              <w:jc w:val="center"/>
              <w:rPr>
                <w:b/>
                <w:bCs/>
                <w:color w:val="000000"/>
                <w:sz w:val="20"/>
                <w:lang w:eastAsia="en-AU"/>
              </w:rPr>
            </w:pPr>
            <w:r w:rsidRPr="00926B35">
              <w:rPr>
                <w:b/>
                <w:bCs/>
                <w:color w:val="000000"/>
                <w:sz w:val="20"/>
                <w:lang w:eastAsia="en-AU"/>
              </w:rPr>
              <w:t>Weighted Cap 40%/60%</w:t>
            </w:r>
          </w:p>
        </w:tc>
        <w:tc>
          <w:tcPr>
            <w:tcW w:w="960" w:type="dxa"/>
            <w:tcBorders>
              <w:top w:val="nil"/>
              <w:left w:val="nil"/>
              <w:bottom w:val="single" w:sz="4" w:space="0" w:color="auto"/>
              <w:right w:val="single" w:sz="4" w:space="0" w:color="auto"/>
            </w:tcBorders>
            <w:shd w:val="clear" w:color="auto" w:fill="8DB3E2" w:themeFill="text2" w:themeFillTint="66"/>
            <w:textDirection w:val="tbRl"/>
            <w:vAlign w:val="center"/>
            <w:hideMark/>
          </w:tcPr>
          <w:p w14:paraId="08CE9F4D" w14:textId="77777777" w:rsidR="00F20114" w:rsidRPr="00926B35" w:rsidRDefault="00F20114" w:rsidP="00F20114">
            <w:pPr>
              <w:jc w:val="center"/>
              <w:rPr>
                <w:b/>
                <w:bCs/>
                <w:color w:val="000000"/>
                <w:sz w:val="20"/>
                <w:lang w:eastAsia="en-AU"/>
              </w:rPr>
            </w:pPr>
            <w:r w:rsidRPr="00926B35">
              <w:rPr>
                <w:b/>
                <w:bCs/>
                <w:color w:val="000000"/>
                <w:sz w:val="20"/>
                <w:lang w:eastAsia="en-AU"/>
              </w:rPr>
              <w:t>Net Cap</w:t>
            </w:r>
          </w:p>
        </w:tc>
        <w:tc>
          <w:tcPr>
            <w:tcW w:w="960" w:type="dxa"/>
            <w:tcBorders>
              <w:top w:val="nil"/>
              <w:left w:val="nil"/>
              <w:bottom w:val="single" w:sz="4" w:space="0" w:color="auto"/>
              <w:right w:val="single" w:sz="4" w:space="0" w:color="auto"/>
            </w:tcBorders>
            <w:shd w:val="clear" w:color="000000" w:fill="DAEEF3"/>
            <w:textDirection w:val="tbRl"/>
            <w:vAlign w:val="center"/>
            <w:hideMark/>
          </w:tcPr>
          <w:p w14:paraId="79C1F43B" w14:textId="77777777" w:rsidR="00F20114" w:rsidRPr="00926B35" w:rsidRDefault="00F20114" w:rsidP="00F20114">
            <w:pPr>
              <w:jc w:val="center"/>
              <w:rPr>
                <w:b/>
                <w:bCs/>
                <w:color w:val="000000"/>
                <w:sz w:val="20"/>
                <w:lang w:eastAsia="en-AU"/>
              </w:rPr>
            </w:pPr>
            <w:r w:rsidRPr="00926B35">
              <w:rPr>
                <w:b/>
                <w:bCs/>
                <w:color w:val="000000"/>
                <w:sz w:val="20"/>
                <w:lang w:eastAsia="en-AU"/>
              </w:rPr>
              <w:t>Weighted Cap 40%/60%</w:t>
            </w:r>
          </w:p>
        </w:tc>
        <w:tc>
          <w:tcPr>
            <w:tcW w:w="960" w:type="dxa"/>
            <w:tcBorders>
              <w:top w:val="nil"/>
              <w:left w:val="nil"/>
              <w:bottom w:val="single" w:sz="4" w:space="0" w:color="auto"/>
              <w:right w:val="single" w:sz="4" w:space="0" w:color="auto"/>
            </w:tcBorders>
            <w:shd w:val="clear" w:color="000000" w:fill="DAEEF3"/>
            <w:textDirection w:val="tbRl"/>
            <w:vAlign w:val="center"/>
            <w:hideMark/>
          </w:tcPr>
          <w:p w14:paraId="20C38288" w14:textId="77777777" w:rsidR="00F20114" w:rsidRPr="00926B35" w:rsidRDefault="00F20114" w:rsidP="00F20114">
            <w:pPr>
              <w:jc w:val="center"/>
              <w:rPr>
                <w:b/>
                <w:bCs/>
                <w:color w:val="000000"/>
                <w:sz w:val="20"/>
                <w:lang w:eastAsia="en-AU"/>
              </w:rPr>
            </w:pPr>
            <w:r w:rsidRPr="00926B35">
              <w:rPr>
                <w:b/>
                <w:bCs/>
                <w:color w:val="000000"/>
                <w:sz w:val="20"/>
                <w:lang w:eastAsia="en-AU"/>
              </w:rPr>
              <w:t>Net Cap</w:t>
            </w:r>
          </w:p>
        </w:tc>
        <w:tc>
          <w:tcPr>
            <w:tcW w:w="960" w:type="dxa"/>
            <w:tcBorders>
              <w:top w:val="nil"/>
              <w:left w:val="nil"/>
              <w:bottom w:val="single" w:sz="4" w:space="0" w:color="auto"/>
              <w:right w:val="single" w:sz="4" w:space="0" w:color="auto"/>
            </w:tcBorders>
            <w:shd w:val="clear" w:color="000000" w:fill="DAEEF3"/>
            <w:textDirection w:val="tbRl"/>
            <w:vAlign w:val="center"/>
            <w:hideMark/>
          </w:tcPr>
          <w:p w14:paraId="07736211" w14:textId="77777777" w:rsidR="00F20114" w:rsidRPr="00926B35" w:rsidRDefault="00F20114" w:rsidP="00F20114">
            <w:pPr>
              <w:jc w:val="center"/>
              <w:rPr>
                <w:b/>
                <w:bCs/>
                <w:color w:val="000000"/>
                <w:sz w:val="20"/>
                <w:lang w:eastAsia="en-AU"/>
              </w:rPr>
            </w:pPr>
            <w:r w:rsidRPr="00926B35">
              <w:rPr>
                <w:b/>
                <w:bCs/>
                <w:color w:val="000000"/>
                <w:sz w:val="20"/>
                <w:lang w:eastAsia="en-AU"/>
              </w:rPr>
              <w:t>Weighted Cap 40%/60%</w:t>
            </w:r>
          </w:p>
        </w:tc>
        <w:tc>
          <w:tcPr>
            <w:tcW w:w="960" w:type="dxa"/>
            <w:tcBorders>
              <w:top w:val="nil"/>
              <w:left w:val="nil"/>
              <w:bottom w:val="single" w:sz="4" w:space="0" w:color="auto"/>
              <w:right w:val="single" w:sz="4" w:space="0" w:color="auto"/>
            </w:tcBorders>
            <w:shd w:val="clear" w:color="000000" w:fill="DAEEF3"/>
            <w:textDirection w:val="tbRl"/>
            <w:vAlign w:val="center"/>
            <w:hideMark/>
          </w:tcPr>
          <w:p w14:paraId="7085E4AA" w14:textId="77777777" w:rsidR="00F20114" w:rsidRPr="00926B35" w:rsidRDefault="00F20114" w:rsidP="00F20114">
            <w:pPr>
              <w:jc w:val="center"/>
              <w:rPr>
                <w:b/>
                <w:bCs/>
                <w:color w:val="000000"/>
                <w:sz w:val="20"/>
                <w:lang w:eastAsia="en-AU"/>
              </w:rPr>
            </w:pPr>
            <w:r w:rsidRPr="00926B35">
              <w:rPr>
                <w:b/>
                <w:bCs/>
                <w:color w:val="000000"/>
                <w:sz w:val="20"/>
                <w:lang w:eastAsia="en-AU"/>
              </w:rPr>
              <w:t>Net Cap</w:t>
            </w:r>
          </w:p>
        </w:tc>
      </w:tr>
      <w:tr w:rsidR="00F20114" w:rsidRPr="00926B35" w14:paraId="7A5699C9" w14:textId="77777777" w:rsidTr="00F201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9A489FE" w14:textId="77777777" w:rsidR="00F20114" w:rsidRPr="00926B35" w:rsidRDefault="00F20114" w:rsidP="00F20114">
            <w:pPr>
              <w:rPr>
                <w:b/>
                <w:color w:val="000000"/>
                <w:sz w:val="20"/>
                <w:lang w:eastAsia="en-AU"/>
              </w:rPr>
            </w:pPr>
            <w:r w:rsidRPr="00926B35">
              <w:rPr>
                <w:b/>
                <w:color w:val="000000"/>
                <w:sz w:val="20"/>
                <w:lang w:eastAsia="en-AU"/>
              </w:rPr>
              <w:t>ESC Cap</w:t>
            </w:r>
          </w:p>
        </w:tc>
        <w:tc>
          <w:tcPr>
            <w:tcW w:w="960" w:type="dxa"/>
            <w:tcBorders>
              <w:top w:val="nil"/>
              <w:left w:val="nil"/>
              <w:bottom w:val="single" w:sz="4" w:space="0" w:color="auto"/>
              <w:right w:val="single" w:sz="4" w:space="0" w:color="auto"/>
            </w:tcBorders>
            <w:shd w:val="clear" w:color="auto" w:fill="000000" w:themeFill="text1"/>
            <w:noWrap/>
            <w:vAlign w:val="center"/>
          </w:tcPr>
          <w:p w14:paraId="384EE18A" w14:textId="77777777" w:rsidR="00F20114" w:rsidRPr="00926B35" w:rsidRDefault="00F20114" w:rsidP="00F20114">
            <w:pPr>
              <w:jc w:val="right"/>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center"/>
          </w:tcPr>
          <w:p w14:paraId="452F462C" w14:textId="77777777" w:rsidR="00F20114" w:rsidRPr="00926B35" w:rsidRDefault="00F20114" w:rsidP="00F20114">
            <w:pPr>
              <w:jc w:val="right"/>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center"/>
          </w:tcPr>
          <w:p w14:paraId="41A3D40F" w14:textId="77777777" w:rsidR="00F20114" w:rsidRPr="00926B35" w:rsidRDefault="00F20114" w:rsidP="00F20114">
            <w:pPr>
              <w:jc w:val="right"/>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center"/>
          </w:tcPr>
          <w:p w14:paraId="450B27A1" w14:textId="77777777" w:rsidR="00F20114" w:rsidRPr="00926B35" w:rsidRDefault="00F20114" w:rsidP="00F20114">
            <w:pPr>
              <w:jc w:val="right"/>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center"/>
          </w:tcPr>
          <w:p w14:paraId="57FC1FB5" w14:textId="77777777" w:rsidR="00F20114" w:rsidRPr="00926B35" w:rsidRDefault="00F20114" w:rsidP="00F20114">
            <w:pPr>
              <w:jc w:val="right"/>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center"/>
          </w:tcPr>
          <w:p w14:paraId="7E5942E2" w14:textId="77777777" w:rsidR="00F20114" w:rsidRPr="00926B35" w:rsidRDefault="00F20114" w:rsidP="00F20114">
            <w:pPr>
              <w:jc w:val="right"/>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center"/>
          </w:tcPr>
          <w:p w14:paraId="4167DA07" w14:textId="77777777" w:rsidR="00F20114" w:rsidRPr="00926B35" w:rsidRDefault="00F20114" w:rsidP="00F20114">
            <w:pPr>
              <w:jc w:val="right"/>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center"/>
          </w:tcPr>
          <w:p w14:paraId="48241708" w14:textId="77777777" w:rsidR="00F20114" w:rsidRPr="00926B35" w:rsidRDefault="00F20114" w:rsidP="00F20114">
            <w:pPr>
              <w:jc w:val="right"/>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center"/>
          </w:tcPr>
          <w:p w14:paraId="2B947B9A" w14:textId="77777777" w:rsidR="00F20114" w:rsidRPr="00926B35" w:rsidRDefault="00F20114" w:rsidP="00F20114">
            <w:pPr>
              <w:jc w:val="right"/>
              <w:rPr>
                <w:color w:val="000000"/>
                <w:sz w:val="20"/>
                <w:lang w:eastAsia="en-AU"/>
              </w:rPr>
            </w:pPr>
          </w:p>
        </w:tc>
      </w:tr>
      <w:tr w:rsidR="00F20114" w:rsidRPr="00926B35" w14:paraId="57908285" w14:textId="77777777" w:rsidTr="00F201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56A1DD" w14:textId="77777777" w:rsidR="00F20114" w:rsidRPr="00926B35" w:rsidRDefault="00F20114" w:rsidP="00F20114">
            <w:pPr>
              <w:rPr>
                <w:color w:val="000000"/>
                <w:sz w:val="20"/>
                <w:lang w:eastAsia="en-AU"/>
              </w:rPr>
            </w:pPr>
            <w:r w:rsidRPr="00926B35">
              <w:rPr>
                <w:color w:val="000000"/>
                <w:sz w:val="20"/>
                <w:lang w:eastAsia="en-AU"/>
              </w:rPr>
              <w:t>2008</w:t>
            </w:r>
          </w:p>
        </w:tc>
        <w:tc>
          <w:tcPr>
            <w:tcW w:w="960" w:type="dxa"/>
            <w:tcBorders>
              <w:top w:val="nil"/>
              <w:left w:val="nil"/>
              <w:bottom w:val="single" w:sz="4" w:space="0" w:color="auto"/>
              <w:right w:val="single" w:sz="4" w:space="0" w:color="auto"/>
            </w:tcBorders>
            <w:shd w:val="clear" w:color="000000" w:fill="FDE9D9"/>
            <w:noWrap/>
            <w:vAlign w:val="center"/>
            <w:hideMark/>
          </w:tcPr>
          <w:p w14:paraId="018C8011" w14:textId="77777777" w:rsidR="00F20114" w:rsidRPr="00926B35" w:rsidRDefault="00F20114" w:rsidP="00F20114">
            <w:pPr>
              <w:jc w:val="right"/>
              <w:rPr>
                <w:color w:val="000000"/>
                <w:sz w:val="20"/>
                <w:lang w:eastAsia="en-AU"/>
              </w:rPr>
            </w:pPr>
            <w:r w:rsidRPr="00926B35">
              <w:rPr>
                <w:color w:val="000000"/>
                <w:sz w:val="20"/>
                <w:lang w:eastAsia="en-AU"/>
              </w:rPr>
              <w:t>3.67%</w:t>
            </w:r>
          </w:p>
        </w:tc>
        <w:tc>
          <w:tcPr>
            <w:tcW w:w="960" w:type="dxa"/>
            <w:tcBorders>
              <w:top w:val="nil"/>
              <w:left w:val="nil"/>
              <w:bottom w:val="single" w:sz="4" w:space="0" w:color="auto"/>
              <w:right w:val="single" w:sz="4" w:space="0" w:color="auto"/>
            </w:tcBorders>
            <w:shd w:val="clear" w:color="000000" w:fill="FDE9D9"/>
            <w:noWrap/>
            <w:vAlign w:val="center"/>
            <w:hideMark/>
          </w:tcPr>
          <w:p w14:paraId="0619CB6B" w14:textId="77777777" w:rsidR="00F20114" w:rsidRPr="00926B35" w:rsidRDefault="00F20114" w:rsidP="00F20114">
            <w:pPr>
              <w:jc w:val="right"/>
              <w:rPr>
                <w:color w:val="000000"/>
                <w:sz w:val="20"/>
                <w:lang w:eastAsia="en-AU"/>
              </w:rPr>
            </w:pPr>
            <w:r w:rsidRPr="00926B35">
              <w:rPr>
                <w:color w:val="000000"/>
                <w:sz w:val="20"/>
                <w:lang w:eastAsia="en-AU"/>
              </w:rPr>
              <w:t>0.00%</w:t>
            </w:r>
          </w:p>
        </w:tc>
        <w:tc>
          <w:tcPr>
            <w:tcW w:w="960" w:type="dxa"/>
            <w:tcBorders>
              <w:top w:val="nil"/>
              <w:left w:val="nil"/>
              <w:bottom w:val="single" w:sz="4" w:space="0" w:color="auto"/>
              <w:right w:val="single" w:sz="4" w:space="0" w:color="auto"/>
            </w:tcBorders>
            <w:shd w:val="clear" w:color="000000" w:fill="FDE9D9"/>
            <w:noWrap/>
            <w:vAlign w:val="center"/>
            <w:hideMark/>
          </w:tcPr>
          <w:p w14:paraId="269D870A" w14:textId="77777777" w:rsidR="00F20114" w:rsidRPr="00926B35" w:rsidRDefault="00F20114" w:rsidP="00F20114">
            <w:pPr>
              <w:jc w:val="right"/>
              <w:rPr>
                <w:color w:val="000000"/>
                <w:sz w:val="20"/>
                <w:lang w:eastAsia="en-AU"/>
              </w:rPr>
            </w:pPr>
            <w:r w:rsidRPr="00926B35">
              <w:rPr>
                <w:color w:val="000000"/>
                <w:sz w:val="20"/>
                <w:lang w:eastAsia="en-AU"/>
              </w:rPr>
              <w:t>3.67%</w:t>
            </w:r>
          </w:p>
        </w:tc>
        <w:tc>
          <w:tcPr>
            <w:tcW w:w="960" w:type="dxa"/>
            <w:tcBorders>
              <w:top w:val="nil"/>
              <w:left w:val="nil"/>
              <w:bottom w:val="single" w:sz="4" w:space="0" w:color="auto"/>
              <w:right w:val="single" w:sz="4" w:space="0" w:color="auto"/>
            </w:tcBorders>
            <w:shd w:val="clear" w:color="auto" w:fill="8DB3E2" w:themeFill="text2" w:themeFillTint="66"/>
            <w:noWrap/>
            <w:vAlign w:val="center"/>
            <w:hideMark/>
          </w:tcPr>
          <w:p w14:paraId="04524E56" w14:textId="77777777" w:rsidR="00F20114" w:rsidRPr="00926B35" w:rsidRDefault="00F20114" w:rsidP="00F20114">
            <w:pPr>
              <w:jc w:val="right"/>
              <w:rPr>
                <w:color w:val="000000"/>
                <w:sz w:val="20"/>
                <w:lang w:eastAsia="en-AU"/>
              </w:rPr>
            </w:pPr>
            <w:r w:rsidRPr="00926B35">
              <w:rPr>
                <w:color w:val="000000"/>
                <w:sz w:val="20"/>
                <w:lang w:eastAsia="en-AU"/>
              </w:rPr>
              <w:t>3.66%</w:t>
            </w:r>
          </w:p>
        </w:tc>
        <w:tc>
          <w:tcPr>
            <w:tcW w:w="960" w:type="dxa"/>
            <w:tcBorders>
              <w:top w:val="nil"/>
              <w:left w:val="nil"/>
              <w:bottom w:val="single" w:sz="4" w:space="0" w:color="auto"/>
              <w:right w:val="single" w:sz="4" w:space="0" w:color="auto"/>
            </w:tcBorders>
            <w:shd w:val="clear" w:color="auto" w:fill="8DB3E2" w:themeFill="text2" w:themeFillTint="66"/>
            <w:noWrap/>
            <w:vAlign w:val="center"/>
            <w:hideMark/>
          </w:tcPr>
          <w:p w14:paraId="6493DDD8" w14:textId="77777777" w:rsidR="00F20114" w:rsidRPr="00926B35" w:rsidRDefault="00F20114" w:rsidP="00F20114">
            <w:pPr>
              <w:jc w:val="right"/>
              <w:rPr>
                <w:color w:val="000000"/>
                <w:sz w:val="20"/>
                <w:lang w:eastAsia="en-AU"/>
              </w:rPr>
            </w:pPr>
            <w:r w:rsidRPr="00926B35">
              <w:rPr>
                <w:color w:val="000000"/>
                <w:sz w:val="20"/>
                <w:lang w:eastAsia="en-AU"/>
              </w:rPr>
              <w:t>3.66%</w:t>
            </w:r>
          </w:p>
        </w:tc>
        <w:tc>
          <w:tcPr>
            <w:tcW w:w="960" w:type="dxa"/>
            <w:tcBorders>
              <w:top w:val="nil"/>
              <w:left w:val="nil"/>
              <w:bottom w:val="single" w:sz="4" w:space="0" w:color="auto"/>
              <w:right w:val="single" w:sz="4" w:space="0" w:color="auto"/>
            </w:tcBorders>
            <w:shd w:val="clear" w:color="000000" w:fill="DAEEF3"/>
            <w:noWrap/>
            <w:vAlign w:val="center"/>
            <w:hideMark/>
          </w:tcPr>
          <w:p w14:paraId="17B28A31" w14:textId="77777777" w:rsidR="00F20114" w:rsidRPr="00926B35" w:rsidRDefault="00F20114" w:rsidP="00F20114">
            <w:pPr>
              <w:jc w:val="right"/>
              <w:rPr>
                <w:color w:val="000000"/>
                <w:sz w:val="20"/>
                <w:lang w:eastAsia="en-AU"/>
              </w:rPr>
            </w:pPr>
            <w:r w:rsidRPr="00926B35">
              <w:rPr>
                <w:color w:val="000000"/>
                <w:sz w:val="20"/>
                <w:lang w:eastAsia="en-AU"/>
              </w:rPr>
              <w:t>2.90%</w:t>
            </w:r>
          </w:p>
        </w:tc>
        <w:tc>
          <w:tcPr>
            <w:tcW w:w="960" w:type="dxa"/>
            <w:tcBorders>
              <w:top w:val="nil"/>
              <w:left w:val="nil"/>
              <w:bottom w:val="single" w:sz="4" w:space="0" w:color="auto"/>
              <w:right w:val="single" w:sz="4" w:space="0" w:color="auto"/>
            </w:tcBorders>
            <w:shd w:val="clear" w:color="000000" w:fill="DAEEF3"/>
            <w:noWrap/>
            <w:vAlign w:val="center"/>
            <w:hideMark/>
          </w:tcPr>
          <w:p w14:paraId="376C2616" w14:textId="77777777" w:rsidR="00F20114" w:rsidRPr="00926B35" w:rsidRDefault="00F20114" w:rsidP="00F20114">
            <w:pPr>
              <w:jc w:val="right"/>
              <w:rPr>
                <w:color w:val="000000"/>
                <w:sz w:val="20"/>
                <w:lang w:eastAsia="en-AU"/>
              </w:rPr>
            </w:pPr>
            <w:r w:rsidRPr="00926B35">
              <w:rPr>
                <w:color w:val="000000"/>
                <w:sz w:val="20"/>
                <w:lang w:eastAsia="en-AU"/>
              </w:rPr>
              <w:t>2.90%</w:t>
            </w:r>
          </w:p>
        </w:tc>
        <w:tc>
          <w:tcPr>
            <w:tcW w:w="960" w:type="dxa"/>
            <w:tcBorders>
              <w:top w:val="nil"/>
              <w:left w:val="nil"/>
              <w:bottom w:val="single" w:sz="4" w:space="0" w:color="auto"/>
              <w:right w:val="single" w:sz="4" w:space="0" w:color="auto"/>
            </w:tcBorders>
            <w:shd w:val="clear" w:color="000000" w:fill="DAEEF3"/>
            <w:noWrap/>
            <w:vAlign w:val="center"/>
            <w:hideMark/>
          </w:tcPr>
          <w:p w14:paraId="4AFDDAE1" w14:textId="77777777" w:rsidR="00F20114" w:rsidRPr="00926B35" w:rsidRDefault="00F20114" w:rsidP="00F20114">
            <w:pPr>
              <w:jc w:val="right"/>
              <w:rPr>
                <w:color w:val="000000"/>
                <w:sz w:val="20"/>
                <w:lang w:eastAsia="en-AU"/>
              </w:rPr>
            </w:pPr>
            <w:r w:rsidRPr="00926B35">
              <w:rPr>
                <w:color w:val="000000"/>
                <w:sz w:val="20"/>
                <w:lang w:eastAsia="en-AU"/>
              </w:rPr>
              <w:t>3.05%</w:t>
            </w:r>
          </w:p>
        </w:tc>
        <w:tc>
          <w:tcPr>
            <w:tcW w:w="960" w:type="dxa"/>
            <w:tcBorders>
              <w:top w:val="nil"/>
              <w:left w:val="nil"/>
              <w:bottom w:val="single" w:sz="4" w:space="0" w:color="auto"/>
              <w:right w:val="single" w:sz="4" w:space="0" w:color="auto"/>
            </w:tcBorders>
            <w:shd w:val="clear" w:color="000000" w:fill="DAEEF3"/>
            <w:noWrap/>
            <w:vAlign w:val="center"/>
            <w:hideMark/>
          </w:tcPr>
          <w:p w14:paraId="07C2CF1F" w14:textId="77777777" w:rsidR="00F20114" w:rsidRPr="00926B35" w:rsidRDefault="00F20114" w:rsidP="00F20114">
            <w:pPr>
              <w:jc w:val="right"/>
              <w:rPr>
                <w:color w:val="000000"/>
                <w:sz w:val="20"/>
                <w:lang w:eastAsia="en-AU"/>
              </w:rPr>
            </w:pPr>
            <w:r w:rsidRPr="00926B35">
              <w:rPr>
                <w:color w:val="000000"/>
                <w:sz w:val="20"/>
                <w:lang w:eastAsia="en-AU"/>
              </w:rPr>
              <w:t>3.05%</w:t>
            </w:r>
          </w:p>
        </w:tc>
      </w:tr>
      <w:tr w:rsidR="00F20114" w:rsidRPr="00926B35" w14:paraId="31F76AA5" w14:textId="77777777" w:rsidTr="00F201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EC133D" w14:textId="77777777" w:rsidR="00F20114" w:rsidRPr="00926B35" w:rsidRDefault="00F20114" w:rsidP="00F20114">
            <w:pPr>
              <w:rPr>
                <w:color w:val="000000"/>
                <w:sz w:val="20"/>
                <w:lang w:eastAsia="en-AU"/>
              </w:rPr>
            </w:pPr>
            <w:r w:rsidRPr="00926B35">
              <w:rPr>
                <w:color w:val="000000"/>
                <w:sz w:val="20"/>
                <w:lang w:eastAsia="en-AU"/>
              </w:rPr>
              <w:t>2009</w:t>
            </w:r>
          </w:p>
        </w:tc>
        <w:tc>
          <w:tcPr>
            <w:tcW w:w="960" w:type="dxa"/>
            <w:tcBorders>
              <w:top w:val="nil"/>
              <w:left w:val="nil"/>
              <w:bottom w:val="single" w:sz="4" w:space="0" w:color="auto"/>
              <w:right w:val="single" w:sz="4" w:space="0" w:color="auto"/>
            </w:tcBorders>
            <w:shd w:val="clear" w:color="000000" w:fill="FDE9D9"/>
            <w:noWrap/>
            <w:vAlign w:val="center"/>
            <w:hideMark/>
          </w:tcPr>
          <w:p w14:paraId="44AAECB8" w14:textId="77777777" w:rsidR="00F20114" w:rsidRPr="00926B35" w:rsidRDefault="00F20114" w:rsidP="00F20114">
            <w:pPr>
              <w:jc w:val="right"/>
              <w:rPr>
                <w:color w:val="000000"/>
                <w:sz w:val="20"/>
                <w:lang w:eastAsia="en-AU"/>
              </w:rPr>
            </w:pPr>
            <w:r w:rsidRPr="00926B35">
              <w:rPr>
                <w:color w:val="000000"/>
                <w:sz w:val="20"/>
                <w:lang w:eastAsia="en-AU"/>
              </w:rPr>
              <w:t>3.28%</w:t>
            </w:r>
          </w:p>
        </w:tc>
        <w:tc>
          <w:tcPr>
            <w:tcW w:w="960" w:type="dxa"/>
            <w:tcBorders>
              <w:top w:val="nil"/>
              <w:left w:val="nil"/>
              <w:bottom w:val="single" w:sz="4" w:space="0" w:color="auto"/>
              <w:right w:val="single" w:sz="4" w:space="0" w:color="auto"/>
            </w:tcBorders>
            <w:shd w:val="clear" w:color="000000" w:fill="FDE9D9"/>
            <w:noWrap/>
            <w:vAlign w:val="center"/>
            <w:hideMark/>
          </w:tcPr>
          <w:p w14:paraId="6C481559" w14:textId="77777777" w:rsidR="00F20114" w:rsidRPr="00926B35" w:rsidRDefault="00F20114" w:rsidP="00F20114">
            <w:pPr>
              <w:jc w:val="right"/>
              <w:rPr>
                <w:color w:val="000000"/>
                <w:sz w:val="20"/>
                <w:lang w:eastAsia="en-AU"/>
              </w:rPr>
            </w:pPr>
            <w:r w:rsidRPr="00926B35">
              <w:rPr>
                <w:color w:val="000000"/>
                <w:sz w:val="20"/>
                <w:lang w:eastAsia="en-AU"/>
              </w:rPr>
              <w:t>0.00%</w:t>
            </w:r>
          </w:p>
        </w:tc>
        <w:tc>
          <w:tcPr>
            <w:tcW w:w="960" w:type="dxa"/>
            <w:tcBorders>
              <w:top w:val="nil"/>
              <w:left w:val="nil"/>
              <w:bottom w:val="single" w:sz="4" w:space="0" w:color="auto"/>
              <w:right w:val="single" w:sz="4" w:space="0" w:color="auto"/>
            </w:tcBorders>
            <w:shd w:val="clear" w:color="000000" w:fill="FDE9D9"/>
            <w:noWrap/>
            <w:vAlign w:val="center"/>
            <w:hideMark/>
          </w:tcPr>
          <w:p w14:paraId="2467F49D" w14:textId="77777777" w:rsidR="00F20114" w:rsidRPr="00926B35" w:rsidRDefault="00F20114" w:rsidP="00F20114">
            <w:pPr>
              <w:jc w:val="right"/>
              <w:rPr>
                <w:color w:val="000000"/>
                <w:sz w:val="20"/>
                <w:lang w:eastAsia="en-AU"/>
              </w:rPr>
            </w:pPr>
            <w:r w:rsidRPr="00926B35">
              <w:rPr>
                <w:color w:val="000000"/>
                <w:sz w:val="20"/>
                <w:lang w:eastAsia="en-AU"/>
              </w:rPr>
              <w:t>3.28%</w:t>
            </w:r>
          </w:p>
        </w:tc>
        <w:tc>
          <w:tcPr>
            <w:tcW w:w="960" w:type="dxa"/>
            <w:tcBorders>
              <w:top w:val="nil"/>
              <w:left w:val="nil"/>
              <w:bottom w:val="single" w:sz="4" w:space="0" w:color="auto"/>
              <w:right w:val="single" w:sz="4" w:space="0" w:color="auto"/>
            </w:tcBorders>
            <w:shd w:val="clear" w:color="auto" w:fill="8DB3E2" w:themeFill="text2" w:themeFillTint="66"/>
            <w:noWrap/>
            <w:vAlign w:val="center"/>
            <w:hideMark/>
          </w:tcPr>
          <w:p w14:paraId="431FF97C" w14:textId="77777777" w:rsidR="00F20114" w:rsidRPr="00926B35" w:rsidRDefault="00F20114" w:rsidP="00F20114">
            <w:pPr>
              <w:jc w:val="right"/>
              <w:rPr>
                <w:color w:val="000000"/>
                <w:sz w:val="20"/>
                <w:lang w:eastAsia="en-AU"/>
              </w:rPr>
            </w:pPr>
            <w:r w:rsidRPr="00926B35">
              <w:rPr>
                <w:color w:val="000000"/>
                <w:sz w:val="20"/>
                <w:lang w:eastAsia="en-AU"/>
              </w:rPr>
              <w:t>3.28%</w:t>
            </w:r>
          </w:p>
        </w:tc>
        <w:tc>
          <w:tcPr>
            <w:tcW w:w="960" w:type="dxa"/>
            <w:tcBorders>
              <w:top w:val="nil"/>
              <w:left w:val="nil"/>
              <w:bottom w:val="single" w:sz="4" w:space="0" w:color="auto"/>
              <w:right w:val="single" w:sz="4" w:space="0" w:color="auto"/>
            </w:tcBorders>
            <w:shd w:val="clear" w:color="auto" w:fill="8DB3E2" w:themeFill="text2" w:themeFillTint="66"/>
            <w:noWrap/>
            <w:vAlign w:val="center"/>
            <w:hideMark/>
          </w:tcPr>
          <w:p w14:paraId="3CB2EAB4" w14:textId="77777777" w:rsidR="00F20114" w:rsidRPr="00926B35" w:rsidRDefault="00F20114" w:rsidP="00F20114">
            <w:pPr>
              <w:jc w:val="right"/>
              <w:rPr>
                <w:color w:val="000000"/>
                <w:sz w:val="20"/>
                <w:lang w:eastAsia="en-AU"/>
              </w:rPr>
            </w:pPr>
            <w:r w:rsidRPr="00926B35">
              <w:rPr>
                <w:color w:val="000000"/>
                <w:sz w:val="20"/>
                <w:lang w:eastAsia="en-AU"/>
              </w:rPr>
              <w:t>3.28%</w:t>
            </w:r>
          </w:p>
        </w:tc>
        <w:tc>
          <w:tcPr>
            <w:tcW w:w="960" w:type="dxa"/>
            <w:tcBorders>
              <w:top w:val="nil"/>
              <w:left w:val="nil"/>
              <w:bottom w:val="single" w:sz="4" w:space="0" w:color="auto"/>
              <w:right w:val="single" w:sz="4" w:space="0" w:color="auto"/>
            </w:tcBorders>
            <w:shd w:val="clear" w:color="000000" w:fill="DAEEF3"/>
            <w:noWrap/>
            <w:vAlign w:val="center"/>
            <w:hideMark/>
          </w:tcPr>
          <w:p w14:paraId="36E2E15E" w14:textId="77777777" w:rsidR="00F20114" w:rsidRPr="00926B35" w:rsidRDefault="00F20114" w:rsidP="00F20114">
            <w:pPr>
              <w:jc w:val="right"/>
              <w:rPr>
                <w:color w:val="000000"/>
                <w:sz w:val="20"/>
                <w:lang w:eastAsia="en-AU"/>
              </w:rPr>
            </w:pPr>
            <w:r w:rsidRPr="00926B35">
              <w:rPr>
                <w:color w:val="000000"/>
                <w:sz w:val="20"/>
                <w:lang w:eastAsia="en-AU"/>
              </w:rPr>
              <w:t>3.30%</w:t>
            </w:r>
          </w:p>
        </w:tc>
        <w:tc>
          <w:tcPr>
            <w:tcW w:w="960" w:type="dxa"/>
            <w:tcBorders>
              <w:top w:val="nil"/>
              <w:left w:val="nil"/>
              <w:bottom w:val="single" w:sz="4" w:space="0" w:color="auto"/>
              <w:right w:val="single" w:sz="4" w:space="0" w:color="auto"/>
            </w:tcBorders>
            <w:shd w:val="clear" w:color="000000" w:fill="DAEEF3"/>
            <w:noWrap/>
            <w:vAlign w:val="center"/>
            <w:hideMark/>
          </w:tcPr>
          <w:p w14:paraId="38ECB528" w14:textId="77777777" w:rsidR="00F20114" w:rsidRPr="00926B35" w:rsidRDefault="00F20114" w:rsidP="00F20114">
            <w:pPr>
              <w:jc w:val="right"/>
              <w:rPr>
                <w:color w:val="000000"/>
                <w:sz w:val="20"/>
                <w:lang w:eastAsia="en-AU"/>
              </w:rPr>
            </w:pPr>
            <w:r w:rsidRPr="00926B35">
              <w:rPr>
                <w:color w:val="000000"/>
                <w:sz w:val="20"/>
                <w:lang w:eastAsia="en-AU"/>
              </w:rPr>
              <w:t>3.30%</w:t>
            </w:r>
          </w:p>
        </w:tc>
        <w:tc>
          <w:tcPr>
            <w:tcW w:w="960" w:type="dxa"/>
            <w:tcBorders>
              <w:top w:val="nil"/>
              <w:left w:val="nil"/>
              <w:bottom w:val="single" w:sz="4" w:space="0" w:color="auto"/>
              <w:right w:val="single" w:sz="4" w:space="0" w:color="auto"/>
            </w:tcBorders>
            <w:shd w:val="clear" w:color="000000" w:fill="DAEEF3"/>
            <w:noWrap/>
            <w:vAlign w:val="center"/>
            <w:hideMark/>
          </w:tcPr>
          <w:p w14:paraId="6BEE897C" w14:textId="77777777" w:rsidR="00F20114" w:rsidRPr="00926B35" w:rsidRDefault="00F20114" w:rsidP="00F20114">
            <w:pPr>
              <w:jc w:val="right"/>
              <w:rPr>
                <w:color w:val="000000"/>
                <w:sz w:val="20"/>
                <w:lang w:eastAsia="en-AU"/>
              </w:rPr>
            </w:pPr>
            <w:r w:rsidRPr="00926B35">
              <w:rPr>
                <w:color w:val="000000"/>
                <w:sz w:val="20"/>
                <w:lang w:eastAsia="en-AU"/>
              </w:rPr>
              <w:t>3.30%</w:t>
            </w:r>
          </w:p>
        </w:tc>
        <w:tc>
          <w:tcPr>
            <w:tcW w:w="960" w:type="dxa"/>
            <w:tcBorders>
              <w:top w:val="nil"/>
              <w:left w:val="nil"/>
              <w:bottom w:val="single" w:sz="4" w:space="0" w:color="auto"/>
              <w:right w:val="single" w:sz="4" w:space="0" w:color="auto"/>
            </w:tcBorders>
            <w:shd w:val="clear" w:color="000000" w:fill="DAEEF3"/>
            <w:noWrap/>
            <w:vAlign w:val="center"/>
            <w:hideMark/>
          </w:tcPr>
          <w:p w14:paraId="391D3E9A" w14:textId="77777777" w:rsidR="00F20114" w:rsidRPr="00926B35" w:rsidRDefault="00F20114" w:rsidP="00F20114">
            <w:pPr>
              <w:jc w:val="right"/>
              <w:rPr>
                <w:color w:val="000000"/>
                <w:sz w:val="20"/>
                <w:lang w:eastAsia="en-AU"/>
              </w:rPr>
            </w:pPr>
            <w:r w:rsidRPr="00926B35">
              <w:rPr>
                <w:color w:val="000000"/>
                <w:sz w:val="20"/>
                <w:lang w:eastAsia="en-AU"/>
              </w:rPr>
              <w:t>3.30%</w:t>
            </w:r>
          </w:p>
        </w:tc>
      </w:tr>
      <w:tr w:rsidR="00F20114" w:rsidRPr="00926B35" w14:paraId="05BD7E98" w14:textId="77777777" w:rsidTr="00F201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C30777" w14:textId="77777777" w:rsidR="00F20114" w:rsidRPr="00926B35" w:rsidRDefault="00F20114" w:rsidP="00F20114">
            <w:pPr>
              <w:rPr>
                <w:color w:val="000000"/>
                <w:sz w:val="20"/>
                <w:lang w:eastAsia="en-AU"/>
              </w:rPr>
            </w:pPr>
            <w:r w:rsidRPr="00926B35">
              <w:rPr>
                <w:color w:val="000000"/>
                <w:sz w:val="20"/>
                <w:lang w:eastAsia="en-AU"/>
              </w:rPr>
              <w:t>2010</w:t>
            </w:r>
          </w:p>
        </w:tc>
        <w:tc>
          <w:tcPr>
            <w:tcW w:w="960" w:type="dxa"/>
            <w:tcBorders>
              <w:top w:val="nil"/>
              <w:left w:val="nil"/>
              <w:bottom w:val="single" w:sz="4" w:space="0" w:color="auto"/>
              <w:right w:val="single" w:sz="4" w:space="0" w:color="auto"/>
            </w:tcBorders>
            <w:shd w:val="clear" w:color="000000" w:fill="FDE9D9"/>
            <w:noWrap/>
            <w:vAlign w:val="center"/>
            <w:hideMark/>
          </w:tcPr>
          <w:p w14:paraId="04026409" w14:textId="77777777" w:rsidR="00F20114" w:rsidRPr="00926B35" w:rsidRDefault="00F20114" w:rsidP="00F20114">
            <w:pPr>
              <w:jc w:val="right"/>
              <w:rPr>
                <w:color w:val="000000"/>
                <w:sz w:val="20"/>
                <w:lang w:eastAsia="en-AU"/>
              </w:rPr>
            </w:pPr>
            <w:r w:rsidRPr="00926B35">
              <w:rPr>
                <w:color w:val="000000"/>
                <w:sz w:val="20"/>
                <w:lang w:eastAsia="en-AU"/>
              </w:rPr>
              <w:t>2.38%</w:t>
            </w:r>
          </w:p>
        </w:tc>
        <w:tc>
          <w:tcPr>
            <w:tcW w:w="960" w:type="dxa"/>
            <w:tcBorders>
              <w:top w:val="nil"/>
              <w:left w:val="nil"/>
              <w:bottom w:val="single" w:sz="4" w:space="0" w:color="auto"/>
              <w:right w:val="single" w:sz="4" w:space="0" w:color="auto"/>
            </w:tcBorders>
            <w:shd w:val="clear" w:color="000000" w:fill="FDE9D9"/>
            <w:noWrap/>
            <w:vAlign w:val="center"/>
            <w:hideMark/>
          </w:tcPr>
          <w:p w14:paraId="6AC44DDC" w14:textId="77777777" w:rsidR="00F20114" w:rsidRPr="00926B35" w:rsidRDefault="00F20114" w:rsidP="00F20114">
            <w:pPr>
              <w:jc w:val="right"/>
              <w:rPr>
                <w:color w:val="000000"/>
                <w:sz w:val="20"/>
                <w:lang w:eastAsia="en-AU"/>
              </w:rPr>
            </w:pPr>
            <w:r w:rsidRPr="00926B35">
              <w:rPr>
                <w:color w:val="000000"/>
                <w:sz w:val="20"/>
                <w:lang w:eastAsia="en-AU"/>
              </w:rPr>
              <w:t>0.05%</w:t>
            </w:r>
          </w:p>
        </w:tc>
        <w:tc>
          <w:tcPr>
            <w:tcW w:w="960" w:type="dxa"/>
            <w:tcBorders>
              <w:top w:val="nil"/>
              <w:left w:val="nil"/>
              <w:bottom w:val="single" w:sz="4" w:space="0" w:color="auto"/>
              <w:right w:val="single" w:sz="4" w:space="0" w:color="auto"/>
            </w:tcBorders>
            <w:shd w:val="clear" w:color="000000" w:fill="FDE9D9"/>
            <w:noWrap/>
            <w:vAlign w:val="center"/>
            <w:hideMark/>
          </w:tcPr>
          <w:p w14:paraId="07EBF1A7" w14:textId="77777777" w:rsidR="00F20114" w:rsidRPr="00926B35" w:rsidRDefault="00F20114" w:rsidP="00F20114">
            <w:pPr>
              <w:jc w:val="right"/>
              <w:rPr>
                <w:color w:val="000000"/>
                <w:sz w:val="20"/>
                <w:lang w:eastAsia="en-AU"/>
              </w:rPr>
            </w:pPr>
            <w:r w:rsidRPr="00926B35">
              <w:rPr>
                <w:color w:val="000000"/>
                <w:sz w:val="20"/>
                <w:lang w:eastAsia="en-AU"/>
              </w:rPr>
              <w:t>2.33%</w:t>
            </w:r>
          </w:p>
        </w:tc>
        <w:tc>
          <w:tcPr>
            <w:tcW w:w="960" w:type="dxa"/>
            <w:tcBorders>
              <w:top w:val="nil"/>
              <w:left w:val="nil"/>
              <w:bottom w:val="single" w:sz="4" w:space="0" w:color="auto"/>
              <w:right w:val="single" w:sz="4" w:space="0" w:color="auto"/>
            </w:tcBorders>
            <w:shd w:val="clear" w:color="auto" w:fill="8DB3E2" w:themeFill="text2" w:themeFillTint="66"/>
            <w:noWrap/>
            <w:vAlign w:val="center"/>
            <w:hideMark/>
          </w:tcPr>
          <w:p w14:paraId="01A24965" w14:textId="77777777" w:rsidR="00F20114" w:rsidRPr="00926B35" w:rsidRDefault="00F20114" w:rsidP="00F20114">
            <w:pPr>
              <w:jc w:val="right"/>
              <w:rPr>
                <w:color w:val="000000"/>
                <w:sz w:val="20"/>
                <w:lang w:eastAsia="en-AU"/>
              </w:rPr>
            </w:pPr>
            <w:r w:rsidRPr="00926B35">
              <w:rPr>
                <w:color w:val="000000"/>
                <w:sz w:val="20"/>
                <w:lang w:eastAsia="en-AU"/>
              </w:rPr>
              <w:t>2.36%</w:t>
            </w:r>
          </w:p>
        </w:tc>
        <w:tc>
          <w:tcPr>
            <w:tcW w:w="960" w:type="dxa"/>
            <w:tcBorders>
              <w:top w:val="nil"/>
              <w:left w:val="nil"/>
              <w:bottom w:val="single" w:sz="4" w:space="0" w:color="auto"/>
              <w:right w:val="single" w:sz="4" w:space="0" w:color="auto"/>
            </w:tcBorders>
            <w:shd w:val="clear" w:color="auto" w:fill="8DB3E2" w:themeFill="text2" w:themeFillTint="66"/>
            <w:noWrap/>
            <w:vAlign w:val="center"/>
            <w:hideMark/>
          </w:tcPr>
          <w:p w14:paraId="49E6643C" w14:textId="77777777" w:rsidR="00F20114" w:rsidRPr="00926B35" w:rsidRDefault="00F20114" w:rsidP="00F20114">
            <w:pPr>
              <w:jc w:val="right"/>
              <w:rPr>
                <w:color w:val="000000"/>
                <w:sz w:val="20"/>
                <w:lang w:eastAsia="en-AU"/>
              </w:rPr>
            </w:pPr>
            <w:r w:rsidRPr="00926B35">
              <w:rPr>
                <w:color w:val="000000"/>
                <w:sz w:val="20"/>
                <w:lang w:eastAsia="en-AU"/>
              </w:rPr>
              <w:t>2.31%</w:t>
            </w:r>
          </w:p>
        </w:tc>
        <w:tc>
          <w:tcPr>
            <w:tcW w:w="960" w:type="dxa"/>
            <w:tcBorders>
              <w:top w:val="nil"/>
              <w:left w:val="nil"/>
              <w:bottom w:val="single" w:sz="4" w:space="0" w:color="auto"/>
              <w:right w:val="single" w:sz="4" w:space="0" w:color="auto"/>
            </w:tcBorders>
            <w:shd w:val="clear" w:color="000000" w:fill="DAEEF3"/>
            <w:noWrap/>
            <w:vAlign w:val="center"/>
            <w:hideMark/>
          </w:tcPr>
          <w:p w14:paraId="26A022A6" w14:textId="77777777" w:rsidR="00F20114" w:rsidRPr="00926B35" w:rsidRDefault="00F20114" w:rsidP="00F20114">
            <w:pPr>
              <w:jc w:val="right"/>
              <w:rPr>
                <w:color w:val="000000"/>
                <w:sz w:val="20"/>
                <w:lang w:eastAsia="en-AU"/>
              </w:rPr>
            </w:pPr>
            <w:r w:rsidRPr="00926B35">
              <w:rPr>
                <w:color w:val="000000"/>
                <w:sz w:val="20"/>
                <w:lang w:eastAsia="en-AU"/>
              </w:rPr>
              <w:t>2.70%</w:t>
            </w:r>
          </w:p>
        </w:tc>
        <w:tc>
          <w:tcPr>
            <w:tcW w:w="960" w:type="dxa"/>
            <w:tcBorders>
              <w:top w:val="nil"/>
              <w:left w:val="nil"/>
              <w:bottom w:val="single" w:sz="4" w:space="0" w:color="auto"/>
              <w:right w:val="single" w:sz="4" w:space="0" w:color="auto"/>
            </w:tcBorders>
            <w:shd w:val="clear" w:color="000000" w:fill="DAEEF3"/>
            <w:noWrap/>
            <w:vAlign w:val="center"/>
            <w:hideMark/>
          </w:tcPr>
          <w:p w14:paraId="685DF8DE" w14:textId="77777777" w:rsidR="00F20114" w:rsidRPr="00926B35" w:rsidRDefault="00F20114" w:rsidP="00F20114">
            <w:pPr>
              <w:jc w:val="right"/>
              <w:rPr>
                <w:color w:val="000000"/>
                <w:sz w:val="20"/>
                <w:lang w:eastAsia="en-AU"/>
              </w:rPr>
            </w:pPr>
            <w:r w:rsidRPr="00926B35">
              <w:rPr>
                <w:color w:val="000000"/>
                <w:sz w:val="20"/>
                <w:lang w:eastAsia="en-AU"/>
              </w:rPr>
              <w:t>2.65%</w:t>
            </w:r>
          </w:p>
        </w:tc>
        <w:tc>
          <w:tcPr>
            <w:tcW w:w="960" w:type="dxa"/>
            <w:tcBorders>
              <w:top w:val="nil"/>
              <w:left w:val="nil"/>
              <w:bottom w:val="single" w:sz="4" w:space="0" w:color="auto"/>
              <w:right w:val="single" w:sz="4" w:space="0" w:color="auto"/>
            </w:tcBorders>
            <w:shd w:val="clear" w:color="000000" w:fill="DAEEF3"/>
            <w:noWrap/>
            <w:vAlign w:val="center"/>
            <w:hideMark/>
          </w:tcPr>
          <w:p w14:paraId="7821502F" w14:textId="77777777" w:rsidR="00F20114" w:rsidRPr="00926B35" w:rsidRDefault="00F20114" w:rsidP="00F20114">
            <w:pPr>
              <w:jc w:val="right"/>
              <w:rPr>
                <w:color w:val="000000"/>
                <w:sz w:val="20"/>
                <w:lang w:eastAsia="en-AU"/>
              </w:rPr>
            </w:pPr>
            <w:r w:rsidRPr="00926B35">
              <w:rPr>
                <w:color w:val="000000"/>
                <w:sz w:val="20"/>
                <w:lang w:eastAsia="en-AU"/>
              </w:rPr>
              <w:t>2.40%</w:t>
            </w:r>
          </w:p>
        </w:tc>
        <w:tc>
          <w:tcPr>
            <w:tcW w:w="960" w:type="dxa"/>
            <w:tcBorders>
              <w:top w:val="nil"/>
              <w:left w:val="nil"/>
              <w:bottom w:val="single" w:sz="4" w:space="0" w:color="auto"/>
              <w:right w:val="single" w:sz="4" w:space="0" w:color="auto"/>
            </w:tcBorders>
            <w:shd w:val="clear" w:color="000000" w:fill="DAEEF3"/>
            <w:noWrap/>
            <w:vAlign w:val="center"/>
            <w:hideMark/>
          </w:tcPr>
          <w:p w14:paraId="310E1EB9" w14:textId="77777777" w:rsidR="00F20114" w:rsidRPr="00926B35" w:rsidRDefault="00F20114" w:rsidP="00F20114">
            <w:pPr>
              <w:jc w:val="right"/>
              <w:rPr>
                <w:color w:val="000000"/>
                <w:sz w:val="20"/>
                <w:lang w:eastAsia="en-AU"/>
              </w:rPr>
            </w:pPr>
            <w:r w:rsidRPr="00926B35">
              <w:rPr>
                <w:color w:val="000000"/>
                <w:sz w:val="20"/>
                <w:lang w:eastAsia="en-AU"/>
              </w:rPr>
              <w:t>2.35%</w:t>
            </w:r>
          </w:p>
        </w:tc>
      </w:tr>
      <w:tr w:rsidR="00F20114" w:rsidRPr="00926B35" w14:paraId="44F5C153" w14:textId="77777777" w:rsidTr="00F201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AE4976" w14:textId="77777777" w:rsidR="00F20114" w:rsidRPr="00926B35" w:rsidRDefault="00F20114" w:rsidP="00F20114">
            <w:pPr>
              <w:rPr>
                <w:color w:val="000000"/>
                <w:sz w:val="20"/>
                <w:lang w:eastAsia="en-AU"/>
              </w:rPr>
            </w:pPr>
            <w:r w:rsidRPr="00926B35">
              <w:rPr>
                <w:color w:val="000000"/>
                <w:sz w:val="20"/>
                <w:lang w:eastAsia="en-AU"/>
              </w:rPr>
              <w:t>2011</w:t>
            </w:r>
          </w:p>
        </w:tc>
        <w:tc>
          <w:tcPr>
            <w:tcW w:w="960" w:type="dxa"/>
            <w:tcBorders>
              <w:top w:val="nil"/>
              <w:left w:val="nil"/>
              <w:bottom w:val="single" w:sz="4" w:space="0" w:color="auto"/>
              <w:right w:val="single" w:sz="4" w:space="0" w:color="auto"/>
            </w:tcBorders>
            <w:shd w:val="clear" w:color="000000" w:fill="FDE9D9"/>
            <w:noWrap/>
            <w:vAlign w:val="center"/>
            <w:hideMark/>
          </w:tcPr>
          <w:p w14:paraId="26450F35" w14:textId="77777777" w:rsidR="00F20114" w:rsidRPr="00926B35" w:rsidRDefault="00F20114" w:rsidP="00F20114">
            <w:pPr>
              <w:jc w:val="right"/>
              <w:rPr>
                <w:color w:val="000000"/>
                <w:sz w:val="20"/>
                <w:lang w:eastAsia="en-AU"/>
              </w:rPr>
            </w:pPr>
            <w:r w:rsidRPr="00926B35">
              <w:rPr>
                <w:color w:val="000000"/>
                <w:sz w:val="20"/>
                <w:lang w:eastAsia="en-AU"/>
              </w:rPr>
              <w:t>3.46%</w:t>
            </w:r>
          </w:p>
        </w:tc>
        <w:tc>
          <w:tcPr>
            <w:tcW w:w="960" w:type="dxa"/>
            <w:tcBorders>
              <w:top w:val="nil"/>
              <w:left w:val="nil"/>
              <w:bottom w:val="single" w:sz="4" w:space="0" w:color="auto"/>
              <w:right w:val="single" w:sz="4" w:space="0" w:color="auto"/>
            </w:tcBorders>
            <w:shd w:val="clear" w:color="000000" w:fill="FDE9D9"/>
            <w:noWrap/>
            <w:vAlign w:val="center"/>
            <w:hideMark/>
          </w:tcPr>
          <w:p w14:paraId="426527D7" w14:textId="77777777" w:rsidR="00F20114" w:rsidRPr="00926B35" w:rsidRDefault="00F20114" w:rsidP="00F20114">
            <w:pPr>
              <w:jc w:val="right"/>
              <w:rPr>
                <w:color w:val="000000"/>
                <w:sz w:val="20"/>
                <w:lang w:eastAsia="en-AU"/>
              </w:rPr>
            </w:pPr>
            <w:r w:rsidRPr="00926B35">
              <w:rPr>
                <w:color w:val="000000"/>
                <w:sz w:val="20"/>
                <w:lang w:eastAsia="en-AU"/>
              </w:rPr>
              <w:t>0.10%</w:t>
            </w:r>
          </w:p>
        </w:tc>
        <w:tc>
          <w:tcPr>
            <w:tcW w:w="960" w:type="dxa"/>
            <w:tcBorders>
              <w:top w:val="nil"/>
              <w:left w:val="nil"/>
              <w:bottom w:val="single" w:sz="4" w:space="0" w:color="auto"/>
              <w:right w:val="single" w:sz="4" w:space="0" w:color="auto"/>
            </w:tcBorders>
            <w:shd w:val="clear" w:color="000000" w:fill="FDE9D9"/>
            <w:noWrap/>
            <w:vAlign w:val="center"/>
            <w:hideMark/>
          </w:tcPr>
          <w:p w14:paraId="3DB636CD" w14:textId="77777777" w:rsidR="00F20114" w:rsidRPr="00926B35" w:rsidRDefault="00F20114" w:rsidP="00F20114">
            <w:pPr>
              <w:jc w:val="right"/>
              <w:rPr>
                <w:color w:val="000000"/>
                <w:sz w:val="20"/>
                <w:lang w:eastAsia="en-AU"/>
              </w:rPr>
            </w:pPr>
            <w:r w:rsidRPr="00926B35">
              <w:rPr>
                <w:color w:val="000000"/>
                <w:sz w:val="20"/>
                <w:lang w:eastAsia="en-AU"/>
              </w:rPr>
              <w:t>3.36%</w:t>
            </w:r>
          </w:p>
        </w:tc>
        <w:tc>
          <w:tcPr>
            <w:tcW w:w="960" w:type="dxa"/>
            <w:tcBorders>
              <w:top w:val="nil"/>
              <w:left w:val="nil"/>
              <w:bottom w:val="single" w:sz="4" w:space="0" w:color="auto"/>
              <w:right w:val="single" w:sz="4" w:space="0" w:color="auto"/>
            </w:tcBorders>
            <w:shd w:val="clear" w:color="auto" w:fill="8DB3E2" w:themeFill="text2" w:themeFillTint="66"/>
            <w:noWrap/>
            <w:vAlign w:val="center"/>
            <w:hideMark/>
          </w:tcPr>
          <w:p w14:paraId="12612C32" w14:textId="77777777" w:rsidR="00F20114" w:rsidRPr="00926B35" w:rsidRDefault="00F20114" w:rsidP="00F20114">
            <w:pPr>
              <w:jc w:val="right"/>
              <w:rPr>
                <w:color w:val="000000"/>
                <w:sz w:val="20"/>
                <w:lang w:eastAsia="en-AU"/>
              </w:rPr>
            </w:pPr>
            <w:r w:rsidRPr="00926B35">
              <w:rPr>
                <w:color w:val="000000"/>
                <w:sz w:val="20"/>
                <w:lang w:eastAsia="en-AU"/>
              </w:rPr>
              <w:t>3.49%</w:t>
            </w:r>
          </w:p>
        </w:tc>
        <w:tc>
          <w:tcPr>
            <w:tcW w:w="960" w:type="dxa"/>
            <w:tcBorders>
              <w:top w:val="nil"/>
              <w:left w:val="nil"/>
              <w:bottom w:val="single" w:sz="4" w:space="0" w:color="auto"/>
              <w:right w:val="single" w:sz="4" w:space="0" w:color="auto"/>
            </w:tcBorders>
            <w:shd w:val="clear" w:color="auto" w:fill="8DB3E2" w:themeFill="text2" w:themeFillTint="66"/>
            <w:noWrap/>
            <w:vAlign w:val="center"/>
            <w:hideMark/>
          </w:tcPr>
          <w:p w14:paraId="34E925D9" w14:textId="77777777" w:rsidR="00F20114" w:rsidRPr="00926B35" w:rsidRDefault="00F20114" w:rsidP="00F20114">
            <w:pPr>
              <w:jc w:val="right"/>
              <w:rPr>
                <w:color w:val="000000"/>
                <w:sz w:val="20"/>
                <w:lang w:eastAsia="en-AU"/>
              </w:rPr>
            </w:pPr>
            <w:r w:rsidRPr="00926B35">
              <w:rPr>
                <w:color w:val="000000"/>
                <w:sz w:val="20"/>
                <w:lang w:eastAsia="en-AU"/>
              </w:rPr>
              <w:t>3.39%</w:t>
            </w:r>
          </w:p>
        </w:tc>
        <w:tc>
          <w:tcPr>
            <w:tcW w:w="960" w:type="dxa"/>
            <w:tcBorders>
              <w:top w:val="nil"/>
              <w:left w:val="nil"/>
              <w:bottom w:val="single" w:sz="4" w:space="0" w:color="auto"/>
              <w:right w:val="single" w:sz="4" w:space="0" w:color="auto"/>
            </w:tcBorders>
            <w:shd w:val="clear" w:color="000000" w:fill="DAEEF3"/>
            <w:noWrap/>
            <w:vAlign w:val="center"/>
            <w:hideMark/>
          </w:tcPr>
          <w:p w14:paraId="6F5DCBB3" w14:textId="77777777" w:rsidR="00F20114" w:rsidRPr="00926B35" w:rsidRDefault="00F20114" w:rsidP="00F20114">
            <w:pPr>
              <w:jc w:val="right"/>
              <w:rPr>
                <w:color w:val="000000"/>
                <w:sz w:val="20"/>
                <w:lang w:eastAsia="en-AU"/>
              </w:rPr>
            </w:pPr>
            <w:r w:rsidRPr="00926B35">
              <w:rPr>
                <w:color w:val="000000"/>
                <w:sz w:val="20"/>
                <w:lang w:eastAsia="en-AU"/>
              </w:rPr>
              <w:t>2.65%</w:t>
            </w:r>
          </w:p>
        </w:tc>
        <w:tc>
          <w:tcPr>
            <w:tcW w:w="960" w:type="dxa"/>
            <w:tcBorders>
              <w:top w:val="nil"/>
              <w:left w:val="nil"/>
              <w:bottom w:val="single" w:sz="4" w:space="0" w:color="auto"/>
              <w:right w:val="single" w:sz="4" w:space="0" w:color="auto"/>
            </w:tcBorders>
            <w:shd w:val="clear" w:color="000000" w:fill="DAEEF3"/>
            <w:noWrap/>
            <w:vAlign w:val="center"/>
            <w:hideMark/>
          </w:tcPr>
          <w:p w14:paraId="7C5C7202" w14:textId="77777777" w:rsidR="00F20114" w:rsidRPr="00926B35" w:rsidRDefault="00F20114" w:rsidP="00F20114">
            <w:pPr>
              <w:jc w:val="right"/>
              <w:rPr>
                <w:color w:val="000000"/>
                <w:sz w:val="20"/>
                <w:lang w:eastAsia="en-AU"/>
              </w:rPr>
            </w:pPr>
            <w:r w:rsidRPr="00926B35">
              <w:rPr>
                <w:color w:val="000000"/>
                <w:sz w:val="20"/>
                <w:lang w:eastAsia="en-AU"/>
              </w:rPr>
              <w:t>2.55%</w:t>
            </w:r>
          </w:p>
        </w:tc>
        <w:tc>
          <w:tcPr>
            <w:tcW w:w="960" w:type="dxa"/>
            <w:tcBorders>
              <w:top w:val="nil"/>
              <w:left w:val="nil"/>
              <w:bottom w:val="single" w:sz="4" w:space="0" w:color="auto"/>
              <w:right w:val="single" w:sz="4" w:space="0" w:color="auto"/>
            </w:tcBorders>
            <w:shd w:val="clear" w:color="000000" w:fill="DAEEF3"/>
            <w:noWrap/>
            <w:vAlign w:val="center"/>
            <w:hideMark/>
          </w:tcPr>
          <w:p w14:paraId="018EAACB" w14:textId="77777777" w:rsidR="00F20114" w:rsidRPr="00926B35" w:rsidRDefault="00F20114" w:rsidP="00F20114">
            <w:pPr>
              <w:jc w:val="right"/>
              <w:rPr>
                <w:color w:val="000000"/>
                <w:sz w:val="20"/>
                <w:lang w:eastAsia="en-AU"/>
              </w:rPr>
            </w:pPr>
            <w:r w:rsidRPr="00926B35">
              <w:rPr>
                <w:color w:val="000000"/>
                <w:sz w:val="20"/>
                <w:lang w:eastAsia="en-AU"/>
              </w:rPr>
              <w:t>3.10%</w:t>
            </w:r>
          </w:p>
        </w:tc>
        <w:tc>
          <w:tcPr>
            <w:tcW w:w="960" w:type="dxa"/>
            <w:tcBorders>
              <w:top w:val="nil"/>
              <w:left w:val="nil"/>
              <w:bottom w:val="single" w:sz="4" w:space="0" w:color="auto"/>
              <w:right w:val="single" w:sz="4" w:space="0" w:color="auto"/>
            </w:tcBorders>
            <w:shd w:val="clear" w:color="000000" w:fill="DAEEF3"/>
            <w:noWrap/>
            <w:vAlign w:val="center"/>
            <w:hideMark/>
          </w:tcPr>
          <w:p w14:paraId="593AEF28" w14:textId="77777777" w:rsidR="00F20114" w:rsidRPr="00926B35" w:rsidRDefault="00F20114" w:rsidP="00F20114">
            <w:pPr>
              <w:jc w:val="right"/>
              <w:rPr>
                <w:color w:val="000000"/>
                <w:sz w:val="20"/>
                <w:lang w:eastAsia="en-AU"/>
              </w:rPr>
            </w:pPr>
            <w:r w:rsidRPr="00926B35">
              <w:rPr>
                <w:color w:val="000000"/>
                <w:sz w:val="20"/>
                <w:lang w:eastAsia="en-AU"/>
              </w:rPr>
              <w:t>3.00%</w:t>
            </w:r>
          </w:p>
        </w:tc>
      </w:tr>
      <w:tr w:rsidR="00F20114" w:rsidRPr="00926B35" w14:paraId="0C6BD902" w14:textId="77777777" w:rsidTr="00F201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0672C2" w14:textId="77777777" w:rsidR="00F20114" w:rsidRPr="00926B35" w:rsidRDefault="00F20114" w:rsidP="00F20114">
            <w:pPr>
              <w:rPr>
                <w:color w:val="000000"/>
                <w:sz w:val="20"/>
                <w:lang w:eastAsia="en-AU"/>
              </w:rPr>
            </w:pPr>
            <w:r w:rsidRPr="00926B35">
              <w:rPr>
                <w:color w:val="000000"/>
                <w:sz w:val="20"/>
                <w:lang w:eastAsia="en-AU"/>
              </w:rPr>
              <w:t>2012</w:t>
            </w:r>
          </w:p>
        </w:tc>
        <w:tc>
          <w:tcPr>
            <w:tcW w:w="960" w:type="dxa"/>
            <w:tcBorders>
              <w:top w:val="nil"/>
              <w:left w:val="nil"/>
              <w:bottom w:val="single" w:sz="4" w:space="0" w:color="auto"/>
              <w:right w:val="single" w:sz="4" w:space="0" w:color="auto"/>
            </w:tcBorders>
            <w:shd w:val="clear" w:color="000000" w:fill="FDE9D9"/>
            <w:noWrap/>
            <w:vAlign w:val="center"/>
            <w:hideMark/>
          </w:tcPr>
          <w:p w14:paraId="496D3BA4" w14:textId="77777777" w:rsidR="00F20114" w:rsidRPr="00926B35" w:rsidRDefault="00F20114" w:rsidP="00F20114">
            <w:pPr>
              <w:jc w:val="right"/>
              <w:rPr>
                <w:color w:val="000000"/>
                <w:sz w:val="20"/>
                <w:lang w:eastAsia="en-AU"/>
              </w:rPr>
            </w:pPr>
            <w:r w:rsidRPr="00926B35">
              <w:rPr>
                <w:color w:val="000000"/>
                <w:sz w:val="20"/>
                <w:lang w:eastAsia="en-AU"/>
              </w:rPr>
              <w:t>2.77%</w:t>
            </w:r>
          </w:p>
        </w:tc>
        <w:tc>
          <w:tcPr>
            <w:tcW w:w="960" w:type="dxa"/>
            <w:tcBorders>
              <w:top w:val="nil"/>
              <w:left w:val="nil"/>
              <w:bottom w:val="single" w:sz="4" w:space="0" w:color="auto"/>
              <w:right w:val="single" w:sz="4" w:space="0" w:color="auto"/>
            </w:tcBorders>
            <w:shd w:val="clear" w:color="000000" w:fill="FDE9D9"/>
            <w:noWrap/>
            <w:vAlign w:val="center"/>
            <w:hideMark/>
          </w:tcPr>
          <w:p w14:paraId="7E95E122" w14:textId="77777777" w:rsidR="00F20114" w:rsidRPr="00926B35" w:rsidRDefault="00F20114" w:rsidP="00F20114">
            <w:pPr>
              <w:jc w:val="right"/>
              <w:rPr>
                <w:color w:val="000000"/>
                <w:sz w:val="20"/>
                <w:lang w:eastAsia="en-AU"/>
              </w:rPr>
            </w:pPr>
            <w:r w:rsidRPr="00926B35">
              <w:rPr>
                <w:color w:val="000000"/>
                <w:sz w:val="20"/>
                <w:lang w:eastAsia="en-AU"/>
              </w:rPr>
              <w:t>0.15%</w:t>
            </w:r>
          </w:p>
        </w:tc>
        <w:tc>
          <w:tcPr>
            <w:tcW w:w="960" w:type="dxa"/>
            <w:tcBorders>
              <w:top w:val="nil"/>
              <w:left w:val="nil"/>
              <w:bottom w:val="single" w:sz="4" w:space="0" w:color="auto"/>
              <w:right w:val="single" w:sz="4" w:space="0" w:color="auto"/>
            </w:tcBorders>
            <w:shd w:val="clear" w:color="000000" w:fill="FDE9D9"/>
            <w:noWrap/>
            <w:vAlign w:val="center"/>
            <w:hideMark/>
          </w:tcPr>
          <w:p w14:paraId="56EADE65" w14:textId="77777777" w:rsidR="00F20114" w:rsidRPr="00926B35" w:rsidRDefault="00F20114" w:rsidP="00F20114">
            <w:pPr>
              <w:jc w:val="right"/>
              <w:rPr>
                <w:color w:val="000000"/>
                <w:sz w:val="20"/>
                <w:lang w:eastAsia="en-AU"/>
              </w:rPr>
            </w:pPr>
            <w:r w:rsidRPr="00926B35">
              <w:rPr>
                <w:color w:val="000000"/>
                <w:sz w:val="20"/>
                <w:lang w:eastAsia="en-AU"/>
              </w:rPr>
              <w:t>2.62%</w:t>
            </w:r>
          </w:p>
        </w:tc>
        <w:tc>
          <w:tcPr>
            <w:tcW w:w="960" w:type="dxa"/>
            <w:tcBorders>
              <w:top w:val="nil"/>
              <w:left w:val="nil"/>
              <w:bottom w:val="single" w:sz="4" w:space="0" w:color="auto"/>
              <w:right w:val="single" w:sz="4" w:space="0" w:color="auto"/>
            </w:tcBorders>
            <w:shd w:val="clear" w:color="auto" w:fill="8DB3E2" w:themeFill="text2" w:themeFillTint="66"/>
            <w:noWrap/>
            <w:vAlign w:val="center"/>
            <w:hideMark/>
          </w:tcPr>
          <w:p w14:paraId="0B62AB13" w14:textId="77777777" w:rsidR="00F20114" w:rsidRPr="00926B35" w:rsidRDefault="00F20114" w:rsidP="00F20114">
            <w:pPr>
              <w:jc w:val="right"/>
              <w:rPr>
                <w:color w:val="000000"/>
                <w:sz w:val="20"/>
                <w:lang w:eastAsia="en-AU"/>
              </w:rPr>
            </w:pPr>
            <w:r w:rsidRPr="00926B35">
              <w:rPr>
                <w:color w:val="000000"/>
                <w:sz w:val="20"/>
                <w:lang w:eastAsia="en-AU"/>
              </w:rPr>
              <w:t>2.79%</w:t>
            </w:r>
          </w:p>
        </w:tc>
        <w:tc>
          <w:tcPr>
            <w:tcW w:w="960" w:type="dxa"/>
            <w:tcBorders>
              <w:top w:val="nil"/>
              <w:left w:val="nil"/>
              <w:bottom w:val="single" w:sz="4" w:space="0" w:color="auto"/>
              <w:right w:val="single" w:sz="4" w:space="0" w:color="auto"/>
            </w:tcBorders>
            <w:shd w:val="clear" w:color="auto" w:fill="8DB3E2" w:themeFill="text2" w:themeFillTint="66"/>
            <w:noWrap/>
            <w:vAlign w:val="center"/>
            <w:hideMark/>
          </w:tcPr>
          <w:p w14:paraId="6349BE55" w14:textId="77777777" w:rsidR="00F20114" w:rsidRPr="00926B35" w:rsidRDefault="00F20114" w:rsidP="00F20114">
            <w:pPr>
              <w:jc w:val="right"/>
              <w:rPr>
                <w:color w:val="000000"/>
                <w:sz w:val="20"/>
                <w:lang w:eastAsia="en-AU"/>
              </w:rPr>
            </w:pPr>
            <w:r w:rsidRPr="00926B35">
              <w:rPr>
                <w:color w:val="000000"/>
                <w:sz w:val="20"/>
                <w:lang w:eastAsia="en-AU"/>
              </w:rPr>
              <w:t>2.64%</w:t>
            </w:r>
          </w:p>
        </w:tc>
        <w:tc>
          <w:tcPr>
            <w:tcW w:w="960" w:type="dxa"/>
            <w:tcBorders>
              <w:top w:val="nil"/>
              <w:left w:val="nil"/>
              <w:bottom w:val="single" w:sz="4" w:space="0" w:color="auto"/>
              <w:right w:val="single" w:sz="4" w:space="0" w:color="auto"/>
            </w:tcBorders>
            <w:shd w:val="clear" w:color="000000" w:fill="DAEEF3"/>
            <w:noWrap/>
            <w:vAlign w:val="center"/>
            <w:hideMark/>
          </w:tcPr>
          <w:p w14:paraId="1F17B931" w14:textId="77777777" w:rsidR="00F20114" w:rsidRPr="00926B35" w:rsidRDefault="00F20114" w:rsidP="00F20114">
            <w:pPr>
              <w:jc w:val="right"/>
              <w:rPr>
                <w:color w:val="000000"/>
                <w:sz w:val="20"/>
                <w:lang w:eastAsia="en-AU"/>
              </w:rPr>
            </w:pPr>
            <w:r w:rsidRPr="00926B35">
              <w:rPr>
                <w:color w:val="000000"/>
                <w:sz w:val="20"/>
                <w:lang w:eastAsia="en-AU"/>
              </w:rPr>
              <w:t>3.15%</w:t>
            </w:r>
          </w:p>
        </w:tc>
        <w:tc>
          <w:tcPr>
            <w:tcW w:w="960" w:type="dxa"/>
            <w:tcBorders>
              <w:top w:val="nil"/>
              <w:left w:val="nil"/>
              <w:bottom w:val="single" w:sz="4" w:space="0" w:color="auto"/>
              <w:right w:val="single" w:sz="4" w:space="0" w:color="auto"/>
            </w:tcBorders>
            <w:shd w:val="clear" w:color="000000" w:fill="DAEEF3"/>
            <w:noWrap/>
            <w:vAlign w:val="center"/>
            <w:hideMark/>
          </w:tcPr>
          <w:p w14:paraId="6C285F5F" w14:textId="77777777" w:rsidR="00F20114" w:rsidRPr="00926B35" w:rsidRDefault="00F20114" w:rsidP="00F20114">
            <w:pPr>
              <w:jc w:val="right"/>
              <w:rPr>
                <w:color w:val="000000"/>
                <w:sz w:val="20"/>
                <w:lang w:eastAsia="en-AU"/>
              </w:rPr>
            </w:pPr>
            <w:r w:rsidRPr="00926B35">
              <w:rPr>
                <w:color w:val="000000"/>
                <w:sz w:val="20"/>
                <w:lang w:eastAsia="en-AU"/>
              </w:rPr>
              <w:t>3.00%</w:t>
            </w:r>
          </w:p>
        </w:tc>
        <w:tc>
          <w:tcPr>
            <w:tcW w:w="960" w:type="dxa"/>
            <w:tcBorders>
              <w:top w:val="nil"/>
              <w:left w:val="nil"/>
              <w:bottom w:val="single" w:sz="4" w:space="0" w:color="auto"/>
              <w:right w:val="single" w:sz="4" w:space="0" w:color="auto"/>
            </w:tcBorders>
            <w:shd w:val="clear" w:color="000000" w:fill="DAEEF3"/>
            <w:noWrap/>
            <w:vAlign w:val="center"/>
            <w:hideMark/>
          </w:tcPr>
          <w:p w14:paraId="63DF9FCB" w14:textId="77777777" w:rsidR="00F20114" w:rsidRPr="00926B35" w:rsidRDefault="00F20114" w:rsidP="00F20114">
            <w:pPr>
              <w:jc w:val="right"/>
              <w:rPr>
                <w:color w:val="000000"/>
                <w:sz w:val="20"/>
                <w:lang w:eastAsia="en-AU"/>
              </w:rPr>
            </w:pPr>
            <w:r w:rsidRPr="00926B35">
              <w:rPr>
                <w:color w:val="000000"/>
                <w:sz w:val="20"/>
                <w:lang w:eastAsia="en-AU"/>
              </w:rPr>
              <w:t>3.15%</w:t>
            </w:r>
          </w:p>
        </w:tc>
        <w:tc>
          <w:tcPr>
            <w:tcW w:w="960" w:type="dxa"/>
            <w:tcBorders>
              <w:top w:val="nil"/>
              <w:left w:val="nil"/>
              <w:bottom w:val="single" w:sz="4" w:space="0" w:color="auto"/>
              <w:right w:val="single" w:sz="4" w:space="0" w:color="auto"/>
            </w:tcBorders>
            <w:shd w:val="clear" w:color="000000" w:fill="DAEEF3"/>
            <w:noWrap/>
            <w:vAlign w:val="center"/>
            <w:hideMark/>
          </w:tcPr>
          <w:p w14:paraId="15021853" w14:textId="77777777" w:rsidR="00F20114" w:rsidRPr="00926B35" w:rsidRDefault="00F20114" w:rsidP="00F20114">
            <w:pPr>
              <w:jc w:val="right"/>
              <w:rPr>
                <w:color w:val="000000"/>
                <w:sz w:val="20"/>
                <w:lang w:eastAsia="en-AU"/>
              </w:rPr>
            </w:pPr>
            <w:r w:rsidRPr="00926B35">
              <w:rPr>
                <w:color w:val="000000"/>
                <w:sz w:val="20"/>
                <w:lang w:eastAsia="en-AU"/>
              </w:rPr>
              <w:t>3.00%</w:t>
            </w:r>
          </w:p>
        </w:tc>
      </w:tr>
      <w:tr w:rsidR="00F20114" w:rsidRPr="00926B35" w14:paraId="384B9684" w14:textId="77777777" w:rsidTr="00F201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70E5B0" w14:textId="77777777" w:rsidR="00F20114" w:rsidRPr="00926B35" w:rsidRDefault="00F20114" w:rsidP="00F20114">
            <w:pPr>
              <w:rPr>
                <w:color w:val="000000"/>
                <w:sz w:val="20"/>
                <w:lang w:eastAsia="en-AU"/>
              </w:rPr>
            </w:pPr>
            <w:r w:rsidRPr="00926B35">
              <w:rPr>
                <w:color w:val="000000"/>
                <w:sz w:val="20"/>
                <w:lang w:eastAsia="en-AU"/>
              </w:rPr>
              <w:t>2013</w:t>
            </w:r>
          </w:p>
        </w:tc>
        <w:tc>
          <w:tcPr>
            <w:tcW w:w="960" w:type="dxa"/>
            <w:tcBorders>
              <w:top w:val="nil"/>
              <w:left w:val="nil"/>
              <w:bottom w:val="single" w:sz="4" w:space="0" w:color="auto"/>
              <w:right w:val="single" w:sz="4" w:space="0" w:color="auto"/>
            </w:tcBorders>
            <w:shd w:val="clear" w:color="000000" w:fill="FDE9D9"/>
            <w:noWrap/>
            <w:vAlign w:val="center"/>
            <w:hideMark/>
          </w:tcPr>
          <w:p w14:paraId="2628611D" w14:textId="77777777" w:rsidR="00F20114" w:rsidRPr="00926B35" w:rsidRDefault="00F20114" w:rsidP="00F20114">
            <w:pPr>
              <w:jc w:val="right"/>
              <w:rPr>
                <w:color w:val="000000"/>
                <w:sz w:val="20"/>
                <w:lang w:eastAsia="en-AU"/>
              </w:rPr>
            </w:pPr>
            <w:r w:rsidRPr="00926B35">
              <w:rPr>
                <w:color w:val="000000"/>
                <w:sz w:val="20"/>
                <w:lang w:eastAsia="en-AU"/>
              </w:rPr>
              <w:t>2.59%</w:t>
            </w:r>
          </w:p>
        </w:tc>
        <w:tc>
          <w:tcPr>
            <w:tcW w:w="960" w:type="dxa"/>
            <w:tcBorders>
              <w:top w:val="nil"/>
              <w:left w:val="nil"/>
              <w:bottom w:val="single" w:sz="4" w:space="0" w:color="auto"/>
              <w:right w:val="single" w:sz="4" w:space="0" w:color="auto"/>
            </w:tcBorders>
            <w:shd w:val="clear" w:color="000000" w:fill="FDE9D9"/>
            <w:noWrap/>
            <w:vAlign w:val="center"/>
            <w:hideMark/>
          </w:tcPr>
          <w:p w14:paraId="762256A5" w14:textId="77777777" w:rsidR="00F20114" w:rsidRPr="00926B35" w:rsidRDefault="00F20114" w:rsidP="00F20114">
            <w:pPr>
              <w:jc w:val="right"/>
              <w:rPr>
                <w:color w:val="000000"/>
                <w:sz w:val="20"/>
                <w:lang w:eastAsia="en-AU"/>
              </w:rPr>
            </w:pPr>
            <w:r w:rsidRPr="00926B35">
              <w:rPr>
                <w:color w:val="000000"/>
                <w:sz w:val="20"/>
                <w:lang w:eastAsia="en-AU"/>
              </w:rPr>
              <w:t>0.20%</w:t>
            </w:r>
          </w:p>
        </w:tc>
        <w:tc>
          <w:tcPr>
            <w:tcW w:w="960" w:type="dxa"/>
            <w:tcBorders>
              <w:top w:val="nil"/>
              <w:left w:val="nil"/>
              <w:bottom w:val="single" w:sz="4" w:space="0" w:color="auto"/>
              <w:right w:val="single" w:sz="4" w:space="0" w:color="auto"/>
            </w:tcBorders>
            <w:shd w:val="clear" w:color="000000" w:fill="FDE9D9"/>
            <w:noWrap/>
            <w:vAlign w:val="center"/>
            <w:hideMark/>
          </w:tcPr>
          <w:p w14:paraId="1E62F23A" w14:textId="77777777" w:rsidR="00F20114" w:rsidRPr="00926B35" w:rsidRDefault="00F20114" w:rsidP="00F20114">
            <w:pPr>
              <w:jc w:val="right"/>
              <w:rPr>
                <w:color w:val="000000"/>
                <w:sz w:val="20"/>
                <w:lang w:eastAsia="en-AU"/>
              </w:rPr>
            </w:pPr>
            <w:r w:rsidRPr="00926B35">
              <w:rPr>
                <w:color w:val="000000"/>
                <w:sz w:val="20"/>
                <w:lang w:eastAsia="en-AU"/>
              </w:rPr>
              <w:t>2.39%</w:t>
            </w:r>
          </w:p>
        </w:tc>
        <w:tc>
          <w:tcPr>
            <w:tcW w:w="960" w:type="dxa"/>
            <w:tcBorders>
              <w:top w:val="nil"/>
              <w:left w:val="nil"/>
              <w:bottom w:val="single" w:sz="4" w:space="0" w:color="auto"/>
              <w:right w:val="single" w:sz="4" w:space="0" w:color="auto"/>
            </w:tcBorders>
            <w:shd w:val="clear" w:color="auto" w:fill="8DB3E2" w:themeFill="text2" w:themeFillTint="66"/>
            <w:noWrap/>
            <w:vAlign w:val="center"/>
            <w:hideMark/>
          </w:tcPr>
          <w:p w14:paraId="54F35F54" w14:textId="77777777" w:rsidR="00F20114" w:rsidRPr="00926B35" w:rsidRDefault="00F20114" w:rsidP="00F20114">
            <w:pPr>
              <w:jc w:val="right"/>
              <w:rPr>
                <w:color w:val="000000"/>
                <w:sz w:val="20"/>
                <w:lang w:eastAsia="en-AU"/>
              </w:rPr>
            </w:pPr>
            <w:r w:rsidRPr="00926B35">
              <w:rPr>
                <w:color w:val="000000"/>
                <w:sz w:val="20"/>
                <w:lang w:eastAsia="en-AU"/>
              </w:rPr>
              <w:t>2.61%</w:t>
            </w:r>
          </w:p>
        </w:tc>
        <w:tc>
          <w:tcPr>
            <w:tcW w:w="960" w:type="dxa"/>
            <w:tcBorders>
              <w:top w:val="nil"/>
              <w:left w:val="nil"/>
              <w:bottom w:val="single" w:sz="4" w:space="0" w:color="auto"/>
              <w:right w:val="single" w:sz="4" w:space="0" w:color="auto"/>
            </w:tcBorders>
            <w:shd w:val="clear" w:color="auto" w:fill="8DB3E2" w:themeFill="text2" w:themeFillTint="66"/>
            <w:noWrap/>
            <w:vAlign w:val="center"/>
            <w:hideMark/>
          </w:tcPr>
          <w:p w14:paraId="179D0591" w14:textId="77777777" w:rsidR="00F20114" w:rsidRPr="00926B35" w:rsidRDefault="00F20114" w:rsidP="00F20114">
            <w:pPr>
              <w:jc w:val="right"/>
              <w:rPr>
                <w:color w:val="000000"/>
                <w:sz w:val="20"/>
                <w:lang w:eastAsia="en-AU"/>
              </w:rPr>
            </w:pPr>
            <w:r w:rsidRPr="00926B35">
              <w:rPr>
                <w:color w:val="000000"/>
                <w:sz w:val="20"/>
                <w:lang w:eastAsia="en-AU"/>
              </w:rPr>
              <w:t>2.41%</w:t>
            </w:r>
          </w:p>
        </w:tc>
        <w:tc>
          <w:tcPr>
            <w:tcW w:w="960" w:type="dxa"/>
            <w:tcBorders>
              <w:top w:val="nil"/>
              <w:left w:val="nil"/>
              <w:bottom w:val="single" w:sz="4" w:space="0" w:color="auto"/>
              <w:right w:val="single" w:sz="4" w:space="0" w:color="auto"/>
            </w:tcBorders>
            <w:shd w:val="clear" w:color="000000" w:fill="DAEEF3"/>
            <w:noWrap/>
            <w:vAlign w:val="center"/>
            <w:hideMark/>
          </w:tcPr>
          <w:p w14:paraId="7DEB3C4D" w14:textId="77777777" w:rsidR="00F20114" w:rsidRPr="00926B35" w:rsidRDefault="00F20114" w:rsidP="00F20114">
            <w:pPr>
              <w:jc w:val="right"/>
              <w:rPr>
                <w:color w:val="000000"/>
                <w:sz w:val="20"/>
                <w:lang w:eastAsia="en-AU"/>
              </w:rPr>
            </w:pPr>
            <w:r w:rsidRPr="00926B35">
              <w:rPr>
                <w:color w:val="000000"/>
                <w:sz w:val="20"/>
                <w:lang w:eastAsia="en-AU"/>
              </w:rPr>
              <w:t>2.85%</w:t>
            </w:r>
          </w:p>
        </w:tc>
        <w:tc>
          <w:tcPr>
            <w:tcW w:w="960" w:type="dxa"/>
            <w:tcBorders>
              <w:top w:val="nil"/>
              <w:left w:val="nil"/>
              <w:bottom w:val="single" w:sz="4" w:space="0" w:color="auto"/>
              <w:right w:val="single" w:sz="4" w:space="0" w:color="auto"/>
            </w:tcBorders>
            <w:shd w:val="clear" w:color="000000" w:fill="DAEEF3"/>
            <w:noWrap/>
            <w:vAlign w:val="center"/>
            <w:hideMark/>
          </w:tcPr>
          <w:p w14:paraId="447551C1" w14:textId="77777777" w:rsidR="00F20114" w:rsidRPr="00926B35" w:rsidRDefault="00F20114" w:rsidP="00F20114">
            <w:pPr>
              <w:jc w:val="right"/>
              <w:rPr>
                <w:color w:val="000000"/>
                <w:sz w:val="20"/>
                <w:lang w:eastAsia="en-AU"/>
              </w:rPr>
            </w:pPr>
            <w:r w:rsidRPr="00926B35">
              <w:rPr>
                <w:color w:val="000000"/>
                <w:sz w:val="20"/>
                <w:lang w:eastAsia="en-AU"/>
              </w:rPr>
              <w:t>2.65%</w:t>
            </w:r>
          </w:p>
        </w:tc>
        <w:tc>
          <w:tcPr>
            <w:tcW w:w="960" w:type="dxa"/>
            <w:tcBorders>
              <w:top w:val="nil"/>
              <w:left w:val="nil"/>
              <w:bottom w:val="single" w:sz="4" w:space="0" w:color="auto"/>
              <w:right w:val="single" w:sz="4" w:space="0" w:color="auto"/>
            </w:tcBorders>
            <w:shd w:val="clear" w:color="000000" w:fill="DAEEF3"/>
            <w:noWrap/>
            <w:vAlign w:val="center"/>
            <w:hideMark/>
          </w:tcPr>
          <w:p w14:paraId="63CE35A6" w14:textId="77777777" w:rsidR="00F20114" w:rsidRPr="00926B35" w:rsidRDefault="00F20114" w:rsidP="00F20114">
            <w:pPr>
              <w:jc w:val="right"/>
              <w:rPr>
                <w:color w:val="000000"/>
                <w:sz w:val="20"/>
                <w:lang w:eastAsia="en-AU"/>
              </w:rPr>
            </w:pPr>
            <w:r w:rsidRPr="00926B35">
              <w:rPr>
                <w:color w:val="000000"/>
                <w:sz w:val="20"/>
                <w:lang w:eastAsia="en-AU"/>
              </w:rPr>
              <w:t>2.85%</w:t>
            </w:r>
          </w:p>
        </w:tc>
        <w:tc>
          <w:tcPr>
            <w:tcW w:w="960" w:type="dxa"/>
            <w:tcBorders>
              <w:top w:val="nil"/>
              <w:left w:val="nil"/>
              <w:bottom w:val="single" w:sz="4" w:space="0" w:color="auto"/>
              <w:right w:val="single" w:sz="4" w:space="0" w:color="auto"/>
            </w:tcBorders>
            <w:shd w:val="clear" w:color="000000" w:fill="DAEEF3"/>
            <w:noWrap/>
            <w:vAlign w:val="center"/>
            <w:hideMark/>
          </w:tcPr>
          <w:p w14:paraId="78ED07A7" w14:textId="77777777" w:rsidR="00F20114" w:rsidRPr="00926B35" w:rsidRDefault="00F20114" w:rsidP="00F20114">
            <w:pPr>
              <w:jc w:val="right"/>
              <w:rPr>
                <w:color w:val="000000"/>
                <w:sz w:val="20"/>
                <w:lang w:eastAsia="en-AU"/>
              </w:rPr>
            </w:pPr>
            <w:r w:rsidRPr="00926B35">
              <w:rPr>
                <w:color w:val="000000"/>
                <w:sz w:val="20"/>
                <w:lang w:eastAsia="en-AU"/>
              </w:rPr>
              <w:t>2.65%</w:t>
            </w:r>
          </w:p>
        </w:tc>
      </w:tr>
      <w:tr w:rsidR="00F20114" w:rsidRPr="00926B35" w14:paraId="71072742" w14:textId="77777777" w:rsidTr="00F201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DA21BD" w14:textId="77777777" w:rsidR="00F20114" w:rsidRPr="00926B35" w:rsidRDefault="00F20114" w:rsidP="00F20114">
            <w:pPr>
              <w:rPr>
                <w:color w:val="000000"/>
                <w:sz w:val="20"/>
                <w:lang w:eastAsia="en-AU"/>
              </w:rPr>
            </w:pPr>
            <w:r w:rsidRPr="00926B35">
              <w:rPr>
                <w:color w:val="000000"/>
                <w:sz w:val="20"/>
                <w:lang w:eastAsia="en-AU"/>
              </w:rPr>
              <w:t>2014</w:t>
            </w:r>
          </w:p>
        </w:tc>
        <w:tc>
          <w:tcPr>
            <w:tcW w:w="960" w:type="dxa"/>
            <w:tcBorders>
              <w:top w:val="nil"/>
              <w:left w:val="nil"/>
              <w:bottom w:val="single" w:sz="4" w:space="0" w:color="auto"/>
              <w:right w:val="single" w:sz="4" w:space="0" w:color="auto"/>
            </w:tcBorders>
            <w:shd w:val="clear" w:color="000000" w:fill="FDE9D9"/>
            <w:noWrap/>
            <w:vAlign w:val="center"/>
            <w:hideMark/>
          </w:tcPr>
          <w:p w14:paraId="394D3D0E" w14:textId="77777777" w:rsidR="00F20114" w:rsidRPr="00926B35" w:rsidRDefault="00F20114" w:rsidP="00F20114">
            <w:pPr>
              <w:jc w:val="right"/>
              <w:rPr>
                <w:color w:val="000000"/>
                <w:sz w:val="20"/>
                <w:lang w:eastAsia="en-AU"/>
              </w:rPr>
            </w:pPr>
            <w:r w:rsidRPr="00926B35">
              <w:rPr>
                <w:color w:val="000000"/>
                <w:sz w:val="20"/>
                <w:lang w:eastAsia="en-AU"/>
              </w:rPr>
              <w:t>2.77%</w:t>
            </w:r>
          </w:p>
        </w:tc>
        <w:tc>
          <w:tcPr>
            <w:tcW w:w="960" w:type="dxa"/>
            <w:tcBorders>
              <w:top w:val="nil"/>
              <w:left w:val="nil"/>
              <w:bottom w:val="single" w:sz="4" w:space="0" w:color="auto"/>
              <w:right w:val="single" w:sz="4" w:space="0" w:color="auto"/>
            </w:tcBorders>
            <w:shd w:val="clear" w:color="000000" w:fill="FDE9D9"/>
            <w:noWrap/>
            <w:vAlign w:val="center"/>
            <w:hideMark/>
          </w:tcPr>
          <w:p w14:paraId="632C236A" w14:textId="77777777" w:rsidR="00F20114" w:rsidRPr="00926B35" w:rsidRDefault="00F20114" w:rsidP="00F20114">
            <w:pPr>
              <w:jc w:val="right"/>
              <w:rPr>
                <w:color w:val="000000"/>
                <w:sz w:val="20"/>
                <w:lang w:eastAsia="en-AU"/>
              </w:rPr>
            </w:pPr>
            <w:r w:rsidRPr="00926B35">
              <w:rPr>
                <w:color w:val="000000"/>
                <w:sz w:val="20"/>
                <w:lang w:eastAsia="en-AU"/>
              </w:rPr>
              <w:t>0.25%</w:t>
            </w:r>
          </w:p>
        </w:tc>
        <w:tc>
          <w:tcPr>
            <w:tcW w:w="960" w:type="dxa"/>
            <w:tcBorders>
              <w:top w:val="nil"/>
              <w:left w:val="nil"/>
              <w:bottom w:val="single" w:sz="4" w:space="0" w:color="auto"/>
              <w:right w:val="single" w:sz="4" w:space="0" w:color="auto"/>
            </w:tcBorders>
            <w:shd w:val="clear" w:color="000000" w:fill="FDE9D9"/>
            <w:noWrap/>
            <w:vAlign w:val="center"/>
            <w:hideMark/>
          </w:tcPr>
          <w:p w14:paraId="2F5797D7" w14:textId="77777777" w:rsidR="00F20114" w:rsidRPr="00926B35" w:rsidRDefault="00F20114" w:rsidP="00F20114">
            <w:pPr>
              <w:jc w:val="right"/>
              <w:rPr>
                <w:color w:val="000000"/>
                <w:sz w:val="20"/>
                <w:lang w:eastAsia="en-AU"/>
              </w:rPr>
            </w:pPr>
            <w:r w:rsidRPr="00926B35">
              <w:rPr>
                <w:color w:val="000000"/>
                <w:sz w:val="20"/>
                <w:lang w:eastAsia="en-AU"/>
              </w:rPr>
              <w:t>2.52%</w:t>
            </w:r>
          </w:p>
        </w:tc>
        <w:tc>
          <w:tcPr>
            <w:tcW w:w="960" w:type="dxa"/>
            <w:tcBorders>
              <w:top w:val="nil"/>
              <w:left w:val="nil"/>
              <w:bottom w:val="single" w:sz="4" w:space="0" w:color="auto"/>
              <w:right w:val="single" w:sz="4" w:space="0" w:color="auto"/>
            </w:tcBorders>
            <w:shd w:val="clear" w:color="auto" w:fill="8DB3E2" w:themeFill="text2" w:themeFillTint="66"/>
            <w:noWrap/>
            <w:vAlign w:val="center"/>
            <w:hideMark/>
          </w:tcPr>
          <w:p w14:paraId="4E68D006" w14:textId="77777777" w:rsidR="00F20114" w:rsidRPr="00926B35" w:rsidRDefault="00F20114" w:rsidP="00F20114">
            <w:pPr>
              <w:jc w:val="right"/>
              <w:rPr>
                <w:color w:val="000000"/>
                <w:sz w:val="20"/>
                <w:lang w:eastAsia="en-AU"/>
              </w:rPr>
            </w:pPr>
            <w:r w:rsidRPr="00926B35">
              <w:rPr>
                <w:color w:val="000000"/>
                <w:sz w:val="20"/>
                <w:lang w:eastAsia="en-AU"/>
              </w:rPr>
              <w:t>2.76%</w:t>
            </w:r>
          </w:p>
        </w:tc>
        <w:tc>
          <w:tcPr>
            <w:tcW w:w="960" w:type="dxa"/>
            <w:tcBorders>
              <w:top w:val="nil"/>
              <w:left w:val="nil"/>
              <w:bottom w:val="single" w:sz="4" w:space="0" w:color="auto"/>
              <w:right w:val="single" w:sz="4" w:space="0" w:color="auto"/>
            </w:tcBorders>
            <w:shd w:val="clear" w:color="auto" w:fill="8DB3E2" w:themeFill="text2" w:themeFillTint="66"/>
            <w:noWrap/>
            <w:vAlign w:val="center"/>
            <w:hideMark/>
          </w:tcPr>
          <w:p w14:paraId="26014382" w14:textId="77777777" w:rsidR="00F20114" w:rsidRPr="00926B35" w:rsidRDefault="00F20114" w:rsidP="00F20114">
            <w:pPr>
              <w:jc w:val="right"/>
              <w:rPr>
                <w:color w:val="000000"/>
                <w:sz w:val="20"/>
                <w:lang w:eastAsia="en-AU"/>
              </w:rPr>
            </w:pPr>
            <w:r w:rsidRPr="00926B35">
              <w:rPr>
                <w:color w:val="000000"/>
                <w:sz w:val="20"/>
                <w:lang w:eastAsia="en-AU"/>
              </w:rPr>
              <w:t>2.51%</w:t>
            </w:r>
          </w:p>
        </w:tc>
        <w:tc>
          <w:tcPr>
            <w:tcW w:w="960" w:type="dxa"/>
            <w:tcBorders>
              <w:top w:val="nil"/>
              <w:left w:val="nil"/>
              <w:bottom w:val="single" w:sz="4" w:space="0" w:color="auto"/>
              <w:right w:val="single" w:sz="4" w:space="0" w:color="auto"/>
            </w:tcBorders>
            <w:shd w:val="clear" w:color="000000" w:fill="DAEEF3"/>
            <w:noWrap/>
            <w:vAlign w:val="center"/>
            <w:hideMark/>
          </w:tcPr>
          <w:p w14:paraId="19879717" w14:textId="77777777" w:rsidR="00F20114" w:rsidRPr="00926B35" w:rsidRDefault="00F20114" w:rsidP="00F20114">
            <w:pPr>
              <w:jc w:val="right"/>
              <w:rPr>
                <w:color w:val="000000"/>
                <w:sz w:val="20"/>
                <w:lang w:eastAsia="en-AU"/>
              </w:rPr>
            </w:pPr>
            <w:r w:rsidRPr="00926B35">
              <w:rPr>
                <w:color w:val="000000"/>
                <w:sz w:val="20"/>
                <w:lang w:eastAsia="en-AU"/>
              </w:rPr>
              <w:t>2.90%</w:t>
            </w:r>
          </w:p>
        </w:tc>
        <w:tc>
          <w:tcPr>
            <w:tcW w:w="960" w:type="dxa"/>
            <w:tcBorders>
              <w:top w:val="nil"/>
              <w:left w:val="nil"/>
              <w:bottom w:val="single" w:sz="4" w:space="0" w:color="auto"/>
              <w:right w:val="single" w:sz="4" w:space="0" w:color="auto"/>
            </w:tcBorders>
            <w:shd w:val="clear" w:color="000000" w:fill="DAEEF3"/>
            <w:noWrap/>
            <w:vAlign w:val="center"/>
            <w:hideMark/>
          </w:tcPr>
          <w:p w14:paraId="01BBFE10" w14:textId="77777777" w:rsidR="00F20114" w:rsidRPr="00926B35" w:rsidRDefault="00F20114" w:rsidP="00F20114">
            <w:pPr>
              <w:jc w:val="right"/>
              <w:rPr>
                <w:color w:val="000000"/>
                <w:sz w:val="20"/>
                <w:lang w:eastAsia="en-AU"/>
              </w:rPr>
            </w:pPr>
            <w:r w:rsidRPr="00926B35">
              <w:rPr>
                <w:color w:val="000000"/>
                <w:sz w:val="20"/>
                <w:lang w:eastAsia="en-AU"/>
              </w:rPr>
              <w:t>2.65%</w:t>
            </w:r>
          </w:p>
        </w:tc>
        <w:tc>
          <w:tcPr>
            <w:tcW w:w="960" w:type="dxa"/>
            <w:tcBorders>
              <w:top w:val="nil"/>
              <w:left w:val="nil"/>
              <w:bottom w:val="single" w:sz="4" w:space="0" w:color="auto"/>
              <w:right w:val="single" w:sz="4" w:space="0" w:color="auto"/>
            </w:tcBorders>
            <w:shd w:val="clear" w:color="000000" w:fill="DAEEF3"/>
            <w:noWrap/>
            <w:vAlign w:val="center"/>
            <w:hideMark/>
          </w:tcPr>
          <w:p w14:paraId="240E61D6" w14:textId="77777777" w:rsidR="00F20114" w:rsidRPr="00926B35" w:rsidRDefault="00F20114" w:rsidP="00F20114">
            <w:pPr>
              <w:jc w:val="right"/>
              <w:rPr>
                <w:color w:val="000000"/>
                <w:sz w:val="20"/>
                <w:lang w:eastAsia="en-AU"/>
              </w:rPr>
            </w:pPr>
            <w:r w:rsidRPr="00926B35">
              <w:rPr>
                <w:color w:val="000000"/>
                <w:sz w:val="20"/>
                <w:lang w:eastAsia="en-AU"/>
              </w:rPr>
              <w:t>2.70%</w:t>
            </w:r>
          </w:p>
        </w:tc>
        <w:tc>
          <w:tcPr>
            <w:tcW w:w="960" w:type="dxa"/>
            <w:tcBorders>
              <w:top w:val="nil"/>
              <w:left w:val="nil"/>
              <w:bottom w:val="single" w:sz="4" w:space="0" w:color="auto"/>
              <w:right w:val="single" w:sz="4" w:space="0" w:color="auto"/>
            </w:tcBorders>
            <w:shd w:val="clear" w:color="000000" w:fill="DAEEF3"/>
            <w:noWrap/>
            <w:vAlign w:val="center"/>
            <w:hideMark/>
          </w:tcPr>
          <w:p w14:paraId="56CC2729" w14:textId="77777777" w:rsidR="00F20114" w:rsidRPr="00926B35" w:rsidRDefault="00F20114" w:rsidP="00F20114">
            <w:pPr>
              <w:jc w:val="right"/>
              <w:rPr>
                <w:color w:val="000000"/>
                <w:sz w:val="20"/>
                <w:lang w:eastAsia="en-AU"/>
              </w:rPr>
            </w:pPr>
            <w:r w:rsidRPr="00926B35">
              <w:rPr>
                <w:color w:val="000000"/>
                <w:sz w:val="20"/>
                <w:lang w:eastAsia="en-AU"/>
              </w:rPr>
              <w:t>2.45%</w:t>
            </w:r>
          </w:p>
        </w:tc>
      </w:tr>
      <w:tr w:rsidR="00F20114" w:rsidRPr="00926B35" w14:paraId="7E19E0AE" w14:textId="77777777" w:rsidTr="00F201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7A073D" w14:textId="77777777" w:rsidR="00F20114" w:rsidRPr="00926B35" w:rsidRDefault="00F20114" w:rsidP="00F20114">
            <w:pPr>
              <w:rPr>
                <w:color w:val="000000"/>
                <w:sz w:val="20"/>
                <w:lang w:eastAsia="en-AU"/>
              </w:rPr>
            </w:pPr>
            <w:r w:rsidRPr="00926B35">
              <w:rPr>
                <w:color w:val="000000"/>
                <w:sz w:val="20"/>
                <w:lang w:eastAsia="en-AU"/>
              </w:rPr>
              <w:t>2015</w:t>
            </w:r>
          </w:p>
        </w:tc>
        <w:tc>
          <w:tcPr>
            <w:tcW w:w="960" w:type="dxa"/>
            <w:tcBorders>
              <w:top w:val="nil"/>
              <w:left w:val="nil"/>
              <w:bottom w:val="single" w:sz="4" w:space="0" w:color="auto"/>
              <w:right w:val="single" w:sz="4" w:space="0" w:color="auto"/>
            </w:tcBorders>
            <w:shd w:val="clear" w:color="000000" w:fill="FDE9D9"/>
            <w:noWrap/>
            <w:vAlign w:val="center"/>
            <w:hideMark/>
          </w:tcPr>
          <w:p w14:paraId="7674772A" w14:textId="77777777" w:rsidR="00F20114" w:rsidRPr="00926B35" w:rsidRDefault="00F20114" w:rsidP="00F20114">
            <w:pPr>
              <w:jc w:val="right"/>
              <w:rPr>
                <w:color w:val="000000"/>
                <w:sz w:val="20"/>
                <w:lang w:eastAsia="en-AU"/>
              </w:rPr>
            </w:pPr>
            <w:r w:rsidRPr="00926B35">
              <w:rPr>
                <w:color w:val="000000"/>
                <w:sz w:val="20"/>
                <w:lang w:eastAsia="en-AU"/>
              </w:rPr>
              <w:t>1.97%</w:t>
            </w:r>
          </w:p>
        </w:tc>
        <w:tc>
          <w:tcPr>
            <w:tcW w:w="960" w:type="dxa"/>
            <w:tcBorders>
              <w:top w:val="nil"/>
              <w:left w:val="nil"/>
              <w:bottom w:val="single" w:sz="4" w:space="0" w:color="auto"/>
              <w:right w:val="single" w:sz="4" w:space="0" w:color="auto"/>
            </w:tcBorders>
            <w:shd w:val="clear" w:color="000000" w:fill="FDE9D9"/>
            <w:noWrap/>
            <w:vAlign w:val="center"/>
            <w:hideMark/>
          </w:tcPr>
          <w:p w14:paraId="6D0C7573" w14:textId="77777777" w:rsidR="00F20114" w:rsidRPr="00926B35" w:rsidRDefault="00F20114" w:rsidP="00F20114">
            <w:pPr>
              <w:jc w:val="right"/>
              <w:rPr>
                <w:color w:val="000000"/>
                <w:sz w:val="20"/>
                <w:lang w:eastAsia="en-AU"/>
              </w:rPr>
            </w:pPr>
            <w:r w:rsidRPr="00926B35">
              <w:rPr>
                <w:color w:val="000000"/>
                <w:sz w:val="20"/>
                <w:lang w:eastAsia="en-AU"/>
              </w:rPr>
              <w:t>0.30%</w:t>
            </w:r>
          </w:p>
        </w:tc>
        <w:tc>
          <w:tcPr>
            <w:tcW w:w="960" w:type="dxa"/>
            <w:tcBorders>
              <w:top w:val="nil"/>
              <w:left w:val="nil"/>
              <w:bottom w:val="single" w:sz="4" w:space="0" w:color="auto"/>
              <w:right w:val="single" w:sz="4" w:space="0" w:color="auto"/>
            </w:tcBorders>
            <w:shd w:val="clear" w:color="000000" w:fill="FDE9D9"/>
            <w:noWrap/>
            <w:vAlign w:val="center"/>
            <w:hideMark/>
          </w:tcPr>
          <w:p w14:paraId="1202ABE6" w14:textId="77777777" w:rsidR="00F20114" w:rsidRPr="00926B35" w:rsidRDefault="00F20114" w:rsidP="00F20114">
            <w:pPr>
              <w:jc w:val="right"/>
              <w:rPr>
                <w:color w:val="000000"/>
                <w:sz w:val="20"/>
                <w:lang w:eastAsia="en-AU"/>
              </w:rPr>
            </w:pPr>
            <w:r w:rsidRPr="00926B35">
              <w:rPr>
                <w:color w:val="000000"/>
                <w:sz w:val="20"/>
                <w:lang w:eastAsia="en-AU"/>
              </w:rPr>
              <w:t>1.67%</w:t>
            </w:r>
          </w:p>
        </w:tc>
        <w:tc>
          <w:tcPr>
            <w:tcW w:w="960" w:type="dxa"/>
            <w:tcBorders>
              <w:top w:val="nil"/>
              <w:left w:val="nil"/>
              <w:bottom w:val="single" w:sz="4" w:space="0" w:color="auto"/>
              <w:right w:val="single" w:sz="4" w:space="0" w:color="auto"/>
            </w:tcBorders>
            <w:shd w:val="clear" w:color="auto" w:fill="8DB3E2" w:themeFill="text2" w:themeFillTint="66"/>
            <w:noWrap/>
            <w:vAlign w:val="center"/>
            <w:hideMark/>
          </w:tcPr>
          <w:p w14:paraId="0B89586C" w14:textId="77777777" w:rsidR="00F20114" w:rsidRPr="00926B35" w:rsidRDefault="00F20114" w:rsidP="00F20114">
            <w:pPr>
              <w:jc w:val="right"/>
              <w:rPr>
                <w:color w:val="000000"/>
                <w:sz w:val="20"/>
                <w:lang w:eastAsia="en-AU"/>
              </w:rPr>
            </w:pPr>
            <w:r w:rsidRPr="00926B35">
              <w:rPr>
                <w:color w:val="000000"/>
                <w:sz w:val="20"/>
                <w:lang w:eastAsia="en-AU"/>
              </w:rPr>
              <w:t>1.97%</w:t>
            </w:r>
          </w:p>
        </w:tc>
        <w:tc>
          <w:tcPr>
            <w:tcW w:w="960" w:type="dxa"/>
            <w:tcBorders>
              <w:top w:val="nil"/>
              <w:left w:val="nil"/>
              <w:bottom w:val="single" w:sz="4" w:space="0" w:color="auto"/>
              <w:right w:val="single" w:sz="4" w:space="0" w:color="auto"/>
            </w:tcBorders>
            <w:shd w:val="clear" w:color="auto" w:fill="8DB3E2" w:themeFill="text2" w:themeFillTint="66"/>
            <w:noWrap/>
            <w:vAlign w:val="center"/>
            <w:hideMark/>
          </w:tcPr>
          <w:p w14:paraId="2F11CDC0" w14:textId="77777777" w:rsidR="00F20114" w:rsidRPr="00926B35" w:rsidRDefault="00F20114" w:rsidP="00F20114">
            <w:pPr>
              <w:jc w:val="right"/>
              <w:rPr>
                <w:color w:val="000000"/>
                <w:sz w:val="20"/>
                <w:lang w:eastAsia="en-AU"/>
              </w:rPr>
            </w:pPr>
            <w:r w:rsidRPr="00926B35">
              <w:rPr>
                <w:color w:val="000000"/>
                <w:sz w:val="20"/>
                <w:lang w:eastAsia="en-AU"/>
              </w:rPr>
              <w:t>1.67%</w:t>
            </w:r>
          </w:p>
        </w:tc>
        <w:tc>
          <w:tcPr>
            <w:tcW w:w="960" w:type="dxa"/>
            <w:tcBorders>
              <w:top w:val="nil"/>
              <w:left w:val="nil"/>
              <w:bottom w:val="single" w:sz="4" w:space="0" w:color="auto"/>
              <w:right w:val="single" w:sz="4" w:space="0" w:color="auto"/>
            </w:tcBorders>
            <w:shd w:val="clear" w:color="000000" w:fill="DAEEF3"/>
            <w:noWrap/>
            <w:vAlign w:val="center"/>
            <w:hideMark/>
          </w:tcPr>
          <w:p w14:paraId="590F0029" w14:textId="77777777" w:rsidR="00F20114" w:rsidRPr="00926B35" w:rsidRDefault="00F20114" w:rsidP="00F20114">
            <w:pPr>
              <w:jc w:val="right"/>
              <w:rPr>
                <w:color w:val="000000"/>
                <w:sz w:val="20"/>
                <w:lang w:eastAsia="en-AU"/>
              </w:rPr>
            </w:pPr>
            <w:r w:rsidRPr="00926B35">
              <w:rPr>
                <w:color w:val="000000"/>
                <w:sz w:val="20"/>
                <w:lang w:eastAsia="en-AU"/>
              </w:rPr>
              <w:t>2.65%</w:t>
            </w:r>
          </w:p>
        </w:tc>
        <w:tc>
          <w:tcPr>
            <w:tcW w:w="960" w:type="dxa"/>
            <w:tcBorders>
              <w:top w:val="nil"/>
              <w:left w:val="nil"/>
              <w:bottom w:val="single" w:sz="4" w:space="0" w:color="auto"/>
              <w:right w:val="single" w:sz="4" w:space="0" w:color="auto"/>
            </w:tcBorders>
            <w:shd w:val="clear" w:color="000000" w:fill="DAEEF3"/>
            <w:noWrap/>
            <w:vAlign w:val="center"/>
            <w:hideMark/>
          </w:tcPr>
          <w:p w14:paraId="2F8614B0" w14:textId="77777777" w:rsidR="00F20114" w:rsidRPr="00926B35" w:rsidRDefault="00F20114" w:rsidP="00F20114">
            <w:pPr>
              <w:jc w:val="right"/>
              <w:rPr>
                <w:color w:val="000000"/>
                <w:sz w:val="20"/>
                <w:lang w:eastAsia="en-AU"/>
              </w:rPr>
            </w:pPr>
            <w:r w:rsidRPr="00926B35">
              <w:rPr>
                <w:color w:val="000000"/>
                <w:sz w:val="20"/>
                <w:lang w:eastAsia="en-AU"/>
              </w:rPr>
              <w:t>2.35%</w:t>
            </w:r>
          </w:p>
        </w:tc>
        <w:tc>
          <w:tcPr>
            <w:tcW w:w="960" w:type="dxa"/>
            <w:tcBorders>
              <w:top w:val="nil"/>
              <w:left w:val="nil"/>
              <w:bottom w:val="single" w:sz="4" w:space="0" w:color="auto"/>
              <w:right w:val="single" w:sz="4" w:space="0" w:color="auto"/>
            </w:tcBorders>
            <w:shd w:val="clear" w:color="000000" w:fill="DAEEF3"/>
            <w:noWrap/>
            <w:vAlign w:val="center"/>
            <w:hideMark/>
          </w:tcPr>
          <w:p w14:paraId="45D47E14" w14:textId="77777777" w:rsidR="00F20114" w:rsidRPr="00926B35" w:rsidRDefault="00F20114" w:rsidP="00F20114">
            <w:pPr>
              <w:jc w:val="right"/>
              <w:rPr>
                <w:color w:val="000000"/>
                <w:sz w:val="20"/>
                <w:lang w:eastAsia="en-AU"/>
              </w:rPr>
            </w:pPr>
            <w:r w:rsidRPr="00926B35">
              <w:rPr>
                <w:color w:val="000000"/>
                <w:sz w:val="20"/>
                <w:lang w:eastAsia="en-AU"/>
              </w:rPr>
              <w:t>2.15%</w:t>
            </w:r>
          </w:p>
        </w:tc>
        <w:tc>
          <w:tcPr>
            <w:tcW w:w="960" w:type="dxa"/>
            <w:tcBorders>
              <w:top w:val="nil"/>
              <w:left w:val="nil"/>
              <w:bottom w:val="single" w:sz="4" w:space="0" w:color="auto"/>
              <w:right w:val="single" w:sz="4" w:space="0" w:color="auto"/>
            </w:tcBorders>
            <w:shd w:val="clear" w:color="000000" w:fill="DAEEF3"/>
            <w:noWrap/>
            <w:vAlign w:val="center"/>
            <w:hideMark/>
          </w:tcPr>
          <w:p w14:paraId="03F58C74" w14:textId="77777777" w:rsidR="00F20114" w:rsidRPr="00926B35" w:rsidRDefault="00F20114" w:rsidP="00F20114">
            <w:pPr>
              <w:jc w:val="right"/>
              <w:rPr>
                <w:color w:val="000000"/>
                <w:sz w:val="20"/>
                <w:lang w:eastAsia="en-AU"/>
              </w:rPr>
            </w:pPr>
            <w:r w:rsidRPr="00926B35">
              <w:rPr>
                <w:color w:val="000000"/>
                <w:sz w:val="20"/>
                <w:lang w:eastAsia="en-AU"/>
              </w:rPr>
              <w:t>1.85%</w:t>
            </w:r>
          </w:p>
        </w:tc>
      </w:tr>
      <w:tr w:rsidR="00F20114" w:rsidRPr="00926B35" w14:paraId="4EE16D24" w14:textId="77777777" w:rsidTr="00F201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CD694C" w14:textId="77777777" w:rsidR="00F20114" w:rsidRPr="00926B35" w:rsidRDefault="00F20114" w:rsidP="00F20114">
            <w:pPr>
              <w:rPr>
                <w:b/>
                <w:color w:val="000000"/>
                <w:sz w:val="20"/>
                <w:lang w:eastAsia="en-AU"/>
              </w:rPr>
            </w:pPr>
            <w:r w:rsidRPr="00926B35">
              <w:rPr>
                <w:color w:val="000000"/>
                <w:sz w:val="20"/>
                <w:lang w:eastAsia="en-AU"/>
              </w:rPr>
              <w:t> </w:t>
            </w:r>
            <w:r w:rsidRPr="00926B35">
              <w:rPr>
                <w:b/>
                <w:color w:val="000000"/>
                <w:sz w:val="20"/>
                <w:lang w:eastAsia="en-AU"/>
              </w:rPr>
              <w:t>Movement</w:t>
            </w:r>
          </w:p>
        </w:tc>
        <w:tc>
          <w:tcPr>
            <w:tcW w:w="960" w:type="dxa"/>
            <w:tcBorders>
              <w:top w:val="nil"/>
              <w:left w:val="nil"/>
              <w:bottom w:val="single" w:sz="4" w:space="0" w:color="auto"/>
              <w:right w:val="single" w:sz="4" w:space="0" w:color="auto"/>
            </w:tcBorders>
            <w:shd w:val="clear" w:color="auto" w:fill="000000" w:themeFill="text1"/>
            <w:noWrap/>
            <w:vAlign w:val="bottom"/>
            <w:hideMark/>
          </w:tcPr>
          <w:p w14:paraId="004D6CA5" w14:textId="77777777" w:rsidR="00F20114" w:rsidRPr="00926B35" w:rsidRDefault="00F20114" w:rsidP="00F20114">
            <w:pPr>
              <w:rPr>
                <w:color w:val="000000"/>
                <w:sz w:val="20"/>
                <w:lang w:eastAsia="en-AU"/>
              </w:rPr>
            </w:pPr>
            <w:r w:rsidRPr="00926B35">
              <w:rPr>
                <w:color w:val="000000"/>
                <w:sz w:val="20"/>
                <w:lang w:eastAsia="en-AU"/>
              </w:rPr>
              <w:t> </w:t>
            </w:r>
          </w:p>
        </w:tc>
        <w:tc>
          <w:tcPr>
            <w:tcW w:w="960" w:type="dxa"/>
            <w:tcBorders>
              <w:top w:val="nil"/>
              <w:left w:val="nil"/>
              <w:bottom w:val="single" w:sz="4" w:space="0" w:color="auto"/>
              <w:right w:val="single" w:sz="4" w:space="0" w:color="auto"/>
            </w:tcBorders>
            <w:shd w:val="clear" w:color="auto" w:fill="000000" w:themeFill="text1"/>
            <w:noWrap/>
            <w:vAlign w:val="bottom"/>
            <w:hideMark/>
          </w:tcPr>
          <w:p w14:paraId="354D95DD" w14:textId="77777777" w:rsidR="00F20114" w:rsidRPr="00926B35" w:rsidRDefault="00F20114" w:rsidP="00F20114">
            <w:pPr>
              <w:rPr>
                <w:color w:val="000000"/>
                <w:sz w:val="20"/>
                <w:lang w:eastAsia="en-AU"/>
              </w:rPr>
            </w:pPr>
            <w:r w:rsidRPr="00926B35">
              <w:rPr>
                <w:color w:val="000000"/>
                <w:sz w:val="20"/>
                <w:lang w:eastAsia="en-AU"/>
              </w:rPr>
              <w:t> </w:t>
            </w:r>
          </w:p>
        </w:tc>
        <w:tc>
          <w:tcPr>
            <w:tcW w:w="960" w:type="dxa"/>
            <w:tcBorders>
              <w:top w:val="nil"/>
              <w:left w:val="nil"/>
              <w:bottom w:val="single" w:sz="4" w:space="0" w:color="auto"/>
              <w:right w:val="single" w:sz="4" w:space="0" w:color="auto"/>
            </w:tcBorders>
            <w:shd w:val="clear" w:color="auto" w:fill="000000" w:themeFill="text1"/>
            <w:noWrap/>
            <w:vAlign w:val="bottom"/>
            <w:hideMark/>
          </w:tcPr>
          <w:p w14:paraId="7C7B014C" w14:textId="77777777" w:rsidR="00F20114" w:rsidRPr="00926B35" w:rsidRDefault="00F20114" w:rsidP="00F20114">
            <w:pPr>
              <w:rPr>
                <w:color w:val="000000"/>
                <w:sz w:val="20"/>
                <w:lang w:eastAsia="en-AU"/>
              </w:rPr>
            </w:pPr>
            <w:r w:rsidRPr="00926B35">
              <w:rPr>
                <w:color w:val="000000"/>
                <w:sz w:val="20"/>
                <w:lang w:eastAsia="en-AU"/>
              </w:rPr>
              <w:t> </w:t>
            </w:r>
          </w:p>
        </w:tc>
        <w:tc>
          <w:tcPr>
            <w:tcW w:w="960" w:type="dxa"/>
            <w:tcBorders>
              <w:top w:val="nil"/>
              <w:left w:val="nil"/>
              <w:bottom w:val="single" w:sz="4" w:space="0" w:color="auto"/>
              <w:right w:val="single" w:sz="4" w:space="0" w:color="auto"/>
            </w:tcBorders>
            <w:shd w:val="clear" w:color="auto" w:fill="000000" w:themeFill="text1"/>
            <w:noWrap/>
            <w:vAlign w:val="bottom"/>
          </w:tcPr>
          <w:p w14:paraId="15EDA9D0" w14:textId="77777777" w:rsidR="00F20114" w:rsidRPr="00926B35" w:rsidRDefault="00F20114" w:rsidP="00F20114">
            <w:pPr>
              <w:jc w:val="right"/>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bottom"/>
          </w:tcPr>
          <w:p w14:paraId="599844F0" w14:textId="77777777" w:rsidR="00F20114" w:rsidRPr="00926B35" w:rsidRDefault="00F20114" w:rsidP="00F20114">
            <w:pPr>
              <w:jc w:val="right"/>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bottom"/>
          </w:tcPr>
          <w:p w14:paraId="419983C1" w14:textId="77777777" w:rsidR="00F20114" w:rsidRPr="00926B35" w:rsidRDefault="00F20114" w:rsidP="00F20114">
            <w:pPr>
              <w:jc w:val="right"/>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bottom"/>
          </w:tcPr>
          <w:p w14:paraId="3960516A" w14:textId="77777777" w:rsidR="00F20114" w:rsidRPr="00926B35" w:rsidRDefault="00F20114" w:rsidP="00F20114">
            <w:pPr>
              <w:jc w:val="right"/>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bottom"/>
          </w:tcPr>
          <w:p w14:paraId="3F20223B" w14:textId="77777777" w:rsidR="00F20114" w:rsidRPr="00926B35" w:rsidRDefault="00F20114" w:rsidP="00F20114">
            <w:pPr>
              <w:jc w:val="right"/>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bottom"/>
          </w:tcPr>
          <w:p w14:paraId="4ECDF94A" w14:textId="77777777" w:rsidR="00F20114" w:rsidRPr="00926B35" w:rsidRDefault="00F20114" w:rsidP="00F20114">
            <w:pPr>
              <w:jc w:val="right"/>
              <w:rPr>
                <w:color w:val="000000"/>
                <w:sz w:val="20"/>
                <w:lang w:eastAsia="en-AU"/>
              </w:rPr>
            </w:pPr>
          </w:p>
        </w:tc>
      </w:tr>
      <w:tr w:rsidR="00F20114" w:rsidRPr="00926B35" w14:paraId="6490E47F" w14:textId="77777777" w:rsidTr="00F201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24CF14" w14:textId="77777777" w:rsidR="00F20114" w:rsidRPr="00926B35" w:rsidRDefault="00F20114" w:rsidP="00F20114">
            <w:pPr>
              <w:rPr>
                <w:color w:val="000000"/>
                <w:sz w:val="20"/>
                <w:lang w:eastAsia="en-AU"/>
              </w:rPr>
            </w:pPr>
            <w:r w:rsidRPr="00926B35">
              <w:rPr>
                <w:color w:val="000000"/>
                <w:sz w:val="20"/>
                <w:lang w:eastAsia="en-AU"/>
              </w:rPr>
              <w:t>2008</w:t>
            </w:r>
          </w:p>
        </w:tc>
        <w:tc>
          <w:tcPr>
            <w:tcW w:w="960" w:type="dxa"/>
            <w:tcBorders>
              <w:top w:val="nil"/>
              <w:left w:val="nil"/>
              <w:bottom w:val="single" w:sz="4" w:space="0" w:color="auto"/>
              <w:right w:val="single" w:sz="4" w:space="0" w:color="auto"/>
            </w:tcBorders>
            <w:shd w:val="clear" w:color="auto" w:fill="000000" w:themeFill="text1"/>
            <w:noWrap/>
            <w:vAlign w:val="bottom"/>
            <w:hideMark/>
          </w:tcPr>
          <w:p w14:paraId="5428F34D" w14:textId="77777777" w:rsidR="00F20114" w:rsidRPr="00926B35" w:rsidRDefault="00F20114" w:rsidP="00F20114">
            <w:pPr>
              <w:jc w:val="center"/>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bottom"/>
            <w:hideMark/>
          </w:tcPr>
          <w:p w14:paraId="420AC44A" w14:textId="77777777" w:rsidR="00F20114" w:rsidRPr="00926B35" w:rsidRDefault="00F20114" w:rsidP="00F20114">
            <w:pPr>
              <w:jc w:val="center"/>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bottom"/>
            <w:hideMark/>
          </w:tcPr>
          <w:p w14:paraId="32191344" w14:textId="77777777" w:rsidR="00F20114" w:rsidRPr="00926B35" w:rsidRDefault="00F20114" w:rsidP="00F20114">
            <w:pPr>
              <w:jc w:val="center"/>
              <w:rPr>
                <w:color w:val="000000"/>
                <w:sz w:val="20"/>
                <w:lang w:eastAsia="en-AU"/>
              </w:rPr>
            </w:pPr>
          </w:p>
        </w:tc>
        <w:tc>
          <w:tcPr>
            <w:tcW w:w="960" w:type="dxa"/>
            <w:tcBorders>
              <w:top w:val="nil"/>
              <w:left w:val="nil"/>
              <w:bottom w:val="single" w:sz="4" w:space="0" w:color="auto"/>
              <w:right w:val="single" w:sz="4" w:space="0" w:color="auto"/>
            </w:tcBorders>
            <w:shd w:val="clear" w:color="auto" w:fill="8DB3E2" w:themeFill="text2" w:themeFillTint="66"/>
            <w:noWrap/>
            <w:vAlign w:val="bottom"/>
            <w:hideMark/>
          </w:tcPr>
          <w:p w14:paraId="0704DD04" w14:textId="77777777" w:rsidR="00F20114" w:rsidRPr="00926B35" w:rsidRDefault="00F20114" w:rsidP="00F20114">
            <w:pPr>
              <w:jc w:val="center"/>
              <w:rPr>
                <w:color w:val="000000"/>
                <w:sz w:val="20"/>
                <w:lang w:eastAsia="en-AU"/>
              </w:rPr>
            </w:pPr>
            <w:r w:rsidRPr="00926B35">
              <w:rPr>
                <w:color w:val="000000"/>
                <w:sz w:val="20"/>
                <w:lang w:eastAsia="en-AU"/>
              </w:rPr>
              <w:t>1.037</w:t>
            </w:r>
          </w:p>
        </w:tc>
        <w:tc>
          <w:tcPr>
            <w:tcW w:w="960" w:type="dxa"/>
            <w:tcBorders>
              <w:top w:val="nil"/>
              <w:left w:val="nil"/>
              <w:bottom w:val="single" w:sz="4" w:space="0" w:color="auto"/>
              <w:right w:val="single" w:sz="4" w:space="0" w:color="auto"/>
            </w:tcBorders>
            <w:shd w:val="clear" w:color="auto" w:fill="8DB3E2" w:themeFill="text2" w:themeFillTint="66"/>
            <w:noWrap/>
            <w:vAlign w:val="bottom"/>
            <w:hideMark/>
          </w:tcPr>
          <w:p w14:paraId="609F969A" w14:textId="77777777" w:rsidR="00F20114" w:rsidRPr="00926B35" w:rsidRDefault="00F20114" w:rsidP="00F20114">
            <w:pPr>
              <w:jc w:val="center"/>
              <w:rPr>
                <w:color w:val="000000"/>
                <w:sz w:val="20"/>
                <w:lang w:eastAsia="en-AU"/>
              </w:rPr>
            </w:pPr>
            <w:r w:rsidRPr="00926B35">
              <w:rPr>
                <w:color w:val="000000"/>
                <w:sz w:val="20"/>
                <w:lang w:eastAsia="en-AU"/>
              </w:rPr>
              <w:t>1.037</w:t>
            </w:r>
          </w:p>
        </w:tc>
        <w:tc>
          <w:tcPr>
            <w:tcW w:w="960" w:type="dxa"/>
            <w:tcBorders>
              <w:top w:val="nil"/>
              <w:left w:val="nil"/>
              <w:bottom w:val="single" w:sz="4" w:space="0" w:color="auto"/>
              <w:right w:val="single" w:sz="4" w:space="0" w:color="auto"/>
            </w:tcBorders>
            <w:shd w:val="clear" w:color="auto" w:fill="auto"/>
            <w:noWrap/>
            <w:vAlign w:val="bottom"/>
            <w:hideMark/>
          </w:tcPr>
          <w:p w14:paraId="65617BF8" w14:textId="77777777" w:rsidR="00F20114" w:rsidRPr="00926B35" w:rsidRDefault="00F20114" w:rsidP="00F20114">
            <w:pPr>
              <w:jc w:val="center"/>
              <w:rPr>
                <w:color w:val="000000"/>
                <w:sz w:val="20"/>
                <w:lang w:eastAsia="en-AU"/>
              </w:rPr>
            </w:pPr>
            <w:r w:rsidRPr="00926B35">
              <w:rPr>
                <w:color w:val="000000"/>
                <w:sz w:val="20"/>
                <w:lang w:eastAsia="en-AU"/>
              </w:rPr>
              <w:t>1.029</w:t>
            </w:r>
          </w:p>
        </w:tc>
        <w:tc>
          <w:tcPr>
            <w:tcW w:w="960" w:type="dxa"/>
            <w:tcBorders>
              <w:top w:val="nil"/>
              <w:left w:val="nil"/>
              <w:bottom w:val="single" w:sz="4" w:space="0" w:color="auto"/>
              <w:right w:val="single" w:sz="4" w:space="0" w:color="auto"/>
            </w:tcBorders>
            <w:shd w:val="clear" w:color="auto" w:fill="auto"/>
            <w:noWrap/>
            <w:vAlign w:val="bottom"/>
            <w:hideMark/>
          </w:tcPr>
          <w:p w14:paraId="67DDB3C1" w14:textId="77777777" w:rsidR="00F20114" w:rsidRPr="00926B35" w:rsidRDefault="00F20114" w:rsidP="00F20114">
            <w:pPr>
              <w:jc w:val="center"/>
              <w:rPr>
                <w:color w:val="000000"/>
                <w:sz w:val="20"/>
                <w:lang w:eastAsia="en-AU"/>
              </w:rPr>
            </w:pPr>
            <w:r w:rsidRPr="00926B35">
              <w:rPr>
                <w:color w:val="000000"/>
                <w:sz w:val="20"/>
                <w:lang w:eastAsia="en-AU"/>
              </w:rPr>
              <w:t>1.029</w:t>
            </w:r>
          </w:p>
        </w:tc>
        <w:tc>
          <w:tcPr>
            <w:tcW w:w="960" w:type="dxa"/>
            <w:tcBorders>
              <w:top w:val="nil"/>
              <w:left w:val="nil"/>
              <w:bottom w:val="single" w:sz="4" w:space="0" w:color="auto"/>
              <w:right w:val="single" w:sz="4" w:space="0" w:color="auto"/>
            </w:tcBorders>
            <w:shd w:val="clear" w:color="auto" w:fill="auto"/>
            <w:noWrap/>
            <w:vAlign w:val="bottom"/>
            <w:hideMark/>
          </w:tcPr>
          <w:p w14:paraId="3F45EB13" w14:textId="77777777" w:rsidR="00F20114" w:rsidRPr="00926B35" w:rsidRDefault="00F20114" w:rsidP="00F20114">
            <w:pPr>
              <w:jc w:val="center"/>
              <w:rPr>
                <w:color w:val="000000"/>
                <w:sz w:val="20"/>
                <w:lang w:eastAsia="en-AU"/>
              </w:rPr>
            </w:pPr>
            <w:r w:rsidRPr="00926B35">
              <w:rPr>
                <w:color w:val="000000"/>
                <w:sz w:val="20"/>
                <w:lang w:eastAsia="en-AU"/>
              </w:rPr>
              <w:t>1.031</w:t>
            </w:r>
          </w:p>
        </w:tc>
        <w:tc>
          <w:tcPr>
            <w:tcW w:w="960" w:type="dxa"/>
            <w:tcBorders>
              <w:top w:val="nil"/>
              <w:left w:val="nil"/>
              <w:bottom w:val="single" w:sz="4" w:space="0" w:color="auto"/>
              <w:right w:val="single" w:sz="4" w:space="0" w:color="auto"/>
            </w:tcBorders>
            <w:shd w:val="clear" w:color="auto" w:fill="auto"/>
            <w:noWrap/>
            <w:vAlign w:val="bottom"/>
            <w:hideMark/>
          </w:tcPr>
          <w:p w14:paraId="78580A52" w14:textId="77777777" w:rsidR="00F20114" w:rsidRPr="00926B35" w:rsidRDefault="00F20114" w:rsidP="00F20114">
            <w:pPr>
              <w:jc w:val="center"/>
              <w:rPr>
                <w:color w:val="000000"/>
                <w:sz w:val="20"/>
                <w:lang w:eastAsia="en-AU"/>
              </w:rPr>
            </w:pPr>
            <w:r w:rsidRPr="00926B35">
              <w:rPr>
                <w:color w:val="000000"/>
                <w:sz w:val="20"/>
                <w:lang w:eastAsia="en-AU"/>
              </w:rPr>
              <w:t>1.031</w:t>
            </w:r>
          </w:p>
        </w:tc>
      </w:tr>
      <w:tr w:rsidR="00F20114" w:rsidRPr="00926B35" w14:paraId="69BFCE8B" w14:textId="77777777" w:rsidTr="00F201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9ACDF4" w14:textId="77777777" w:rsidR="00F20114" w:rsidRPr="00926B35" w:rsidRDefault="00F20114" w:rsidP="00F20114">
            <w:pPr>
              <w:rPr>
                <w:color w:val="000000"/>
                <w:sz w:val="20"/>
                <w:lang w:eastAsia="en-AU"/>
              </w:rPr>
            </w:pPr>
            <w:r w:rsidRPr="00926B35">
              <w:rPr>
                <w:color w:val="000000"/>
                <w:sz w:val="20"/>
                <w:lang w:eastAsia="en-AU"/>
              </w:rPr>
              <w:t>2009</w:t>
            </w:r>
          </w:p>
        </w:tc>
        <w:tc>
          <w:tcPr>
            <w:tcW w:w="960" w:type="dxa"/>
            <w:tcBorders>
              <w:top w:val="nil"/>
              <w:left w:val="nil"/>
              <w:bottom w:val="single" w:sz="4" w:space="0" w:color="auto"/>
              <w:right w:val="single" w:sz="4" w:space="0" w:color="auto"/>
            </w:tcBorders>
            <w:shd w:val="clear" w:color="auto" w:fill="000000" w:themeFill="text1"/>
            <w:noWrap/>
            <w:vAlign w:val="bottom"/>
            <w:hideMark/>
          </w:tcPr>
          <w:p w14:paraId="3EDBE01C" w14:textId="77777777" w:rsidR="00F20114" w:rsidRPr="00926B35" w:rsidRDefault="00F20114" w:rsidP="00F20114">
            <w:pPr>
              <w:jc w:val="center"/>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bottom"/>
            <w:hideMark/>
          </w:tcPr>
          <w:p w14:paraId="14315D2E" w14:textId="77777777" w:rsidR="00F20114" w:rsidRPr="00926B35" w:rsidRDefault="00F20114" w:rsidP="00F20114">
            <w:pPr>
              <w:jc w:val="center"/>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bottom"/>
            <w:hideMark/>
          </w:tcPr>
          <w:p w14:paraId="44D05A5E" w14:textId="77777777" w:rsidR="00F20114" w:rsidRPr="00926B35" w:rsidRDefault="00F20114" w:rsidP="00F20114">
            <w:pPr>
              <w:jc w:val="center"/>
              <w:rPr>
                <w:color w:val="000000"/>
                <w:sz w:val="20"/>
                <w:lang w:eastAsia="en-AU"/>
              </w:rPr>
            </w:pPr>
          </w:p>
        </w:tc>
        <w:tc>
          <w:tcPr>
            <w:tcW w:w="960" w:type="dxa"/>
            <w:tcBorders>
              <w:top w:val="nil"/>
              <w:left w:val="nil"/>
              <w:bottom w:val="single" w:sz="4" w:space="0" w:color="auto"/>
              <w:right w:val="single" w:sz="4" w:space="0" w:color="auto"/>
            </w:tcBorders>
            <w:shd w:val="clear" w:color="auto" w:fill="8DB3E2" w:themeFill="text2" w:themeFillTint="66"/>
            <w:noWrap/>
            <w:vAlign w:val="bottom"/>
            <w:hideMark/>
          </w:tcPr>
          <w:p w14:paraId="0827ABE2" w14:textId="77777777" w:rsidR="00F20114" w:rsidRPr="00926B35" w:rsidRDefault="00F20114" w:rsidP="00F20114">
            <w:pPr>
              <w:jc w:val="center"/>
              <w:rPr>
                <w:color w:val="000000"/>
                <w:sz w:val="20"/>
                <w:lang w:eastAsia="en-AU"/>
              </w:rPr>
            </w:pPr>
            <w:r w:rsidRPr="00926B35">
              <w:rPr>
                <w:color w:val="000000"/>
                <w:sz w:val="20"/>
                <w:lang w:eastAsia="en-AU"/>
              </w:rPr>
              <w:t>1.071</w:t>
            </w:r>
          </w:p>
        </w:tc>
        <w:tc>
          <w:tcPr>
            <w:tcW w:w="960" w:type="dxa"/>
            <w:tcBorders>
              <w:top w:val="nil"/>
              <w:left w:val="nil"/>
              <w:bottom w:val="single" w:sz="4" w:space="0" w:color="auto"/>
              <w:right w:val="single" w:sz="4" w:space="0" w:color="auto"/>
            </w:tcBorders>
            <w:shd w:val="clear" w:color="auto" w:fill="8DB3E2" w:themeFill="text2" w:themeFillTint="66"/>
            <w:noWrap/>
            <w:vAlign w:val="bottom"/>
            <w:hideMark/>
          </w:tcPr>
          <w:p w14:paraId="74F9A782" w14:textId="77777777" w:rsidR="00F20114" w:rsidRPr="00926B35" w:rsidRDefault="00F20114" w:rsidP="00F20114">
            <w:pPr>
              <w:jc w:val="center"/>
              <w:rPr>
                <w:color w:val="000000"/>
                <w:sz w:val="20"/>
                <w:lang w:eastAsia="en-AU"/>
              </w:rPr>
            </w:pPr>
            <w:r w:rsidRPr="00926B35">
              <w:rPr>
                <w:color w:val="000000"/>
                <w:sz w:val="20"/>
                <w:lang w:eastAsia="en-AU"/>
              </w:rPr>
              <w:t>1.071</w:t>
            </w:r>
          </w:p>
        </w:tc>
        <w:tc>
          <w:tcPr>
            <w:tcW w:w="960" w:type="dxa"/>
            <w:tcBorders>
              <w:top w:val="nil"/>
              <w:left w:val="nil"/>
              <w:bottom w:val="single" w:sz="4" w:space="0" w:color="auto"/>
              <w:right w:val="single" w:sz="4" w:space="0" w:color="auto"/>
            </w:tcBorders>
            <w:shd w:val="clear" w:color="auto" w:fill="auto"/>
            <w:noWrap/>
            <w:vAlign w:val="bottom"/>
            <w:hideMark/>
          </w:tcPr>
          <w:p w14:paraId="289C1F16" w14:textId="77777777" w:rsidR="00F20114" w:rsidRPr="00926B35" w:rsidRDefault="00F20114" w:rsidP="00F20114">
            <w:pPr>
              <w:jc w:val="center"/>
              <w:rPr>
                <w:color w:val="000000"/>
                <w:sz w:val="20"/>
                <w:lang w:eastAsia="en-AU"/>
              </w:rPr>
            </w:pPr>
            <w:r w:rsidRPr="00926B35">
              <w:rPr>
                <w:color w:val="000000"/>
                <w:sz w:val="20"/>
                <w:lang w:eastAsia="en-AU"/>
              </w:rPr>
              <w:t>1.063</w:t>
            </w:r>
          </w:p>
        </w:tc>
        <w:tc>
          <w:tcPr>
            <w:tcW w:w="960" w:type="dxa"/>
            <w:tcBorders>
              <w:top w:val="nil"/>
              <w:left w:val="nil"/>
              <w:bottom w:val="single" w:sz="4" w:space="0" w:color="auto"/>
              <w:right w:val="single" w:sz="4" w:space="0" w:color="auto"/>
            </w:tcBorders>
            <w:shd w:val="clear" w:color="auto" w:fill="auto"/>
            <w:noWrap/>
            <w:vAlign w:val="bottom"/>
            <w:hideMark/>
          </w:tcPr>
          <w:p w14:paraId="08616863" w14:textId="77777777" w:rsidR="00F20114" w:rsidRPr="00926B35" w:rsidRDefault="00F20114" w:rsidP="00F20114">
            <w:pPr>
              <w:jc w:val="center"/>
              <w:rPr>
                <w:color w:val="000000"/>
                <w:sz w:val="20"/>
                <w:lang w:eastAsia="en-AU"/>
              </w:rPr>
            </w:pPr>
            <w:r w:rsidRPr="00926B35">
              <w:rPr>
                <w:color w:val="000000"/>
                <w:sz w:val="20"/>
                <w:lang w:eastAsia="en-AU"/>
              </w:rPr>
              <w:t>1.063</w:t>
            </w:r>
          </w:p>
        </w:tc>
        <w:tc>
          <w:tcPr>
            <w:tcW w:w="960" w:type="dxa"/>
            <w:tcBorders>
              <w:top w:val="nil"/>
              <w:left w:val="nil"/>
              <w:bottom w:val="single" w:sz="4" w:space="0" w:color="auto"/>
              <w:right w:val="single" w:sz="4" w:space="0" w:color="auto"/>
            </w:tcBorders>
            <w:shd w:val="clear" w:color="auto" w:fill="auto"/>
            <w:noWrap/>
            <w:vAlign w:val="bottom"/>
            <w:hideMark/>
          </w:tcPr>
          <w:p w14:paraId="1BEE45D4" w14:textId="77777777" w:rsidR="00F20114" w:rsidRPr="00926B35" w:rsidRDefault="00F20114" w:rsidP="00F20114">
            <w:pPr>
              <w:jc w:val="center"/>
              <w:rPr>
                <w:color w:val="000000"/>
                <w:sz w:val="20"/>
                <w:lang w:eastAsia="en-AU"/>
              </w:rPr>
            </w:pPr>
            <w:r w:rsidRPr="00926B35">
              <w:rPr>
                <w:color w:val="000000"/>
                <w:sz w:val="20"/>
                <w:lang w:eastAsia="en-AU"/>
              </w:rPr>
              <w:t>1.065</w:t>
            </w:r>
          </w:p>
        </w:tc>
        <w:tc>
          <w:tcPr>
            <w:tcW w:w="960" w:type="dxa"/>
            <w:tcBorders>
              <w:top w:val="nil"/>
              <w:left w:val="nil"/>
              <w:bottom w:val="single" w:sz="4" w:space="0" w:color="auto"/>
              <w:right w:val="single" w:sz="4" w:space="0" w:color="auto"/>
            </w:tcBorders>
            <w:shd w:val="clear" w:color="auto" w:fill="auto"/>
            <w:noWrap/>
            <w:vAlign w:val="bottom"/>
            <w:hideMark/>
          </w:tcPr>
          <w:p w14:paraId="1EF9A1C5" w14:textId="77777777" w:rsidR="00F20114" w:rsidRPr="00926B35" w:rsidRDefault="00F20114" w:rsidP="00F20114">
            <w:pPr>
              <w:jc w:val="center"/>
              <w:rPr>
                <w:color w:val="000000"/>
                <w:sz w:val="20"/>
                <w:lang w:eastAsia="en-AU"/>
              </w:rPr>
            </w:pPr>
            <w:r w:rsidRPr="00926B35">
              <w:rPr>
                <w:color w:val="000000"/>
                <w:sz w:val="20"/>
                <w:lang w:eastAsia="en-AU"/>
              </w:rPr>
              <w:t>1.065</w:t>
            </w:r>
          </w:p>
        </w:tc>
      </w:tr>
      <w:tr w:rsidR="00F20114" w:rsidRPr="00926B35" w14:paraId="1BFFC28F" w14:textId="77777777" w:rsidTr="00F201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638B60" w14:textId="77777777" w:rsidR="00F20114" w:rsidRPr="00926B35" w:rsidRDefault="00F20114" w:rsidP="00F20114">
            <w:pPr>
              <w:rPr>
                <w:color w:val="000000"/>
                <w:sz w:val="20"/>
                <w:lang w:eastAsia="en-AU"/>
              </w:rPr>
            </w:pPr>
            <w:r w:rsidRPr="00926B35">
              <w:rPr>
                <w:color w:val="000000"/>
                <w:sz w:val="20"/>
                <w:lang w:eastAsia="en-AU"/>
              </w:rPr>
              <w:t>2010</w:t>
            </w:r>
          </w:p>
        </w:tc>
        <w:tc>
          <w:tcPr>
            <w:tcW w:w="960" w:type="dxa"/>
            <w:tcBorders>
              <w:top w:val="nil"/>
              <w:left w:val="nil"/>
              <w:bottom w:val="single" w:sz="4" w:space="0" w:color="auto"/>
              <w:right w:val="single" w:sz="4" w:space="0" w:color="auto"/>
            </w:tcBorders>
            <w:shd w:val="clear" w:color="auto" w:fill="000000" w:themeFill="text1"/>
            <w:noWrap/>
            <w:vAlign w:val="bottom"/>
            <w:hideMark/>
          </w:tcPr>
          <w:p w14:paraId="4BE6DCC2" w14:textId="77777777" w:rsidR="00F20114" w:rsidRPr="00926B35" w:rsidRDefault="00F20114" w:rsidP="00F20114">
            <w:pPr>
              <w:jc w:val="center"/>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bottom"/>
            <w:hideMark/>
          </w:tcPr>
          <w:p w14:paraId="72AFD41E" w14:textId="77777777" w:rsidR="00F20114" w:rsidRPr="00926B35" w:rsidRDefault="00F20114" w:rsidP="00F20114">
            <w:pPr>
              <w:jc w:val="center"/>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bottom"/>
            <w:hideMark/>
          </w:tcPr>
          <w:p w14:paraId="5E697457" w14:textId="77777777" w:rsidR="00F20114" w:rsidRPr="00926B35" w:rsidRDefault="00F20114" w:rsidP="00F20114">
            <w:pPr>
              <w:jc w:val="center"/>
              <w:rPr>
                <w:color w:val="000000"/>
                <w:sz w:val="20"/>
                <w:lang w:eastAsia="en-AU"/>
              </w:rPr>
            </w:pPr>
          </w:p>
        </w:tc>
        <w:tc>
          <w:tcPr>
            <w:tcW w:w="960" w:type="dxa"/>
            <w:tcBorders>
              <w:top w:val="nil"/>
              <w:left w:val="nil"/>
              <w:bottom w:val="single" w:sz="4" w:space="0" w:color="auto"/>
              <w:right w:val="single" w:sz="4" w:space="0" w:color="auto"/>
            </w:tcBorders>
            <w:shd w:val="clear" w:color="auto" w:fill="8DB3E2" w:themeFill="text2" w:themeFillTint="66"/>
            <w:noWrap/>
            <w:vAlign w:val="bottom"/>
            <w:hideMark/>
          </w:tcPr>
          <w:p w14:paraId="0EA10799" w14:textId="77777777" w:rsidR="00F20114" w:rsidRPr="00926B35" w:rsidRDefault="00F20114" w:rsidP="00F20114">
            <w:pPr>
              <w:jc w:val="center"/>
              <w:rPr>
                <w:color w:val="000000"/>
                <w:sz w:val="20"/>
                <w:lang w:eastAsia="en-AU"/>
              </w:rPr>
            </w:pPr>
            <w:r w:rsidRPr="00926B35">
              <w:rPr>
                <w:color w:val="000000"/>
                <w:sz w:val="20"/>
                <w:lang w:eastAsia="en-AU"/>
              </w:rPr>
              <w:t>1.096</w:t>
            </w:r>
          </w:p>
        </w:tc>
        <w:tc>
          <w:tcPr>
            <w:tcW w:w="960" w:type="dxa"/>
            <w:tcBorders>
              <w:top w:val="nil"/>
              <w:left w:val="nil"/>
              <w:bottom w:val="single" w:sz="4" w:space="0" w:color="auto"/>
              <w:right w:val="single" w:sz="4" w:space="0" w:color="auto"/>
            </w:tcBorders>
            <w:shd w:val="clear" w:color="auto" w:fill="8DB3E2" w:themeFill="text2" w:themeFillTint="66"/>
            <w:noWrap/>
            <w:vAlign w:val="bottom"/>
            <w:hideMark/>
          </w:tcPr>
          <w:p w14:paraId="52AD31D4" w14:textId="77777777" w:rsidR="00F20114" w:rsidRPr="00926B35" w:rsidRDefault="00F20114" w:rsidP="00F20114">
            <w:pPr>
              <w:jc w:val="center"/>
              <w:rPr>
                <w:color w:val="000000"/>
                <w:sz w:val="20"/>
                <w:lang w:eastAsia="en-AU"/>
              </w:rPr>
            </w:pPr>
            <w:r w:rsidRPr="00926B35">
              <w:rPr>
                <w:color w:val="000000"/>
                <w:sz w:val="20"/>
                <w:lang w:eastAsia="en-AU"/>
              </w:rPr>
              <w:t>1.095</w:t>
            </w:r>
          </w:p>
        </w:tc>
        <w:tc>
          <w:tcPr>
            <w:tcW w:w="960" w:type="dxa"/>
            <w:tcBorders>
              <w:top w:val="nil"/>
              <w:left w:val="nil"/>
              <w:bottom w:val="single" w:sz="4" w:space="0" w:color="auto"/>
              <w:right w:val="single" w:sz="4" w:space="0" w:color="auto"/>
            </w:tcBorders>
            <w:shd w:val="clear" w:color="auto" w:fill="auto"/>
            <w:noWrap/>
            <w:vAlign w:val="bottom"/>
            <w:hideMark/>
          </w:tcPr>
          <w:p w14:paraId="595D6329" w14:textId="77777777" w:rsidR="00F20114" w:rsidRPr="00926B35" w:rsidRDefault="00F20114" w:rsidP="00F20114">
            <w:pPr>
              <w:jc w:val="center"/>
              <w:rPr>
                <w:color w:val="000000"/>
                <w:sz w:val="20"/>
                <w:lang w:eastAsia="en-AU"/>
              </w:rPr>
            </w:pPr>
            <w:r w:rsidRPr="00926B35">
              <w:rPr>
                <w:color w:val="000000"/>
                <w:sz w:val="20"/>
                <w:lang w:eastAsia="en-AU"/>
              </w:rPr>
              <w:t>1.092</w:t>
            </w:r>
          </w:p>
        </w:tc>
        <w:tc>
          <w:tcPr>
            <w:tcW w:w="960" w:type="dxa"/>
            <w:tcBorders>
              <w:top w:val="nil"/>
              <w:left w:val="nil"/>
              <w:bottom w:val="single" w:sz="4" w:space="0" w:color="auto"/>
              <w:right w:val="single" w:sz="4" w:space="0" w:color="auto"/>
            </w:tcBorders>
            <w:shd w:val="clear" w:color="auto" w:fill="auto"/>
            <w:noWrap/>
            <w:vAlign w:val="bottom"/>
            <w:hideMark/>
          </w:tcPr>
          <w:p w14:paraId="6EB2113B" w14:textId="77777777" w:rsidR="00F20114" w:rsidRPr="00926B35" w:rsidRDefault="00F20114" w:rsidP="00F20114">
            <w:pPr>
              <w:jc w:val="center"/>
              <w:rPr>
                <w:color w:val="000000"/>
                <w:sz w:val="20"/>
                <w:lang w:eastAsia="en-AU"/>
              </w:rPr>
            </w:pPr>
            <w:r w:rsidRPr="00926B35">
              <w:rPr>
                <w:color w:val="000000"/>
                <w:sz w:val="20"/>
                <w:lang w:eastAsia="en-AU"/>
              </w:rPr>
              <w:t>1.091</w:t>
            </w:r>
          </w:p>
        </w:tc>
        <w:tc>
          <w:tcPr>
            <w:tcW w:w="960" w:type="dxa"/>
            <w:tcBorders>
              <w:top w:val="nil"/>
              <w:left w:val="nil"/>
              <w:bottom w:val="single" w:sz="4" w:space="0" w:color="auto"/>
              <w:right w:val="single" w:sz="4" w:space="0" w:color="auto"/>
            </w:tcBorders>
            <w:shd w:val="clear" w:color="auto" w:fill="auto"/>
            <w:noWrap/>
            <w:vAlign w:val="bottom"/>
            <w:hideMark/>
          </w:tcPr>
          <w:p w14:paraId="404BEF82" w14:textId="77777777" w:rsidR="00F20114" w:rsidRPr="00926B35" w:rsidRDefault="00F20114" w:rsidP="00F20114">
            <w:pPr>
              <w:jc w:val="center"/>
              <w:rPr>
                <w:color w:val="000000"/>
                <w:sz w:val="20"/>
                <w:lang w:eastAsia="en-AU"/>
              </w:rPr>
            </w:pPr>
            <w:r w:rsidRPr="00926B35">
              <w:rPr>
                <w:color w:val="000000"/>
                <w:sz w:val="20"/>
                <w:lang w:eastAsia="en-AU"/>
              </w:rPr>
              <w:t>1.090</w:t>
            </w:r>
          </w:p>
        </w:tc>
        <w:tc>
          <w:tcPr>
            <w:tcW w:w="960" w:type="dxa"/>
            <w:tcBorders>
              <w:top w:val="nil"/>
              <w:left w:val="nil"/>
              <w:bottom w:val="single" w:sz="4" w:space="0" w:color="auto"/>
              <w:right w:val="single" w:sz="4" w:space="0" w:color="auto"/>
            </w:tcBorders>
            <w:shd w:val="clear" w:color="auto" w:fill="auto"/>
            <w:noWrap/>
            <w:vAlign w:val="bottom"/>
            <w:hideMark/>
          </w:tcPr>
          <w:p w14:paraId="3C30176F" w14:textId="77777777" w:rsidR="00F20114" w:rsidRPr="00926B35" w:rsidRDefault="00F20114" w:rsidP="00F20114">
            <w:pPr>
              <w:jc w:val="center"/>
              <w:rPr>
                <w:color w:val="000000"/>
                <w:sz w:val="20"/>
                <w:lang w:eastAsia="en-AU"/>
              </w:rPr>
            </w:pPr>
            <w:r w:rsidRPr="00926B35">
              <w:rPr>
                <w:color w:val="000000"/>
                <w:sz w:val="20"/>
                <w:lang w:eastAsia="en-AU"/>
              </w:rPr>
              <w:t>1.090</w:t>
            </w:r>
          </w:p>
        </w:tc>
      </w:tr>
      <w:tr w:rsidR="00F20114" w:rsidRPr="00926B35" w14:paraId="202B502D" w14:textId="77777777" w:rsidTr="00F201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D7BB7F" w14:textId="77777777" w:rsidR="00F20114" w:rsidRPr="00926B35" w:rsidRDefault="00F20114" w:rsidP="00F20114">
            <w:pPr>
              <w:rPr>
                <w:color w:val="000000"/>
                <w:sz w:val="20"/>
                <w:lang w:eastAsia="en-AU"/>
              </w:rPr>
            </w:pPr>
            <w:r w:rsidRPr="00926B35">
              <w:rPr>
                <w:color w:val="000000"/>
                <w:sz w:val="20"/>
                <w:lang w:eastAsia="en-AU"/>
              </w:rPr>
              <w:t>2011</w:t>
            </w:r>
          </w:p>
        </w:tc>
        <w:tc>
          <w:tcPr>
            <w:tcW w:w="960" w:type="dxa"/>
            <w:tcBorders>
              <w:top w:val="nil"/>
              <w:left w:val="nil"/>
              <w:bottom w:val="single" w:sz="4" w:space="0" w:color="auto"/>
              <w:right w:val="single" w:sz="4" w:space="0" w:color="auto"/>
            </w:tcBorders>
            <w:shd w:val="clear" w:color="auto" w:fill="000000" w:themeFill="text1"/>
            <w:noWrap/>
            <w:vAlign w:val="bottom"/>
            <w:hideMark/>
          </w:tcPr>
          <w:p w14:paraId="1840BEEC" w14:textId="77777777" w:rsidR="00F20114" w:rsidRPr="00926B35" w:rsidRDefault="00F20114" w:rsidP="00F20114">
            <w:pPr>
              <w:jc w:val="center"/>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bottom"/>
            <w:hideMark/>
          </w:tcPr>
          <w:p w14:paraId="06E917AA" w14:textId="77777777" w:rsidR="00F20114" w:rsidRPr="00926B35" w:rsidRDefault="00F20114" w:rsidP="00F20114">
            <w:pPr>
              <w:jc w:val="center"/>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bottom"/>
            <w:hideMark/>
          </w:tcPr>
          <w:p w14:paraId="373D8384" w14:textId="77777777" w:rsidR="00F20114" w:rsidRPr="00926B35" w:rsidRDefault="00F20114" w:rsidP="00F20114">
            <w:pPr>
              <w:jc w:val="center"/>
              <w:rPr>
                <w:color w:val="000000"/>
                <w:sz w:val="20"/>
                <w:lang w:eastAsia="en-AU"/>
              </w:rPr>
            </w:pPr>
          </w:p>
        </w:tc>
        <w:tc>
          <w:tcPr>
            <w:tcW w:w="960" w:type="dxa"/>
            <w:tcBorders>
              <w:top w:val="nil"/>
              <w:left w:val="nil"/>
              <w:bottom w:val="single" w:sz="4" w:space="0" w:color="auto"/>
              <w:right w:val="single" w:sz="4" w:space="0" w:color="auto"/>
            </w:tcBorders>
            <w:shd w:val="clear" w:color="auto" w:fill="8DB3E2" w:themeFill="text2" w:themeFillTint="66"/>
            <w:noWrap/>
            <w:vAlign w:val="bottom"/>
            <w:hideMark/>
          </w:tcPr>
          <w:p w14:paraId="4DEB1F9E" w14:textId="77777777" w:rsidR="00F20114" w:rsidRPr="00926B35" w:rsidRDefault="00F20114" w:rsidP="00F20114">
            <w:pPr>
              <w:jc w:val="center"/>
              <w:rPr>
                <w:color w:val="000000"/>
                <w:sz w:val="20"/>
                <w:lang w:eastAsia="en-AU"/>
              </w:rPr>
            </w:pPr>
            <w:r w:rsidRPr="00926B35">
              <w:rPr>
                <w:color w:val="000000"/>
                <w:sz w:val="20"/>
                <w:lang w:eastAsia="en-AU"/>
              </w:rPr>
              <w:t>1.134</w:t>
            </w:r>
          </w:p>
        </w:tc>
        <w:tc>
          <w:tcPr>
            <w:tcW w:w="960" w:type="dxa"/>
            <w:tcBorders>
              <w:top w:val="nil"/>
              <w:left w:val="nil"/>
              <w:bottom w:val="single" w:sz="4" w:space="0" w:color="auto"/>
              <w:right w:val="single" w:sz="4" w:space="0" w:color="auto"/>
            </w:tcBorders>
            <w:shd w:val="clear" w:color="auto" w:fill="8DB3E2" w:themeFill="text2" w:themeFillTint="66"/>
            <w:noWrap/>
            <w:vAlign w:val="bottom"/>
            <w:hideMark/>
          </w:tcPr>
          <w:p w14:paraId="5028C0DF" w14:textId="77777777" w:rsidR="00F20114" w:rsidRPr="00926B35" w:rsidRDefault="00F20114" w:rsidP="00F20114">
            <w:pPr>
              <w:jc w:val="center"/>
              <w:rPr>
                <w:color w:val="000000"/>
                <w:sz w:val="20"/>
                <w:lang w:eastAsia="en-AU"/>
              </w:rPr>
            </w:pPr>
            <w:r w:rsidRPr="00926B35">
              <w:rPr>
                <w:color w:val="000000"/>
                <w:sz w:val="20"/>
                <w:lang w:eastAsia="en-AU"/>
              </w:rPr>
              <w:t>1.132</w:t>
            </w:r>
          </w:p>
        </w:tc>
        <w:tc>
          <w:tcPr>
            <w:tcW w:w="960" w:type="dxa"/>
            <w:tcBorders>
              <w:top w:val="nil"/>
              <w:left w:val="nil"/>
              <w:bottom w:val="single" w:sz="4" w:space="0" w:color="auto"/>
              <w:right w:val="single" w:sz="4" w:space="0" w:color="auto"/>
            </w:tcBorders>
            <w:shd w:val="clear" w:color="auto" w:fill="auto"/>
            <w:noWrap/>
            <w:vAlign w:val="bottom"/>
            <w:hideMark/>
          </w:tcPr>
          <w:p w14:paraId="467C07FF" w14:textId="77777777" w:rsidR="00F20114" w:rsidRPr="00926B35" w:rsidRDefault="00F20114" w:rsidP="00F20114">
            <w:pPr>
              <w:jc w:val="center"/>
              <w:rPr>
                <w:color w:val="000000"/>
                <w:sz w:val="20"/>
                <w:lang w:eastAsia="en-AU"/>
              </w:rPr>
            </w:pPr>
            <w:r w:rsidRPr="00926B35">
              <w:rPr>
                <w:color w:val="000000"/>
                <w:sz w:val="20"/>
                <w:lang w:eastAsia="en-AU"/>
              </w:rPr>
              <w:t>1.121</w:t>
            </w:r>
          </w:p>
        </w:tc>
        <w:tc>
          <w:tcPr>
            <w:tcW w:w="960" w:type="dxa"/>
            <w:tcBorders>
              <w:top w:val="nil"/>
              <w:left w:val="nil"/>
              <w:bottom w:val="single" w:sz="4" w:space="0" w:color="auto"/>
              <w:right w:val="single" w:sz="4" w:space="0" w:color="auto"/>
            </w:tcBorders>
            <w:shd w:val="clear" w:color="auto" w:fill="auto"/>
            <w:noWrap/>
            <w:vAlign w:val="bottom"/>
            <w:hideMark/>
          </w:tcPr>
          <w:p w14:paraId="1F4BAB70" w14:textId="77777777" w:rsidR="00F20114" w:rsidRPr="00926B35" w:rsidRDefault="00F20114" w:rsidP="00F20114">
            <w:pPr>
              <w:jc w:val="center"/>
              <w:rPr>
                <w:color w:val="000000"/>
                <w:sz w:val="20"/>
                <w:lang w:eastAsia="en-AU"/>
              </w:rPr>
            </w:pPr>
            <w:r w:rsidRPr="00926B35">
              <w:rPr>
                <w:color w:val="000000"/>
                <w:sz w:val="20"/>
                <w:lang w:eastAsia="en-AU"/>
              </w:rPr>
              <w:t>1.119</w:t>
            </w:r>
          </w:p>
        </w:tc>
        <w:tc>
          <w:tcPr>
            <w:tcW w:w="960" w:type="dxa"/>
            <w:tcBorders>
              <w:top w:val="nil"/>
              <w:left w:val="nil"/>
              <w:bottom w:val="single" w:sz="4" w:space="0" w:color="auto"/>
              <w:right w:val="single" w:sz="4" w:space="0" w:color="auto"/>
            </w:tcBorders>
            <w:shd w:val="clear" w:color="auto" w:fill="auto"/>
            <w:noWrap/>
            <w:vAlign w:val="bottom"/>
            <w:hideMark/>
          </w:tcPr>
          <w:p w14:paraId="34FCAD72" w14:textId="77777777" w:rsidR="00F20114" w:rsidRPr="00926B35" w:rsidRDefault="00F20114" w:rsidP="00F20114">
            <w:pPr>
              <w:jc w:val="center"/>
              <w:rPr>
                <w:color w:val="000000"/>
                <w:sz w:val="20"/>
                <w:lang w:eastAsia="en-AU"/>
              </w:rPr>
            </w:pPr>
            <w:r w:rsidRPr="00926B35">
              <w:rPr>
                <w:color w:val="000000"/>
                <w:sz w:val="20"/>
                <w:lang w:eastAsia="en-AU"/>
              </w:rPr>
              <w:t>1.124</w:t>
            </w:r>
          </w:p>
        </w:tc>
        <w:tc>
          <w:tcPr>
            <w:tcW w:w="960" w:type="dxa"/>
            <w:tcBorders>
              <w:top w:val="nil"/>
              <w:left w:val="nil"/>
              <w:bottom w:val="single" w:sz="4" w:space="0" w:color="auto"/>
              <w:right w:val="single" w:sz="4" w:space="0" w:color="auto"/>
            </w:tcBorders>
            <w:shd w:val="clear" w:color="auto" w:fill="auto"/>
            <w:noWrap/>
            <w:vAlign w:val="bottom"/>
            <w:hideMark/>
          </w:tcPr>
          <w:p w14:paraId="5C96CC5F" w14:textId="77777777" w:rsidR="00F20114" w:rsidRPr="00926B35" w:rsidRDefault="00F20114" w:rsidP="00F20114">
            <w:pPr>
              <w:jc w:val="center"/>
              <w:rPr>
                <w:color w:val="000000"/>
                <w:sz w:val="20"/>
                <w:lang w:eastAsia="en-AU"/>
              </w:rPr>
            </w:pPr>
            <w:r w:rsidRPr="00926B35">
              <w:rPr>
                <w:color w:val="000000"/>
                <w:sz w:val="20"/>
                <w:lang w:eastAsia="en-AU"/>
              </w:rPr>
              <w:t>1.122</w:t>
            </w:r>
          </w:p>
        </w:tc>
      </w:tr>
      <w:tr w:rsidR="00F20114" w:rsidRPr="00926B35" w14:paraId="209F9BB2" w14:textId="77777777" w:rsidTr="00F201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AF84E5" w14:textId="77777777" w:rsidR="00F20114" w:rsidRPr="00926B35" w:rsidRDefault="00F20114" w:rsidP="00F20114">
            <w:pPr>
              <w:rPr>
                <w:color w:val="000000"/>
                <w:sz w:val="20"/>
                <w:lang w:eastAsia="en-AU"/>
              </w:rPr>
            </w:pPr>
            <w:r w:rsidRPr="00926B35">
              <w:rPr>
                <w:color w:val="000000"/>
                <w:sz w:val="20"/>
                <w:lang w:eastAsia="en-AU"/>
              </w:rPr>
              <w:t>2012</w:t>
            </w:r>
          </w:p>
        </w:tc>
        <w:tc>
          <w:tcPr>
            <w:tcW w:w="960" w:type="dxa"/>
            <w:tcBorders>
              <w:top w:val="nil"/>
              <w:left w:val="nil"/>
              <w:bottom w:val="single" w:sz="4" w:space="0" w:color="auto"/>
              <w:right w:val="single" w:sz="4" w:space="0" w:color="auto"/>
            </w:tcBorders>
            <w:shd w:val="clear" w:color="auto" w:fill="000000" w:themeFill="text1"/>
            <w:noWrap/>
            <w:vAlign w:val="bottom"/>
            <w:hideMark/>
          </w:tcPr>
          <w:p w14:paraId="408A2806" w14:textId="77777777" w:rsidR="00F20114" w:rsidRPr="00926B35" w:rsidRDefault="00F20114" w:rsidP="00F20114">
            <w:pPr>
              <w:jc w:val="center"/>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bottom"/>
            <w:hideMark/>
          </w:tcPr>
          <w:p w14:paraId="0F2E3810" w14:textId="77777777" w:rsidR="00F20114" w:rsidRPr="00926B35" w:rsidRDefault="00F20114" w:rsidP="00F20114">
            <w:pPr>
              <w:jc w:val="center"/>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bottom"/>
            <w:hideMark/>
          </w:tcPr>
          <w:p w14:paraId="7B297508" w14:textId="77777777" w:rsidR="00F20114" w:rsidRPr="00926B35" w:rsidRDefault="00F20114" w:rsidP="00F20114">
            <w:pPr>
              <w:jc w:val="center"/>
              <w:rPr>
                <w:color w:val="000000"/>
                <w:sz w:val="20"/>
                <w:lang w:eastAsia="en-AU"/>
              </w:rPr>
            </w:pPr>
          </w:p>
        </w:tc>
        <w:tc>
          <w:tcPr>
            <w:tcW w:w="960" w:type="dxa"/>
            <w:tcBorders>
              <w:top w:val="nil"/>
              <w:left w:val="nil"/>
              <w:bottom w:val="single" w:sz="4" w:space="0" w:color="auto"/>
              <w:right w:val="single" w:sz="4" w:space="0" w:color="auto"/>
            </w:tcBorders>
            <w:shd w:val="clear" w:color="auto" w:fill="8DB3E2" w:themeFill="text2" w:themeFillTint="66"/>
            <w:noWrap/>
            <w:vAlign w:val="bottom"/>
            <w:hideMark/>
          </w:tcPr>
          <w:p w14:paraId="007BAF18" w14:textId="77777777" w:rsidR="00F20114" w:rsidRPr="00926B35" w:rsidRDefault="00F20114" w:rsidP="00F20114">
            <w:pPr>
              <w:jc w:val="center"/>
              <w:rPr>
                <w:color w:val="000000"/>
                <w:sz w:val="20"/>
                <w:lang w:eastAsia="en-AU"/>
              </w:rPr>
            </w:pPr>
            <w:r w:rsidRPr="00926B35">
              <w:rPr>
                <w:color w:val="000000"/>
                <w:sz w:val="20"/>
                <w:lang w:eastAsia="en-AU"/>
              </w:rPr>
              <w:t>1.166</w:t>
            </w:r>
          </w:p>
        </w:tc>
        <w:tc>
          <w:tcPr>
            <w:tcW w:w="960" w:type="dxa"/>
            <w:tcBorders>
              <w:top w:val="nil"/>
              <w:left w:val="nil"/>
              <w:bottom w:val="single" w:sz="4" w:space="0" w:color="auto"/>
              <w:right w:val="single" w:sz="4" w:space="0" w:color="auto"/>
            </w:tcBorders>
            <w:shd w:val="clear" w:color="auto" w:fill="8DB3E2" w:themeFill="text2" w:themeFillTint="66"/>
            <w:noWrap/>
            <w:vAlign w:val="bottom"/>
            <w:hideMark/>
          </w:tcPr>
          <w:p w14:paraId="23F8D083" w14:textId="77777777" w:rsidR="00F20114" w:rsidRPr="00926B35" w:rsidRDefault="00F20114" w:rsidP="00F20114">
            <w:pPr>
              <w:jc w:val="center"/>
              <w:rPr>
                <w:color w:val="000000"/>
                <w:sz w:val="20"/>
                <w:lang w:eastAsia="en-AU"/>
              </w:rPr>
            </w:pPr>
            <w:r w:rsidRPr="00926B35">
              <w:rPr>
                <w:color w:val="000000"/>
                <w:sz w:val="20"/>
                <w:lang w:eastAsia="en-AU"/>
              </w:rPr>
              <w:t>1.162</w:t>
            </w:r>
          </w:p>
        </w:tc>
        <w:tc>
          <w:tcPr>
            <w:tcW w:w="960" w:type="dxa"/>
            <w:tcBorders>
              <w:top w:val="nil"/>
              <w:left w:val="nil"/>
              <w:bottom w:val="single" w:sz="4" w:space="0" w:color="auto"/>
              <w:right w:val="single" w:sz="4" w:space="0" w:color="auto"/>
            </w:tcBorders>
            <w:shd w:val="clear" w:color="auto" w:fill="auto"/>
            <w:noWrap/>
            <w:vAlign w:val="bottom"/>
            <w:hideMark/>
          </w:tcPr>
          <w:p w14:paraId="1B63EC30" w14:textId="77777777" w:rsidR="00F20114" w:rsidRPr="00926B35" w:rsidRDefault="00F20114" w:rsidP="00F20114">
            <w:pPr>
              <w:jc w:val="center"/>
              <w:rPr>
                <w:color w:val="000000"/>
                <w:sz w:val="20"/>
                <w:lang w:eastAsia="en-AU"/>
              </w:rPr>
            </w:pPr>
            <w:r w:rsidRPr="00926B35">
              <w:rPr>
                <w:color w:val="000000"/>
                <w:sz w:val="20"/>
                <w:lang w:eastAsia="en-AU"/>
              </w:rPr>
              <w:t>1.156</w:t>
            </w:r>
          </w:p>
        </w:tc>
        <w:tc>
          <w:tcPr>
            <w:tcW w:w="960" w:type="dxa"/>
            <w:tcBorders>
              <w:top w:val="nil"/>
              <w:left w:val="nil"/>
              <w:bottom w:val="single" w:sz="4" w:space="0" w:color="auto"/>
              <w:right w:val="single" w:sz="4" w:space="0" w:color="auto"/>
            </w:tcBorders>
            <w:shd w:val="clear" w:color="auto" w:fill="auto"/>
            <w:noWrap/>
            <w:vAlign w:val="bottom"/>
            <w:hideMark/>
          </w:tcPr>
          <w:p w14:paraId="6368AE10" w14:textId="77777777" w:rsidR="00F20114" w:rsidRPr="00926B35" w:rsidRDefault="00F20114" w:rsidP="00F20114">
            <w:pPr>
              <w:jc w:val="center"/>
              <w:rPr>
                <w:color w:val="000000"/>
                <w:sz w:val="20"/>
                <w:lang w:eastAsia="en-AU"/>
              </w:rPr>
            </w:pPr>
            <w:r w:rsidRPr="00926B35">
              <w:rPr>
                <w:color w:val="000000"/>
                <w:sz w:val="20"/>
                <w:lang w:eastAsia="en-AU"/>
              </w:rPr>
              <w:t>1.153</w:t>
            </w:r>
          </w:p>
        </w:tc>
        <w:tc>
          <w:tcPr>
            <w:tcW w:w="960" w:type="dxa"/>
            <w:tcBorders>
              <w:top w:val="nil"/>
              <w:left w:val="nil"/>
              <w:bottom w:val="single" w:sz="4" w:space="0" w:color="auto"/>
              <w:right w:val="single" w:sz="4" w:space="0" w:color="auto"/>
            </w:tcBorders>
            <w:shd w:val="clear" w:color="auto" w:fill="auto"/>
            <w:noWrap/>
            <w:vAlign w:val="bottom"/>
            <w:hideMark/>
          </w:tcPr>
          <w:p w14:paraId="41EA7BFC" w14:textId="77777777" w:rsidR="00F20114" w:rsidRPr="00926B35" w:rsidRDefault="00F20114" w:rsidP="00F20114">
            <w:pPr>
              <w:jc w:val="center"/>
              <w:rPr>
                <w:color w:val="000000"/>
                <w:sz w:val="20"/>
                <w:lang w:eastAsia="en-AU"/>
              </w:rPr>
            </w:pPr>
            <w:r w:rsidRPr="00926B35">
              <w:rPr>
                <w:color w:val="000000"/>
                <w:sz w:val="20"/>
                <w:lang w:eastAsia="en-AU"/>
              </w:rPr>
              <w:t>1.159</w:t>
            </w:r>
          </w:p>
        </w:tc>
        <w:tc>
          <w:tcPr>
            <w:tcW w:w="960" w:type="dxa"/>
            <w:tcBorders>
              <w:top w:val="nil"/>
              <w:left w:val="nil"/>
              <w:bottom w:val="single" w:sz="4" w:space="0" w:color="auto"/>
              <w:right w:val="single" w:sz="4" w:space="0" w:color="auto"/>
            </w:tcBorders>
            <w:shd w:val="clear" w:color="auto" w:fill="auto"/>
            <w:noWrap/>
            <w:vAlign w:val="bottom"/>
            <w:hideMark/>
          </w:tcPr>
          <w:p w14:paraId="5BA33E73" w14:textId="77777777" w:rsidR="00F20114" w:rsidRPr="00926B35" w:rsidRDefault="00F20114" w:rsidP="00F20114">
            <w:pPr>
              <w:jc w:val="center"/>
              <w:rPr>
                <w:color w:val="000000"/>
                <w:sz w:val="20"/>
                <w:lang w:eastAsia="en-AU"/>
              </w:rPr>
            </w:pPr>
            <w:r w:rsidRPr="00926B35">
              <w:rPr>
                <w:color w:val="000000"/>
                <w:sz w:val="20"/>
                <w:lang w:eastAsia="en-AU"/>
              </w:rPr>
              <w:t>1.156</w:t>
            </w:r>
          </w:p>
        </w:tc>
      </w:tr>
      <w:tr w:rsidR="00F20114" w:rsidRPr="00926B35" w14:paraId="1A1B9C61" w14:textId="77777777" w:rsidTr="00F201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24ADF1" w14:textId="77777777" w:rsidR="00F20114" w:rsidRPr="00926B35" w:rsidRDefault="00F20114" w:rsidP="00F20114">
            <w:pPr>
              <w:rPr>
                <w:color w:val="000000"/>
                <w:sz w:val="20"/>
                <w:lang w:eastAsia="en-AU"/>
              </w:rPr>
            </w:pPr>
            <w:r w:rsidRPr="00926B35">
              <w:rPr>
                <w:color w:val="000000"/>
                <w:sz w:val="20"/>
                <w:lang w:eastAsia="en-AU"/>
              </w:rPr>
              <w:t>2013</w:t>
            </w:r>
          </w:p>
        </w:tc>
        <w:tc>
          <w:tcPr>
            <w:tcW w:w="960" w:type="dxa"/>
            <w:tcBorders>
              <w:top w:val="nil"/>
              <w:left w:val="nil"/>
              <w:bottom w:val="single" w:sz="4" w:space="0" w:color="auto"/>
              <w:right w:val="single" w:sz="4" w:space="0" w:color="auto"/>
            </w:tcBorders>
            <w:shd w:val="clear" w:color="auto" w:fill="000000" w:themeFill="text1"/>
            <w:noWrap/>
            <w:vAlign w:val="bottom"/>
            <w:hideMark/>
          </w:tcPr>
          <w:p w14:paraId="6831CBD1" w14:textId="77777777" w:rsidR="00F20114" w:rsidRPr="00926B35" w:rsidRDefault="00F20114" w:rsidP="00F20114">
            <w:pPr>
              <w:jc w:val="center"/>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bottom"/>
            <w:hideMark/>
          </w:tcPr>
          <w:p w14:paraId="596505E3" w14:textId="77777777" w:rsidR="00F20114" w:rsidRPr="00926B35" w:rsidRDefault="00F20114" w:rsidP="00F20114">
            <w:pPr>
              <w:jc w:val="center"/>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bottom"/>
            <w:hideMark/>
          </w:tcPr>
          <w:p w14:paraId="139FC410" w14:textId="77777777" w:rsidR="00F20114" w:rsidRPr="00926B35" w:rsidRDefault="00F20114" w:rsidP="00F20114">
            <w:pPr>
              <w:jc w:val="center"/>
              <w:rPr>
                <w:color w:val="000000"/>
                <w:sz w:val="20"/>
                <w:lang w:eastAsia="en-AU"/>
              </w:rPr>
            </w:pPr>
          </w:p>
        </w:tc>
        <w:tc>
          <w:tcPr>
            <w:tcW w:w="960" w:type="dxa"/>
            <w:tcBorders>
              <w:top w:val="nil"/>
              <w:left w:val="nil"/>
              <w:bottom w:val="single" w:sz="4" w:space="0" w:color="auto"/>
              <w:right w:val="single" w:sz="4" w:space="0" w:color="auto"/>
            </w:tcBorders>
            <w:shd w:val="clear" w:color="auto" w:fill="8DB3E2" w:themeFill="text2" w:themeFillTint="66"/>
            <w:noWrap/>
            <w:vAlign w:val="bottom"/>
            <w:hideMark/>
          </w:tcPr>
          <w:p w14:paraId="7331512F" w14:textId="77777777" w:rsidR="00F20114" w:rsidRPr="00926B35" w:rsidRDefault="00F20114" w:rsidP="00F20114">
            <w:pPr>
              <w:jc w:val="center"/>
              <w:rPr>
                <w:color w:val="000000"/>
                <w:sz w:val="20"/>
                <w:lang w:eastAsia="en-AU"/>
              </w:rPr>
            </w:pPr>
            <w:r w:rsidRPr="00926B35">
              <w:rPr>
                <w:color w:val="000000"/>
                <w:sz w:val="20"/>
                <w:lang w:eastAsia="en-AU"/>
              </w:rPr>
              <w:t>1.196</w:t>
            </w:r>
          </w:p>
        </w:tc>
        <w:tc>
          <w:tcPr>
            <w:tcW w:w="960" w:type="dxa"/>
            <w:tcBorders>
              <w:top w:val="nil"/>
              <w:left w:val="nil"/>
              <w:bottom w:val="single" w:sz="4" w:space="0" w:color="auto"/>
              <w:right w:val="single" w:sz="4" w:space="0" w:color="auto"/>
            </w:tcBorders>
            <w:shd w:val="clear" w:color="auto" w:fill="8DB3E2" w:themeFill="text2" w:themeFillTint="66"/>
            <w:noWrap/>
            <w:vAlign w:val="bottom"/>
            <w:hideMark/>
          </w:tcPr>
          <w:p w14:paraId="46045AD4" w14:textId="77777777" w:rsidR="00F20114" w:rsidRPr="00926B35" w:rsidRDefault="00F20114" w:rsidP="00F20114">
            <w:pPr>
              <w:jc w:val="center"/>
              <w:rPr>
                <w:color w:val="000000"/>
                <w:sz w:val="20"/>
                <w:lang w:eastAsia="en-AU"/>
              </w:rPr>
            </w:pPr>
            <w:r w:rsidRPr="00926B35">
              <w:rPr>
                <w:color w:val="000000"/>
                <w:sz w:val="20"/>
                <w:lang w:eastAsia="en-AU"/>
              </w:rPr>
              <w:t>1.190</w:t>
            </w:r>
          </w:p>
        </w:tc>
        <w:tc>
          <w:tcPr>
            <w:tcW w:w="960" w:type="dxa"/>
            <w:tcBorders>
              <w:top w:val="nil"/>
              <w:left w:val="nil"/>
              <w:bottom w:val="single" w:sz="4" w:space="0" w:color="auto"/>
              <w:right w:val="single" w:sz="4" w:space="0" w:color="auto"/>
            </w:tcBorders>
            <w:shd w:val="clear" w:color="auto" w:fill="auto"/>
            <w:noWrap/>
            <w:vAlign w:val="bottom"/>
            <w:hideMark/>
          </w:tcPr>
          <w:p w14:paraId="301D604B" w14:textId="77777777" w:rsidR="00F20114" w:rsidRPr="00926B35" w:rsidRDefault="00F20114" w:rsidP="00F20114">
            <w:pPr>
              <w:jc w:val="center"/>
              <w:rPr>
                <w:color w:val="000000"/>
                <w:sz w:val="20"/>
                <w:lang w:eastAsia="en-AU"/>
              </w:rPr>
            </w:pPr>
            <w:r w:rsidRPr="00926B35">
              <w:rPr>
                <w:color w:val="000000"/>
                <w:sz w:val="20"/>
                <w:lang w:eastAsia="en-AU"/>
              </w:rPr>
              <w:t>1.189</w:t>
            </w:r>
          </w:p>
        </w:tc>
        <w:tc>
          <w:tcPr>
            <w:tcW w:w="960" w:type="dxa"/>
            <w:tcBorders>
              <w:top w:val="nil"/>
              <w:left w:val="nil"/>
              <w:bottom w:val="single" w:sz="4" w:space="0" w:color="auto"/>
              <w:right w:val="single" w:sz="4" w:space="0" w:color="auto"/>
            </w:tcBorders>
            <w:shd w:val="clear" w:color="auto" w:fill="auto"/>
            <w:noWrap/>
            <w:vAlign w:val="bottom"/>
            <w:hideMark/>
          </w:tcPr>
          <w:p w14:paraId="7203D896" w14:textId="77777777" w:rsidR="00F20114" w:rsidRPr="00926B35" w:rsidRDefault="00F20114" w:rsidP="00F20114">
            <w:pPr>
              <w:jc w:val="center"/>
              <w:rPr>
                <w:color w:val="000000"/>
                <w:sz w:val="20"/>
                <w:lang w:eastAsia="en-AU"/>
              </w:rPr>
            </w:pPr>
            <w:r w:rsidRPr="00926B35">
              <w:rPr>
                <w:color w:val="000000"/>
                <w:sz w:val="20"/>
                <w:lang w:eastAsia="en-AU"/>
              </w:rPr>
              <w:t>1.183</w:t>
            </w:r>
          </w:p>
        </w:tc>
        <w:tc>
          <w:tcPr>
            <w:tcW w:w="960" w:type="dxa"/>
            <w:tcBorders>
              <w:top w:val="nil"/>
              <w:left w:val="nil"/>
              <w:bottom w:val="single" w:sz="4" w:space="0" w:color="auto"/>
              <w:right w:val="single" w:sz="4" w:space="0" w:color="auto"/>
            </w:tcBorders>
            <w:shd w:val="clear" w:color="auto" w:fill="auto"/>
            <w:noWrap/>
            <w:vAlign w:val="bottom"/>
            <w:hideMark/>
          </w:tcPr>
          <w:p w14:paraId="1898ED4D" w14:textId="77777777" w:rsidR="00F20114" w:rsidRPr="00926B35" w:rsidRDefault="00F20114" w:rsidP="00F20114">
            <w:pPr>
              <w:jc w:val="center"/>
              <w:rPr>
                <w:color w:val="000000"/>
                <w:sz w:val="20"/>
                <w:lang w:eastAsia="en-AU"/>
              </w:rPr>
            </w:pPr>
            <w:r w:rsidRPr="00926B35">
              <w:rPr>
                <w:color w:val="000000"/>
                <w:sz w:val="20"/>
                <w:lang w:eastAsia="en-AU"/>
              </w:rPr>
              <w:t>1.192</w:t>
            </w:r>
          </w:p>
        </w:tc>
        <w:tc>
          <w:tcPr>
            <w:tcW w:w="960" w:type="dxa"/>
            <w:tcBorders>
              <w:top w:val="nil"/>
              <w:left w:val="nil"/>
              <w:bottom w:val="single" w:sz="4" w:space="0" w:color="auto"/>
              <w:right w:val="single" w:sz="4" w:space="0" w:color="auto"/>
            </w:tcBorders>
            <w:shd w:val="clear" w:color="auto" w:fill="auto"/>
            <w:noWrap/>
            <w:vAlign w:val="bottom"/>
            <w:hideMark/>
          </w:tcPr>
          <w:p w14:paraId="3DD471B9" w14:textId="77777777" w:rsidR="00F20114" w:rsidRPr="00926B35" w:rsidRDefault="00F20114" w:rsidP="00F20114">
            <w:pPr>
              <w:jc w:val="center"/>
              <w:rPr>
                <w:color w:val="000000"/>
                <w:sz w:val="20"/>
                <w:lang w:eastAsia="en-AU"/>
              </w:rPr>
            </w:pPr>
            <w:r w:rsidRPr="00926B35">
              <w:rPr>
                <w:color w:val="000000"/>
                <w:sz w:val="20"/>
                <w:lang w:eastAsia="en-AU"/>
              </w:rPr>
              <w:t>1.187</w:t>
            </w:r>
          </w:p>
        </w:tc>
      </w:tr>
      <w:tr w:rsidR="00F20114" w:rsidRPr="00926B35" w14:paraId="2AAE8B72" w14:textId="77777777" w:rsidTr="00F201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4AE45F" w14:textId="77777777" w:rsidR="00F20114" w:rsidRPr="00926B35" w:rsidRDefault="00F20114" w:rsidP="00F20114">
            <w:pPr>
              <w:rPr>
                <w:color w:val="000000"/>
                <w:sz w:val="20"/>
                <w:lang w:eastAsia="en-AU"/>
              </w:rPr>
            </w:pPr>
            <w:r w:rsidRPr="00926B35">
              <w:rPr>
                <w:color w:val="000000"/>
                <w:sz w:val="20"/>
                <w:lang w:eastAsia="en-AU"/>
              </w:rPr>
              <w:t>2014</w:t>
            </w:r>
          </w:p>
        </w:tc>
        <w:tc>
          <w:tcPr>
            <w:tcW w:w="960" w:type="dxa"/>
            <w:tcBorders>
              <w:top w:val="nil"/>
              <w:left w:val="nil"/>
              <w:bottom w:val="single" w:sz="4" w:space="0" w:color="auto"/>
              <w:right w:val="single" w:sz="4" w:space="0" w:color="auto"/>
            </w:tcBorders>
            <w:shd w:val="clear" w:color="auto" w:fill="000000" w:themeFill="text1"/>
            <w:noWrap/>
            <w:vAlign w:val="bottom"/>
            <w:hideMark/>
          </w:tcPr>
          <w:p w14:paraId="4427CDA7" w14:textId="77777777" w:rsidR="00F20114" w:rsidRPr="00926B35" w:rsidRDefault="00F20114" w:rsidP="00F20114">
            <w:pPr>
              <w:jc w:val="center"/>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bottom"/>
            <w:hideMark/>
          </w:tcPr>
          <w:p w14:paraId="460961E6" w14:textId="77777777" w:rsidR="00F20114" w:rsidRPr="00926B35" w:rsidRDefault="00F20114" w:rsidP="00F20114">
            <w:pPr>
              <w:jc w:val="center"/>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bottom"/>
            <w:hideMark/>
          </w:tcPr>
          <w:p w14:paraId="70FD9369" w14:textId="77777777" w:rsidR="00F20114" w:rsidRPr="00926B35" w:rsidRDefault="00F20114" w:rsidP="00F20114">
            <w:pPr>
              <w:jc w:val="center"/>
              <w:rPr>
                <w:color w:val="000000"/>
                <w:sz w:val="20"/>
                <w:lang w:eastAsia="en-AU"/>
              </w:rPr>
            </w:pPr>
          </w:p>
        </w:tc>
        <w:tc>
          <w:tcPr>
            <w:tcW w:w="960" w:type="dxa"/>
            <w:tcBorders>
              <w:top w:val="nil"/>
              <w:left w:val="nil"/>
              <w:bottom w:val="single" w:sz="4" w:space="0" w:color="auto"/>
              <w:right w:val="single" w:sz="4" w:space="0" w:color="auto"/>
            </w:tcBorders>
            <w:shd w:val="clear" w:color="auto" w:fill="8DB3E2" w:themeFill="text2" w:themeFillTint="66"/>
            <w:noWrap/>
            <w:vAlign w:val="bottom"/>
            <w:hideMark/>
          </w:tcPr>
          <w:p w14:paraId="4B0D21B3" w14:textId="77777777" w:rsidR="00F20114" w:rsidRPr="00926B35" w:rsidRDefault="00F20114" w:rsidP="00F20114">
            <w:pPr>
              <w:jc w:val="center"/>
              <w:rPr>
                <w:color w:val="000000"/>
                <w:sz w:val="20"/>
                <w:lang w:eastAsia="en-AU"/>
              </w:rPr>
            </w:pPr>
            <w:r w:rsidRPr="00926B35">
              <w:rPr>
                <w:color w:val="000000"/>
                <w:sz w:val="20"/>
                <w:lang w:eastAsia="en-AU"/>
              </w:rPr>
              <w:t>1.229</w:t>
            </w:r>
          </w:p>
        </w:tc>
        <w:tc>
          <w:tcPr>
            <w:tcW w:w="960" w:type="dxa"/>
            <w:tcBorders>
              <w:top w:val="nil"/>
              <w:left w:val="nil"/>
              <w:bottom w:val="single" w:sz="4" w:space="0" w:color="auto"/>
              <w:right w:val="single" w:sz="4" w:space="0" w:color="auto"/>
            </w:tcBorders>
            <w:shd w:val="clear" w:color="auto" w:fill="8DB3E2" w:themeFill="text2" w:themeFillTint="66"/>
            <w:noWrap/>
            <w:vAlign w:val="bottom"/>
            <w:hideMark/>
          </w:tcPr>
          <w:p w14:paraId="51D2A1EC" w14:textId="77777777" w:rsidR="00F20114" w:rsidRPr="00926B35" w:rsidRDefault="00F20114" w:rsidP="00F20114">
            <w:pPr>
              <w:jc w:val="center"/>
              <w:rPr>
                <w:color w:val="000000"/>
                <w:sz w:val="20"/>
                <w:lang w:eastAsia="en-AU"/>
              </w:rPr>
            </w:pPr>
            <w:r w:rsidRPr="00926B35">
              <w:rPr>
                <w:color w:val="000000"/>
                <w:sz w:val="20"/>
                <w:lang w:eastAsia="en-AU"/>
              </w:rPr>
              <w:t>1.220</w:t>
            </w:r>
          </w:p>
        </w:tc>
        <w:tc>
          <w:tcPr>
            <w:tcW w:w="960" w:type="dxa"/>
            <w:tcBorders>
              <w:top w:val="nil"/>
              <w:left w:val="nil"/>
              <w:bottom w:val="single" w:sz="4" w:space="0" w:color="auto"/>
              <w:right w:val="single" w:sz="4" w:space="0" w:color="auto"/>
            </w:tcBorders>
            <w:shd w:val="clear" w:color="auto" w:fill="auto"/>
            <w:noWrap/>
            <w:vAlign w:val="bottom"/>
            <w:hideMark/>
          </w:tcPr>
          <w:p w14:paraId="189AC908" w14:textId="77777777" w:rsidR="00F20114" w:rsidRPr="00926B35" w:rsidRDefault="00F20114" w:rsidP="00F20114">
            <w:pPr>
              <w:jc w:val="center"/>
              <w:rPr>
                <w:color w:val="000000"/>
                <w:sz w:val="20"/>
                <w:lang w:eastAsia="en-AU"/>
              </w:rPr>
            </w:pPr>
            <w:r w:rsidRPr="00926B35">
              <w:rPr>
                <w:color w:val="000000"/>
                <w:sz w:val="20"/>
                <w:lang w:eastAsia="en-AU"/>
              </w:rPr>
              <w:t>1.223</w:t>
            </w:r>
          </w:p>
        </w:tc>
        <w:tc>
          <w:tcPr>
            <w:tcW w:w="960" w:type="dxa"/>
            <w:tcBorders>
              <w:top w:val="nil"/>
              <w:left w:val="nil"/>
              <w:bottom w:val="single" w:sz="4" w:space="0" w:color="auto"/>
              <w:right w:val="single" w:sz="4" w:space="0" w:color="auto"/>
            </w:tcBorders>
            <w:shd w:val="clear" w:color="auto" w:fill="auto"/>
            <w:noWrap/>
            <w:vAlign w:val="bottom"/>
            <w:hideMark/>
          </w:tcPr>
          <w:p w14:paraId="051EF9C6" w14:textId="77777777" w:rsidR="00F20114" w:rsidRPr="00926B35" w:rsidRDefault="00F20114" w:rsidP="00F20114">
            <w:pPr>
              <w:jc w:val="center"/>
              <w:rPr>
                <w:color w:val="000000"/>
                <w:sz w:val="20"/>
                <w:lang w:eastAsia="en-AU"/>
              </w:rPr>
            </w:pPr>
            <w:r w:rsidRPr="00926B35">
              <w:rPr>
                <w:color w:val="000000"/>
                <w:sz w:val="20"/>
                <w:lang w:eastAsia="en-AU"/>
              </w:rPr>
              <w:t>1.214</w:t>
            </w:r>
          </w:p>
        </w:tc>
        <w:tc>
          <w:tcPr>
            <w:tcW w:w="960" w:type="dxa"/>
            <w:tcBorders>
              <w:top w:val="nil"/>
              <w:left w:val="nil"/>
              <w:bottom w:val="single" w:sz="4" w:space="0" w:color="auto"/>
              <w:right w:val="single" w:sz="4" w:space="0" w:color="auto"/>
            </w:tcBorders>
            <w:shd w:val="clear" w:color="auto" w:fill="auto"/>
            <w:noWrap/>
            <w:vAlign w:val="bottom"/>
            <w:hideMark/>
          </w:tcPr>
          <w:p w14:paraId="1060C772" w14:textId="77777777" w:rsidR="00F20114" w:rsidRPr="00926B35" w:rsidRDefault="00F20114" w:rsidP="00F20114">
            <w:pPr>
              <w:jc w:val="center"/>
              <w:rPr>
                <w:color w:val="000000"/>
                <w:sz w:val="20"/>
                <w:lang w:eastAsia="en-AU"/>
              </w:rPr>
            </w:pPr>
            <w:r w:rsidRPr="00926B35">
              <w:rPr>
                <w:color w:val="000000"/>
                <w:sz w:val="20"/>
                <w:lang w:eastAsia="en-AU"/>
              </w:rPr>
              <w:t>1.224</w:t>
            </w:r>
          </w:p>
        </w:tc>
        <w:tc>
          <w:tcPr>
            <w:tcW w:w="960" w:type="dxa"/>
            <w:tcBorders>
              <w:top w:val="nil"/>
              <w:left w:val="nil"/>
              <w:bottom w:val="single" w:sz="4" w:space="0" w:color="auto"/>
              <w:right w:val="single" w:sz="4" w:space="0" w:color="auto"/>
            </w:tcBorders>
            <w:shd w:val="clear" w:color="auto" w:fill="auto"/>
            <w:noWrap/>
            <w:vAlign w:val="bottom"/>
            <w:hideMark/>
          </w:tcPr>
          <w:p w14:paraId="6BD021D3" w14:textId="77777777" w:rsidR="00F20114" w:rsidRPr="00926B35" w:rsidRDefault="00F20114" w:rsidP="00F20114">
            <w:pPr>
              <w:jc w:val="center"/>
              <w:rPr>
                <w:color w:val="000000"/>
                <w:sz w:val="20"/>
                <w:lang w:eastAsia="en-AU"/>
              </w:rPr>
            </w:pPr>
            <w:r w:rsidRPr="00926B35">
              <w:rPr>
                <w:color w:val="000000"/>
                <w:sz w:val="20"/>
                <w:lang w:eastAsia="en-AU"/>
              </w:rPr>
              <w:t>1.216</w:t>
            </w:r>
          </w:p>
        </w:tc>
      </w:tr>
      <w:tr w:rsidR="00F20114" w:rsidRPr="00926B35" w14:paraId="62199444" w14:textId="77777777" w:rsidTr="00F201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286E8F" w14:textId="77777777" w:rsidR="00F20114" w:rsidRPr="00926B35" w:rsidRDefault="00F20114" w:rsidP="00F20114">
            <w:pPr>
              <w:rPr>
                <w:color w:val="000000"/>
                <w:sz w:val="20"/>
                <w:lang w:eastAsia="en-AU"/>
              </w:rPr>
            </w:pPr>
            <w:r w:rsidRPr="00926B35">
              <w:rPr>
                <w:color w:val="000000"/>
                <w:sz w:val="20"/>
                <w:lang w:eastAsia="en-AU"/>
              </w:rPr>
              <w:t>2015</w:t>
            </w:r>
          </w:p>
        </w:tc>
        <w:tc>
          <w:tcPr>
            <w:tcW w:w="960" w:type="dxa"/>
            <w:tcBorders>
              <w:top w:val="nil"/>
              <w:left w:val="nil"/>
              <w:bottom w:val="single" w:sz="4" w:space="0" w:color="auto"/>
              <w:right w:val="single" w:sz="4" w:space="0" w:color="auto"/>
            </w:tcBorders>
            <w:shd w:val="clear" w:color="auto" w:fill="000000" w:themeFill="text1"/>
            <w:noWrap/>
            <w:vAlign w:val="bottom"/>
            <w:hideMark/>
          </w:tcPr>
          <w:p w14:paraId="7B2604C4" w14:textId="77777777" w:rsidR="00F20114" w:rsidRPr="00926B35" w:rsidRDefault="00F20114" w:rsidP="00F20114">
            <w:pPr>
              <w:jc w:val="center"/>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bottom"/>
            <w:hideMark/>
          </w:tcPr>
          <w:p w14:paraId="7C91C278" w14:textId="77777777" w:rsidR="00F20114" w:rsidRPr="00926B35" w:rsidRDefault="00F20114" w:rsidP="00F20114">
            <w:pPr>
              <w:jc w:val="center"/>
              <w:rPr>
                <w:color w:val="000000"/>
                <w:sz w:val="20"/>
                <w:lang w:eastAsia="en-AU"/>
              </w:rPr>
            </w:pPr>
          </w:p>
        </w:tc>
        <w:tc>
          <w:tcPr>
            <w:tcW w:w="960" w:type="dxa"/>
            <w:tcBorders>
              <w:top w:val="nil"/>
              <w:left w:val="nil"/>
              <w:bottom w:val="single" w:sz="4" w:space="0" w:color="auto"/>
              <w:right w:val="single" w:sz="4" w:space="0" w:color="auto"/>
            </w:tcBorders>
            <w:shd w:val="clear" w:color="auto" w:fill="000000" w:themeFill="text1"/>
            <w:noWrap/>
            <w:vAlign w:val="bottom"/>
            <w:hideMark/>
          </w:tcPr>
          <w:p w14:paraId="7EDE6BC1" w14:textId="77777777" w:rsidR="00F20114" w:rsidRPr="00926B35" w:rsidRDefault="00F20114" w:rsidP="00F20114">
            <w:pPr>
              <w:jc w:val="center"/>
              <w:rPr>
                <w:color w:val="000000"/>
                <w:sz w:val="20"/>
                <w:lang w:eastAsia="en-AU"/>
              </w:rPr>
            </w:pPr>
          </w:p>
        </w:tc>
        <w:tc>
          <w:tcPr>
            <w:tcW w:w="960" w:type="dxa"/>
            <w:tcBorders>
              <w:top w:val="nil"/>
              <w:left w:val="nil"/>
              <w:bottom w:val="single" w:sz="4" w:space="0" w:color="auto"/>
              <w:right w:val="single" w:sz="4" w:space="0" w:color="auto"/>
            </w:tcBorders>
            <w:shd w:val="clear" w:color="auto" w:fill="8DB3E2" w:themeFill="text2" w:themeFillTint="66"/>
            <w:noWrap/>
            <w:vAlign w:val="bottom"/>
            <w:hideMark/>
          </w:tcPr>
          <w:p w14:paraId="35D8B630" w14:textId="77777777" w:rsidR="00F20114" w:rsidRPr="00926B35" w:rsidRDefault="00F20114" w:rsidP="00F20114">
            <w:pPr>
              <w:jc w:val="center"/>
              <w:rPr>
                <w:color w:val="000000"/>
                <w:sz w:val="20"/>
                <w:lang w:eastAsia="en-AU"/>
              </w:rPr>
            </w:pPr>
            <w:r w:rsidRPr="00926B35">
              <w:rPr>
                <w:color w:val="000000"/>
                <w:sz w:val="20"/>
                <w:lang w:eastAsia="en-AU"/>
              </w:rPr>
              <w:t>1.253</w:t>
            </w:r>
          </w:p>
        </w:tc>
        <w:tc>
          <w:tcPr>
            <w:tcW w:w="960" w:type="dxa"/>
            <w:tcBorders>
              <w:top w:val="nil"/>
              <w:left w:val="nil"/>
              <w:bottom w:val="single" w:sz="4" w:space="0" w:color="auto"/>
              <w:right w:val="single" w:sz="4" w:space="0" w:color="auto"/>
            </w:tcBorders>
            <w:shd w:val="clear" w:color="auto" w:fill="8DB3E2" w:themeFill="text2" w:themeFillTint="66"/>
            <w:noWrap/>
            <w:vAlign w:val="bottom"/>
            <w:hideMark/>
          </w:tcPr>
          <w:p w14:paraId="55D218A4" w14:textId="77777777" w:rsidR="00F20114" w:rsidRPr="00926B35" w:rsidRDefault="00F20114" w:rsidP="00F20114">
            <w:pPr>
              <w:jc w:val="center"/>
              <w:rPr>
                <w:color w:val="000000"/>
                <w:sz w:val="20"/>
                <w:lang w:eastAsia="en-AU"/>
              </w:rPr>
            </w:pPr>
            <w:r w:rsidRPr="00926B35">
              <w:rPr>
                <w:color w:val="000000"/>
                <w:sz w:val="20"/>
                <w:lang w:eastAsia="en-AU"/>
              </w:rPr>
              <w:t>1.241</w:t>
            </w:r>
          </w:p>
        </w:tc>
        <w:tc>
          <w:tcPr>
            <w:tcW w:w="960" w:type="dxa"/>
            <w:tcBorders>
              <w:top w:val="nil"/>
              <w:left w:val="nil"/>
              <w:bottom w:val="single" w:sz="4" w:space="0" w:color="auto"/>
              <w:right w:val="single" w:sz="4" w:space="0" w:color="auto"/>
            </w:tcBorders>
            <w:shd w:val="clear" w:color="auto" w:fill="auto"/>
            <w:noWrap/>
            <w:vAlign w:val="bottom"/>
            <w:hideMark/>
          </w:tcPr>
          <w:p w14:paraId="7808372C" w14:textId="77777777" w:rsidR="00F20114" w:rsidRPr="00926B35" w:rsidRDefault="00F20114" w:rsidP="00F20114">
            <w:pPr>
              <w:jc w:val="center"/>
              <w:rPr>
                <w:color w:val="000000"/>
                <w:sz w:val="20"/>
                <w:lang w:eastAsia="en-AU"/>
              </w:rPr>
            </w:pPr>
            <w:r w:rsidRPr="00926B35">
              <w:rPr>
                <w:color w:val="000000"/>
                <w:sz w:val="20"/>
                <w:lang w:eastAsia="en-AU"/>
              </w:rPr>
              <w:t>1.256</w:t>
            </w:r>
          </w:p>
        </w:tc>
        <w:tc>
          <w:tcPr>
            <w:tcW w:w="960" w:type="dxa"/>
            <w:tcBorders>
              <w:top w:val="nil"/>
              <w:left w:val="nil"/>
              <w:bottom w:val="single" w:sz="4" w:space="0" w:color="auto"/>
              <w:right w:val="single" w:sz="4" w:space="0" w:color="auto"/>
            </w:tcBorders>
            <w:shd w:val="clear" w:color="auto" w:fill="auto"/>
            <w:noWrap/>
            <w:vAlign w:val="bottom"/>
            <w:hideMark/>
          </w:tcPr>
          <w:p w14:paraId="6E398CE4" w14:textId="77777777" w:rsidR="00F20114" w:rsidRPr="00926B35" w:rsidRDefault="00F20114" w:rsidP="00F20114">
            <w:pPr>
              <w:jc w:val="center"/>
              <w:rPr>
                <w:color w:val="000000"/>
                <w:sz w:val="20"/>
                <w:lang w:eastAsia="en-AU"/>
              </w:rPr>
            </w:pPr>
            <w:r w:rsidRPr="00926B35">
              <w:rPr>
                <w:color w:val="000000"/>
                <w:sz w:val="20"/>
                <w:lang w:eastAsia="en-AU"/>
              </w:rPr>
              <w:t>1.243</w:t>
            </w:r>
          </w:p>
        </w:tc>
        <w:tc>
          <w:tcPr>
            <w:tcW w:w="960" w:type="dxa"/>
            <w:tcBorders>
              <w:top w:val="nil"/>
              <w:left w:val="nil"/>
              <w:bottom w:val="single" w:sz="4" w:space="0" w:color="auto"/>
              <w:right w:val="single" w:sz="4" w:space="0" w:color="auto"/>
            </w:tcBorders>
            <w:shd w:val="clear" w:color="auto" w:fill="auto"/>
            <w:noWrap/>
            <w:vAlign w:val="bottom"/>
            <w:hideMark/>
          </w:tcPr>
          <w:p w14:paraId="30DEF50D" w14:textId="77777777" w:rsidR="00F20114" w:rsidRPr="00926B35" w:rsidRDefault="00F20114" w:rsidP="00F20114">
            <w:pPr>
              <w:jc w:val="center"/>
              <w:rPr>
                <w:color w:val="000000"/>
                <w:sz w:val="20"/>
                <w:lang w:eastAsia="en-AU"/>
              </w:rPr>
            </w:pPr>
            <w:r w:rsidRPr="00926B35">
              <w:rPr>
                <w:color w:val="000000"/>
                <w:sz w:val="20"/>
                <w:lang w:eastAsia="en-AU"/>
              </w:rPr>
              <w:t>1.251</w:t>
            </w:r>
          </w:p>
        </w:tc>
        <w:tc>
          <w:tcPr>
            <w:tcW w:w="960" w:type="dxa"/>
            <w:tcBorders>
              <w:top w:val="nil"/>
              <w:left w:val="nil"/>
              <w:bottom w:val="single" w:sz="4" w:space="0" w:color="auto"/>
              <w:right w:val="single" w:sz="4" w:space="0" w:color="auto"/>
            </w:tcBorders>
            <w:shd w:val="clear" w:color="auto" w:fill="auto"/>
            <w:noWrap/>
            <w:vAlign w:val="bottom"/>
            <w:hideMark/>
          </w:tcPr>
          <w:p w14:paraId="746BAEB0" w14:textId="77777777" w:rsidR="00F20114" w:rsidRPr="00926B35" w:rsidRDefault="00F20114" w:rsidP="00F20114">
            <w:pPr>
              <w:jc w:val="center"/>
              <w:rPr>
                <w:color w:val="000000"/>
                <w:sz w:val="20"/>
                <w:lang w:eastAsia="en-AU"/>
              </w:rPr>
            </w:pPr>
            <w:r w:rsidRPr="00926B35">
              <w:rPr>
                <w:color w:val="000000"/>
                <w:sz w:val="20"/>
                <w:lang w:eastAsia="en-AU"/>
              </w:rPr>
              <w:t>1.238</w:t>
            </w:r>
          </w:p>
        </w:tc>
      </w:tr>
    </w:tbl>
    <w:p w14:paraId="0A59D7FD" w14:textId="77777777" w:rsidR="00F20114" w:rsidRDefault="00F20114" w:rsidP="00F20114">
      <w:pPr>
        <w:rPr>
          <w:sz w:val="18"/>
          <w:szCs w:val="18"/>
        </w:rPr>
      </w:pPr>
    </w:p>
    <w:p w14:paraId="33BFABE0" w14:textId="20D235E4" w:rsidR="00F20114" w:rsidRDefault="00F20114" w:rsidP="00F20114">
      <w:r w:rsidRPr="00AE5B74">
        <w:t>The analysis shows, at least from the ESC’s position a serendipitous correlation between actu</w:t>
      </w:r>
      <w:r w:rsidR="005A40AE">
        <w:t>al and budget effects over the eight</w:t>
      </w:r>
      <w:r w:rsidRPr="00AE5B74">
        <w:t xml:space="preserve"> year period reviewed</w:t>
      </w:r>
      <w:r>
        <w:t xml:space="preserve">.  </w:t>
      </w:r>
      <w:r w:rsidRPr="00AE5B74">
        <w:t>A c</w:t>
      </w:r>
      <w:r>
        <w:t xml:space="preserve">umulative </w:t>
      </w:r>
      <w:r>
        <w:lastRenderedPageBreak/>
        <w:t>difference of only 0.3</w:t>
      </w:r>
      <w:r w:rsidRPr="00AE5B74">
        <w:t>% in capped revenue is found</w:t>
      </w:r>
      <w:r>
        <w:t>.</w:t>
      </w:r>
      <w:r w:rsidRPr="00AE5B74">
        <w:t xml:space="preserve"> </w:t>
      </w:r>
      <w:r>
        <w:t xml:space="preserve">However, in specific years and over shorter periods the differences can be more significant. For example, in 2007-08 there is a difference of 0.6% between the cap based on actual and updated budget and over the four years from 2007-08 through 2010-11 the cumulative difference in the cap is 1%.  Economic forecasting can be subject to considerable error and there is no guarantee that any differences between forecast and actuals will offset over time, moreover the principle that a rates cap reflects costs fairly not only in magnitude, but also with respect to timing, should be respected. For this reason the ESC should include measures to ensure material differences between the two are addressed through adjustment factors. </w:t>
      </w:r>
    </w:p>
    <w:p w14:paraId="5B31753C" w14:textId="77777777" w:rsidR="00F20114" w:rsidRDefault="00F20114" w:rsidP="00F20114"/>
    <w:p w14:paraId="136B55DE" w14:textId="77777777" w:rsidR="00F20114" w:rsidRDefault="00F20114" w:rsidP="00BA1A30">
      <w:pPr>
        <w:pStyle w:val="Heading3"/>
      </w:pPr>
      <w:r w:rsidRPr="00856722">
        <w:t>Efficiency Factors</w:t>
      </w:r>
    </w:p>
    <w:p w14:paraId="17C9DBAD" w14:textId="77777777" w:rsidR="00BA1A30" w:rsidRPr="00BA1A30" w:rsidRDefault="00BA1A30" w:rsidP="00BA1A30"/>
    <w:p w14:paraId="35FD2DE7" w14:textId="77777777" w:rsidR="00F20114" w:rsidRDefault="00F20114" w:rsidP="00F20114">
      <w:r>
        <w:t xml:space="preserve">The Framework discounts the product of weighted WPI and CPI for an </w:t>
      </w:r>
      <w:r w:rsidRPr="00D10FD9">
        <w:rPr>
          <w:i/>
        </w:rPr>
        <w:t>efficiency factor</w:t>
      </w:r>
      <w:r>
        <w:t xml:space="preserve"> in order to “address the cost of living pressures faced by ratepayers”. </w:t>
      </w:r>
    </w:p>
    <w:p w14:paraId="4CD6B748" w14:textId="77777777" w:rsidR="00BA1A30" w:rsidRPr="00E12540" w:rsidRDefault="00BA1A30" w:rsidP="00F20114"/>
    <w:p w14:paraId="6442201E" w14:textId="77777777" w:rsidR="00F20114" w:rsidRDefault="00F20114" w:rsidP="00F20114">
      <w:r>
        <w:t xml:space="preserve">The proposed cap does not include any allowance for salary progression and structural changes in labour requirements. Materials and contracts, by far the bulk of </w:t>
      </w:r>
      <w:r w:rsidRPr="00D10FD9">
        <w:rPr>
          <w:i/>
        </w:rPr>
        <w:t>other costs</w:t>
      </w:r>
      <w:r>
        <w:t xml:space="preserve">, are sourced from the wider market and have already been subjected to market forces. In addition, the use of WPI as a measure of wage growth implicitly acts as a productivity measure by removing the effect of increments and compositional shifts in councils’ labour forces. The application of an efficiency factor is therefore considered inappropriate. </w:t>
      </w:r>
    </w:p>
    <w:p w14:paraId="57D70C5E" w14:textId="77777777" w:rsidR="00BA1A30" w:rsidRDefault="00BA1A30" w:rsidP="00F20114"/>
    <w:p w14:paraId="70025A72" w14:textId="77777777" w:rsidR="00F20114" w:rsidRDefault="00F20114" w:rsidP="00F20114">
      <w:r>
        <w:t xml:space="preserve">The assumption that efficiency gains can be made </w:t>
      </w:r>
      <w:r w:rsidRPr="00BE0A0B">
        <w:rPr>
          <w:i/>
        </w:rPr>
        <w:t>ad infinitum</w:t>
      </w:r>
      <w:r>
        <w:t xml:space="preserve"> without impacting service effectiveness takes no account of current levels of council productivity.</w:t>
      </w:r>
    </w:p>
    <w:p w14:paraId="2554C1A0" w14:textId="77777777" w:rsidR="00F20114" w:rsidRDefault="00F20114" w:rsidP="00F20114">
      <w:pPr>
        <w:rPr>
          <w:b/>
        </w:rPr>
      </w:pPr>
    </w:p>
    <w:p w14:paraId="3F94D47E" w14:textId="77777777" w:rsidR="00F20114" w:rsidRDefault="00F20114" w:rsidP="00BA1A30">
      <w:pPr>
        <w:pStyle w:val="Heading3"/>
      </w:pPr>
      <w:r>
        <w:t>Capping of individual properties</w:t>
      </w:r>
    </w:p>
    <w:p w14:paraId="4BA8B68C" w14:textId="77777777" w:rsidR="00BA1A30" w:rsidRDefault="00BA1A30" w:rsidP="00F20114">
      <w:pPr>
        <w:rPr>
          <w:b/>
        </w:rPr>
      </w:pPr>
    </w:p>
    <w:p w14:paraId="226FEB5C" w14:textId="77777777" w:rsidR="00F20114" w:rsidRDefault="00F20114" w:rsidP="00F20114">
      <w:r>
        <w:t>The draft paper contemplates restraining movements in the rates of individual ratepayers, but ultimately decides against this proposal on the basis of technical barriers and potentially hig</w:t>
      </w:r>
      <w:r w:rsidR="00BA1A30">
        <w:t xml:space="preserve">h costs. While the MAV concurs </w:t>
      </w:r>
      <w:r>
        <w:t>that individual ratepayers’ movements should not be subjected to a cap the ESC clearly misses the compelling rationale – that the distribution of rates burden between ratepayers shou</w:t>
      </w:r>
      <w:r w:rsidR="00BA1A30">
        <w:t>ld be the province of councils</w:t>
      </w:r>
      <w:r>
        <w:t xml:space="preserve"> and their view of rating equity. Rate levels should be determined by valuations and council rating strategies – inclusive of municipal charge decisions, differential rating categories and waste management charges – not through an arbitrary application of a cap at an individual ratepayer level. Such a move will introduce horizontal equity issues and reduce the efficiency of council rates. The MAV seeks the ESC’s agreement that the proposal should not be pursued on principled grounds – not solely due to technical constraints. </w:t>
      </w:r>
    </w:p>
    <w:p w14:paraId="37D3016F" w14:textId="0AD3958E" w:rsidR="003871EE" w:rsidRDefault="003871EE" w:rsidP="00F20114"/>
    <w:p w14:paraId="65EE8790" w14:textId="4BB23762" w:rsidR="003871EE" w:rsidRDefault="003871EE" w:rsidP="00CC235C">
      <w:pPr>
        <w:pStyle w:val="Heading3"/>
      </w:pPr>
      <w:r>
        <w:t>Representativeness of the base</w:t>
      </w:r>
    </w:p>
    <w:p w14:paraId="37743D8D" w14:textId="77777777" w:rsidR="003871EE" w:rsidRDefault="003871EE" w:rsidP="003871EE">
      <w:pPr>
        <w:rPr>
          <w:rFonts w:cs="Arial"/>
          <w:szCs w:val="22"/>
        </w:rPr>
      </w:pPr>
    </w:p>
    <w:p w14:paraId="016A2890" w14:textId="5D4BEAAA" w:rsidR="003871EE" w:rsidRDefault="003871EE" w:rsidP="003871EE">
      <w:pPr>
        <w:rPr>
          <w:rFonts w:cs="Arial"/>
          <w:szCs w:val="22"/>
        </w:rPr>
      </w:pPr>
      <w:r>
        <w:rPr>
          <w:rFonts w:cs="Arial"/>
          <w:szCs w:val="22"/>
        </w:rPr>
        <w:t xml:space="preserve">The MAV believes some analysis should be completed to determine whether the 2015-16 year is representative </w:t>
      </w:r>
      <w:r w:rsidR="008405D9">
        <w:rPr>
          <w:rFonts w:cs="Arial"/>
          <w:szCs w:val="22"/>
        </w:rPr>
        <w:t xml:space="preserve">and is appropriate to act as the base year for rate increase calculations. </w:t>
      </w:r>
      <w:r>
        <w:rPr>
          <w:rFonts w:cs="Arial"/>
          <w:szCs w:val="22"/>
        </w:rPr>
        <w:t xml:space="preserve"> </w:t>
      </w:r>
    </w:p>
    <w:p w14:paraId="0F037E4D" w14:textId="77777777" w:rsidR="003871EE" w:rsidRDefault="003871EE" w:rsidP="003871EE"/>
    <w:p w14:paraId="5DED1F4A" w14:textId="77777777" w:rsidR="003871EE" w:rsidRPr="003871EE" w:rsidRDefault="003871EE"/>
    <w:p w14:paraId="3AA4DB60" w14:textId="77777777" w:rsidR="00F20114" w:rsidRDefault="00F20114" w:rsidP="00F20114">
      <w:pPr>
        <w:rPr>
          <w:b/>
        </w:rPr>
      </w:pPr>
      <w:r>
        <w:rPr>
          <w:b/>
        </w:rPr>
        <w:br w:type="page"/>
      </w:r>
    </w:p>
    <w:p w14:paraId="6180B921" w14:textId="77777777" w:rsidR="00F20114" w:rsidRDefault="00F20114" w:rsidP="00BA1A30">
      <w:pPr>
        <w:pStyle w:val="Heading2"/>
      </w:pPr>
      <w:bookmarkStart w:id="14" w:name="_Toc428541059"/>
      <w:r>
        <w:lastRenderedPageBreak/>
        <w:t>Impacts on Councils Heavily Dependent on External Source Revenues</w:t>
      </w:r>
      <w:bookmarkEnd w:id="14"/>
    </w:p>
    <w:p w14:paraId="224B1D3A" w14:textId="77777777" w:rsidR="00BA1A30" w:rsidRPr="00BA1A30" w:rsidRDefault="00BA1A30" w:rsidP="00BA1A30"/>
    <w:p w14:paraId="36AD05AD" w14:textId="1BAA252B" w:rsidR="00F20114" w:rsidRDefault="00F20114" w:rsidP="00F20114">
      <w:pPr>
        <w:rPr>
          <w:b/>
        </w:rPr>
      </w:pPr>
      <w:r>
        <w:t>Rate capping</w:t>
      </w:r>
      <w:r w:rsidRPr="004E65CC">
        <w:t xml:space="preserve"> will </w:t>
      </w:r>
      <w:r>
        <w:t xml:space="preserve">make it difficult for </w:t>
      </w:r>
      <w:r w:rsidRPr="004E65CC">
        <w:t xml:space="preserve">smaller councils </w:t>
      </w:r>
      <w:r>
        <w:t xml:space="preserve">impacted by </w:t>
      </w:r>
      <w:r w:rsidRPr="004E65CC">
        <w:t xml:space="preserve">real </w:t>
      </w:r>
      <w:r>
        <w:t xml:space="preserve">reductions </w:t>
      </w:r>
      <w:r w:rsidRPr="004E65CC">
        <w:t xml:space="preserve">in external </w:t>
      </w:r>
      <w:r>
        <w:t>revenue sources, in particular Financial Assistance Grants</w:t>
      </w:r>
      <w:r w:rsidR="006F56C7">
        <w:t xml:space="preserve"> (FAGs)</w:t>
      </w:r>
      <w:r>
        <w:t>.</w:t>
      </w:r>
      <w:r w:rsidRPr="004E65CC">
        <w:t xml:space="preserve"> </w:t>
      </w:r>
      <w:r>
        <w:t xml:space="preserve"> As these revenue sources reflect a significantly larger share of the total revenues of smaller councils, any proportionate reduction will represent a larger proportion of their rate collections. </w:t>
      </w:r>
      <w:r w:rsidR="00943961">
        <w:t>A 1% real reduction in FAGs</w:t>
      </w:r>
      <w:r w:rsidR="00E117D9">
        <w:t xml:space="preserve"> is equal to as little as 0.013</w:t>
      </w:r>
      <w:r w:rsidR="00943961">
        <w:t xml:space="preserve">% (0.025% excluding City of Melbourne) and </w:t>
      </w:r>
      <w:r w:rsidR="00FF6776">
        <w:t xml:space="preserve">as </w:t>
      </w:r>
      <w:r w:rsidR="00943961">
        <w:t>much as 0.974% of rate revenue</w:t>
      </w:r>
      <w:r>
        <w:t>.</w:t>
      </w:r>
    </w:p>
    <w:p w14:paraId="26BF7BE4" w14:textId="77777777" w:rsidR="00F20114" w:rsidRDefault="00F20114" w:rsidP="00F20114">
      <w:pPr>
        <w:rPr>
          <w:b/>
        </w:rPr>
      </w:pPr>
    </w:p>
    <w:p w14:paraId="1B009C98" w14:textId="77777777" w:rsidR="00F20114" w:rsidRDefault="00F20114" w:rsidP="00F20114">
      <w:pPr>
        <w:rPr>
          <w:b/>
        </w:rPr>
      </w:pPr>
    </w:p>
    <w:p w14:paraId="018420A1" w14:textId="4DEBDD60" w:rsidR="00F20114" w:rsidRDefault="00E117D9" w:rsidP="00BA1A30">
      <w:pPr>
        <w:pStyle w:val="Heading1"/>
      </w:pPr>
      <w:bookmarkStart w:id="15" w:name="_Toc428541060"/>
      <w:r>
        <w:t>Variations and</w:t>
      </w:r>
      <w:r w:rsidR="00F20114">
        <w:t xml:space="preserve"> Burden of Proof</w:t>
      </w:r>
      <w:bookmarkEnd w:id="15"/>
    </w:p>
    <w:p w14:paraId="44E476D0" w14:textId="77777777" w:rsidR="00BA1A30" w:rsidRPr="00BA1A30" w:rsidRDefault="00BA1A30" w:rsidP="00BA1A30"/>
    <w:p w14:paraId="0BAED77E" w14:textId="72DC6117" w:rsidR="00F20114" w:rsidRDefault="00F20114" w:rsidP="00F20114">
      <w:r w:rsidRPr="0055362A">
        <w:t xml:space="preserve">The </w:t>
      </w:r>
      <w:r>
        <w:t>construction of the cap will require a large number of councils to seek variations in order to maintain service levels and deal with</w:t>
      </w:r>
      <w:r w:rsidR="00FF6776">
        <w:t xml:space="preserve"> the issue of capital renewal. </w:t>
      </w:r>
      <w:r>
        <w:t>T</w:t>
      </w:r>
      <w:r w:rsidRPr="000D571E">
        <w:t xml:space="preserve">he extensive requirements in arguing the case for a variation </w:t>
      </w:r>
      <w:r>
        <w:t>are considered likely to</w:t>
      </w:r>
      <w:r w:rsidRPr="000D571E">
        <w:t xml:space="preserve"> dissuade </w:t>
      </w:r>
      <w:r>
        <w:t xml:space="preserve">smaller less-resourced councils from the variation process. </w:t>
      </w:r>
    </w:p>
    <w:p w14:paraId="4D8DB81E" w14:textId="77777777" w:rsidR="00F20114" w:rsidRDefault="00F20114" w:rsidP="00F20114">
      <w:pPr>
        <w:rPr>
          <w:b/>
        </w:rPr>
      </w:pPr>
    </w:p>
    <w:p w14:paraId="50DD2B58" w14:textId="77777777" w:rsidR="00F20114" w:rsidRDefault="00F20114" w:rsidP="00BA1A30">
      <w:pPr>
        <w:pStyle w:val="Heading2"/>
      </w:pPr>
      <w:bookmarkStart w:id="16" w:name="_Toc428541061"/>
      <w:r>
        <w:t>Factors to be taken into Account by Councils</w:t>
      </w:r>
      <w:bookmarkEnd w:id="16"/>
    </w:p>
    <w:p w14:paraId="4FD49DA5" w14:textId="77777777" w:rsidR="00BA1A30" w:rsidRPr="00BA1A30" w:rsidRDefault="00BA1A30" w:rsidP="00BA1A30"/>
    <w:p w14:paraId="2AB09224" w14:textId="77777777" w:rsidR="00F20114" w:rsidRDefault="00F20114" w:rsidP="00F20114">
      <w:r>
        <w:t xml:space="preserve">A successful request for a variation will be determined entirely by the ESC but despite all the narrative, it is difficult to visualise the level and depth of the case required to be demonstrated by councils.  </w:t>
      </w:r>
    </w:p>
    <w:p w14:paraId="52E348B1" w14:textId="77777777" w:rsidR="00BA1A30" w:rsidRDefault="00BA1A30" w:rsidP="00F20114"/>
    <w:p w14:paraId="7468916E" w14:textId="77777777" w:rsidR="00F20114" w:rsidRDefault="00F20114" w:rsidP="00F20114">
      <w:r>
        <w:t xml:space="preserve">On any objective reading of the Framework document, the requirements being suggested for success point to a huge task and include councils: </w:t>
      </w:r>
    </w:p>
    <w:p w14:paraId="6AA00EB6" w14:textId="77777777" w:rsidR="00BA1A30" w:rsidRDefault="00BA1A30" w:rsidP="00F20114"/>
    <w:p w14:paraId="19614F96" w14:textId="77777777" w:rsidR="00F20114" w:rsidRDefault="00F20114" w:rsidP="00E117D9">
      <w:pPr>
        <w:pStyle w:val="ListParagraph"/>
        <w:numPr>
          <w:ilvl w:val="0"/>
          <w:numId w:val="4"/>
        </w:numPr>
        <w:spacing w:line="240" w:lineRule="auto"/>
        <w:ind w:left="714" w:hanging="357"/>
      </w:pPr>
      <w:r>
        <w:t>taking account of ratepayers views including the presentation of other realistic options;</w:t>
      </w:r>
    </w:p>
    <w:p w14:paraId="4536DD72" w14:textId="77777777" w:rsidR="00F20114" w:rsidRDefault="00F20114" w:rsidP="00E117D9">
      <w:pPr>
        <w:pStyle w:val="ListParagraph"/>
        <w:numPr>
          <w:ilvl w:val="0"/>
          <w:numId w:val="4"/>
        </w:numPr>
        <w:spacing w:line="240" w:lineRule="auto"/>
        <w:ind w:left="714" w:hanging="357"/>
      </w:pPr>
      <w:r>
        <w:t>proving that the variation will provide good value for money, including business cases and cost benefit analyses;</w:t>
      </w:r>
    </w:p>
    <w:p w14:paraId="64DA41D8" w14:textId="77777777" w:rsidR="00F20114" w:rsidRDefault="00F20114" w:rsidP="00E117D9">
      <w:pPr>
        <w:pStyle w:val="ListParagraph"/>
        <w:numPr>
          <w:ilvl w:val="0"/>
          <w:numId w:val="4"/>
        </w:numPr>
        <w:spacing w:line="240" w:lineRule="auto"/>
        <w:ind w:left="714" w:hanging="357"/>
      </w:pPr>
      <w:r>
        <w:t xml:space="preserve">showing service priorities and funding options have been considered including possible reprioritisation of expenditures and financing options; </w:t>
      </w:r>
    </w:p>
    <w:p w14:paraId="241CD6BC" w14:textId="77777777" w:rsidR="00F20114" w:rsidRDefault="00F20114" w:rsidP="00E117D9">
      <w:pPr>
        <w:pStyle w:val="ListParagraph"/>
        <w:numPr>
          <w:ilvl w:val="0"/>
          <w:numId w:val="4"/>
        </w:numPr>
        <w:spacing w:line="240" w:lineRule="auto"/>
        <w:ind w:left="714" w:hanging="357"/>
      </w:pPr>
      <w:r>
        <w:t xml:space="preserve">considering all other revenue-raising opportunities; and </w:t>
      </w:r>
    </w:p>
    <w:p w14:paraId="0166A6EB" w14:textId="77777777" w:rsidR="00F20114" w:rsidRDefault="00F20114" w:rsidP="00E117D9">
      <w:pPr>
        <w:pStyle w:val="ListParagraph"/>
        <w:numPr>
          <w:ilvl w:val="0"/>
          <w:numId w:val="4"/>
        </w:numPr>
        <w:spacing w:line="240" w:lineRule="auto"/>
        <w:ind w:left="714" w:hanging="357"/>
      </w:pPr>
      <w:r>
        <w:t>demonstrating consistency with councils’ long term financial strategies.</w:t>
      </w:r>
    </w:p>
    <w:p w14:paraId="5A1E36D3" w14:textId="77777777" w:rsidR="00F20114" w:rsidRDefault="00F20114" w:rsidP="00F20114">
      <w:r>
        <w:t xml:space="preserve">It is easy to </w:t>
      </w:r>
      <w:r w:rsidRPr="00F81C9C">
        <w:t xml:space="preserve">suggest </w:t>
      </w:r>
      <w:r>
        <w:t xml:space="preserve">the development of business cases and cost-benefit analyses (incorporating various re-prioritisation and financing options) without fully appreciating the expertise, time and resources required to do this work. </w:t>
      </w:r>
    </w:p>
    <w:p w14:paraId="542A11FF" w14:textId="77777777" w:rsidR="00BA1A30" w:rsidRDefault="00BA1A30" w:rsidP="00F20114"/>
    <w:p w14:paraId="6D0144AB" w14:textId="0B859975" w:rsidR="00F20114" w:rsidRDefault="00F20114" w:rsidP="00F20114">
      <w:r>
        <w:t xml:space="preserve">In response to concerns about smaller councils’ ability to be successful in the variation process, the ESC indicated that the burden of proof that will need to be met may differ depending on the type of council involved. This raises concerns about the objectivity of the process and the need to clearly indicate the task involved.  </w:t>
      </w:r>
    </w:p>
    <w:p w14:paraId="64B43693" w14:textId="77777777" w:rsidR="00BA1A30" w:rsidRDefault="00BA1A30" w:rsidP="00F20114"/>
    <w:p w14:paraId="709E992A" w14:textId="77777777" w:rsidR="00F20114" w:rsidRDefault="00F20114" w:rsidP="00F20114">
      <w:r>
        <w:t xml:space="preserve">Despite noting the different capabilities of councils, the ESC maintains that the specific material submitted is up to councils to determine. A suggestion that it would be instructive for the ESC to provide some fictional case-studies showing how well-credentialed submissions for variation would look, in particular encompassing the first three items above, was not considered necessary when raised with the ESC. </w:t>
      </w:r>
    </w:p>
    <w:p w14:paraId="0F66D274" w14:textId="77777777" w:rsidR="00BA1A30" w:rsidRDefault="00BA1A30" w:rsidP="00F20114"/>
    <w:p w14:paraId="76A458B8" w14:textId="77777777" w:rsidR="00F20114" w:rsidRDefault="00F20114" w:rsidP="00F20114">
      <w:r>
        <w:t xml:space="preserve">Councils should not feel pressured to take on additional risk in the form of less effective but lower cost suppliers/contractors in order to be successful in obtaining a variation (The ESC states councils should “Gather material that can demonstrate that </w:t>
      </w:r>
      <w:r>
        <w:lastRenderedPageBreak/>
        <w:t xml:space="preserve">the variation application is funding items that are fit for purpose and </w:t>
      </w:r>
      <w:r w:rsidRPr="00AB2D15">
        <w:rPr>
          <w:i/>
        </w:rPr>
        <w:t>the lowest cost for the selected level of service</w:t>
      </w:r>
      <w:r>
        <w:t xml:space="preserve">”). It is also worth noting that simply accepting the lowest cost suppliers/contractors could breach the Best Value principles in the </w:t>
      </w:r>
      <w:r w:rsidRPr="000309C2">
        <w:rPr>
          <w:i/>
        </w:rPr>
        <w:t>Local Government Act 1989</w:t>
      </w:r>
      <w:r>
        <w:t>.</w:t>
      </w:r>
    </w:p>
    <w:p w14:paraId="19EC8DF9" w14:textId="77777777" w:rsidR="00BA1A30" w:rsidRDefault="00BA1A30" w:rsidP="00F20114"/>
    <w:p w14:paraId="230F37FD" w14:textId="77777777" w:rsidR="00F20114" w:rsidRDefault="00F20114" w:rsidP="00F20114">
      <w:r>
        <w:t>There are questions regarding sources, sometimes conflicted, on which the ESC will rely to form opinions about efficiency and need e.g. levels of cost-shifting and renewal gap. Relevant data are disputed by responsible State Government agencies and there are inherent problems expected with the LGPRF.</w:t>
      </w:r>
    </w:p>
    <w:p w14:paraId="19E3B709" w14:textId="77777777" w:rsidR="00BA1A30" w:rsidRDefault="00BA1A30" w:rsidP="00F20114"/>
    <w:p w14:paraId="4FF18ABE" w14:textId="47F4F168" w:rsidR="00F20114" w:rsidRDefault="00F20114" w:rsidP="00F20114">
      <w:r>
        <w:t xml:space="preserve">The Framework is strong on the need for community consultation and involvement however councils are generally on a “hiding to nothing” when this relates to rates.  As shown with experience with rating strategies vocal minorities’ views often disproportionately influence the process and State assessments of whether consultation processes are adequate are often </w:t>
      </w:r>
      <w:r w:rsidRPr="00F81C9C">
        <w:t>seen</w:t>
      </w:r>
      <w:r>
        <w:t xml:space="preserve"> through the prism of these minorities rather than the community as a whole. State </w:t>
      </w:r>
      <w:r w:rsidR="00FF6776">
        <w:t>G</w:t>
      </w:r>
      <w:r>
        <w:t xml:space="preserve">overnment is generally never prescriptive in this area which leaves it plenty of room to be critical about consultation. The ESC states that “following on from discussions with councils” that it is “confident that councils with well-established processes for strategic planning and community consultation will not find these requirements unduly onerous”.  Community consultation requirements are likely to be influenced heavily by the complexity of business cases, cost-benefit analyses and various options involved in a variation. </w:t>
      </w:r>
    </w:p>
    <w:p w14:paraId="714DED06" w14:textId="5F96AF1F" w:rsidR="00943961" w:rsidRDefault="00943961" w:rsidP="00F20114"/>
    <w:p w14:paraId="68796DEB" w14:textId="6D830C8D" w:rsidR="00943961" w:rsidRDefault="00943961" w:rsidP="00F20114">
      <w:r>
        <w:t xml:space="preserve">The ESC may also wish to give some consideration to the consequences of state and local government partnership obligations, which can often impose significant and ongoing costs on councils.  </w:t>
      </w:r>
      <w:r>
        <w:rPr>
          <w:rFonts w:cs="Arial"/>
        </w:rPr>
        <w:t xml:space="preserve">There are many areas in community services alone which by tradition or formal agreement, councils provide significant supporting funding to the benefit of the community. The continued involvement and investment by councils </w:t>
      </w:r>
      <w:r w:rsidR="00D81674">
        <w:rPr>
          <w:rFonts w:cs="Arial"/>
        </w:rPr>
        <w:t>in a range of</w:t>
      </w:r>
      <w:r>
        <w:rPr>
          <w:rFonts w:cs="Arial"/>
        </w:rPr>
        <w:t xml:space="preserve"> services at the same level is based </w:t>
      </w:r>
      <w:r w:rsidR="00E63CAC">
        <w:rPr>
          <w:rFonts w:cs="Arial"/>
        </w:rPr>
        <w:t xml:space="preserve">on </w:t>
      </w:r>
      <w:r>
        <w:rPr>
          <w:rFonts w:cs="Arial"/>
        </w:rPr>
        <w:t xml:space="preserve">‘goodwill’ and </w:t>
      </w:r>
      <w:r w:rsidR="00E63CAC">
        <w:rPr>
          <w:rFonts w:cs="Arial"/>
        </w:rPr>
        <w:t xml:space="preserve">a </w:t>
      </w:r>
      <w:r>
        <w:rPr>
          <w:rFonts w:cs="Arial"/>
        </w:rPr>
        <w:t>mutually agreed partnership which needs to be recognised by the State.</w:t>
      </w:r>
      <w:r>
        <w:t xml:space="preserve"> The MAV believes that the framework should recognise these partnerships within the framework’s architecture. </w:t>
      </w:r>
    </w:p>
    <w:p w14:paraId="006476E4" w14:textId="77777777" w:rsidR="00BA1A30" w:rsidRDefault="00BA1A30" w:rsidP="00F20114"/>
    <w:p w14:paraId="2931B078" w14:textId="77777777" w:rsidR="00F20114" w:rsidRDefault="00F20114" w:rsidP="00BA1A30">
      <w:pPr>
        <w:pStyle w:val="Heading3"/>
      </w:pPr>
      <w:r w:rsidRPr="000309C2">
        <w:t>Legal basis for ESC decisions</w:t>
      </w:r>
    </w:p>
    <w:p w14:paraId="724BA271" w14:textId="77777777" w:rsidR="00BA1A30" w:rsidRPr="00BA1A30" w:rsidRDefault="00BA1A30" w:rsidP="00BA1A30"/>
    <w:p w14:paraId="5AA3AFC7" w14:textId="67FE2DB9" w:rsidR="00F20114" w:rsidRDefault="00F20114" w:rsidP="00F20114">
      <w:r>
        <w:t xml:space="preserve">The MAV has been advised by ESC that it intends to recommend that its decisions will not be subject to a merits judicial review but will be subject to administrative law. The Association seeks the confirmation from ESC that this understanding is correct. Assuming this is correct, the MAV wishes to better understand the relevant and irrelevant factors that will inform the ESC’s decision making. </w:t>
      </w:r>
    </w:p>
    <w:p w14:paraId="549B4054" w14:textId="77777777" w:rsidR="00BA1A30" w:rsidRDefault="00BA1A30" w:rsidP="00F20114"/>
    <w:p w14:paraId="62FFCAF4" w14:textId="77777777" w:rsidR="00F20114" w:rsidRDefault="00F20114" w:rsidP="00BA1A30">
      <w:pPr>
        <w:pStyle w:val="Heading2"/>
      </w:pPr>
      <w:bookmarkStart w:id="17" w:name="_Toc428541062"/>
      <w:r>
        <w:t>Council Need for Variations</w:t>
      </w:r>
      <w:bookmarkEnd w:id="17"/>
    </w:p>
    <w:p w14:paraId="0A19D6D3" w14:textId="77777777" w:rsidR="00BA1A30" w:rsidRPr="00BA1A30" w:rsidRDefault="00BA1A30" w:rsidP="00BA1A30"/>
    <w:p w14:paraId="1C530A83" w14:textId="77777777" w:rsidR="00F20114" w:rsidRDefault="00F20114" w:rsidP="00F20114">
      <w:r>
        <w:t xml:space="preserve">Any discouragement of councils submitting </w:t>
      </w:r>
      <w:r w:rsidRPr="00AD284C">
        <w:t>request</w:t>
      </w:r>
      <w:r>
        <w:t>s</w:t>
      </w:r>
      <w:r w:rsidRPr="00AD284C">
        <w:t xml:space="preserve"> for variation</w:t>
      </w:r>
      <w:r>
        <w:t xml:space="preserve"> is considered risky to their longer term sustainability, particularly given that a</w:t>
      </w:r>
      <w:r w:rsidRPr="00AD284C">
        <w:t xml:space="preserve"> majority of councils </w:t>
      </w:r>
      <w:r>
        <w:t xml:space="preserve">will have a need to do this. </w:t>
      </w:r>
    </w:p>
    <w:p w14:paraId="38C6FD5C" w14:textId="77777777" w:rsidR="00BA1A30" w:rsidRDefault="00BA1A30" w:rsidP="00F20114"/>
    <w:p w14:paraId="44F28DFC" w14:textId="77777777" w:rsidR="00F20114" w:rsidRDefault="00F20114" w:rsidP="00F20114">
      <w:r>
        <w:t>There will be a need to submit variations to deal with the issue of population changes generally, and mismatches between population and assessment growth. The impact of councils’ renewal spending shortfalls will also be a significant issue.</w:t>
      </w:r>
    </w:p>
    <w:p w14:paraId="283DD50A" w14:textId="77777777" w:rsidR="00BA1A30" w:rsidRDefault="00BA1A30" w:rsidP="00F20114"/>
    <w:p w14:paraId="6722A7F6" w14:textId="77777777" w:rsidR="00F20114" w:rsidRDefault="00F20114" w:rsidP="00F20114">
      <w:r>
        <w:lastRenderedPageBreak/>
        <w:t>Data concerning councils’ renewal gaps is generally considered patchy.  The latest comprehensive data provided as part of the STEP Program is dated 2011-12</w:t>
      </w:r>
      <w:r>
        <w:rPr>
          <w:rStyle w:val="FootnoteReference"/>
        </w:rPr>
        <w:footnoteReference w:id="5"/>
      </w:r>
      <w:r>
        <w:t xml:space="preserve">.  Modelling of this data against rate levels indicates that, in a substantial number of councils, rates capping will have the effect of limiting renewal spending to levels well below that required. </w:t>
      </w:r>
    </w:p>
    <w:p w14:paraId="37928593" w14:textId="77777777" w:rsidR="00BA1A30" w:rsidRDefault="00BA1A30" w:rsidP="00F20114"/>
    <w:p w14:paraId="0B1B1FE3" w14:textId="77777777" w:rsidR="00F20114" w:rsidRDefault="00F20114" w:rsidP="00F20114">
      <w:r>
        <w:t>The table below sets out the renewal shortfall (measured at the end of 2011-12 in terms of the current year and five year average annual renewal demand gap) as a proportion of rates revenue.</w:t>
      </w:r>
      <w:r w:rsidRPr="00696952">
        <w:t xml:space="preserve"> </w:t>
      </w:r>
      <w:r>
        <w:t xml:space="preserve">In order to address the issue raised by the ESC about levels of cash reserves being used to deal with additional demand these have also been factored in the analysis.  </w:t>
      </w:r>
    </w:p>
    <w:p w14:paraId="2AA305E2" w14:textId="77777777" w:rsidR="00BA1A30" w:rsidRDefault="00BA1A30" w:rsidP="00F20114"/>
    <w:p w14:paraId="4B256E57" w14:textId="1ADDF594" w:rsidR="00F20114" w:rsidRDefault="00F20114" w:rsidP="00F20114">
      <w:r>
        <w:t>The data showed a renewal shortfall of varying degrees in around three-quarters of all councils.  In 49 councils the annual renewal gap accounted for more than 3% of rates and in 43 councils the annual renewal gap accounted for more than 3% of rates plus net current assets. In 30 councils the current year</w:t>
      </w:r>
      <w:r>
        <w:rPr>
          <w:rStyle w:val="FootnoteReference"/>
        </w:rPr>
        <w:footnoteReference w:id="6"/>
      </w:r>
      <w:r>
        <w:t xml:space="preserve"> renewal gap accounted for more than 10% of rates and in 23 councils the renewal gap accounted for more than 10% of rates plus net current assets.  </w:t>
      </w:r>
    </w:p>
    <w:p w14:paraId="7606E521" w14:textId="77777777" w:rsidR="00BA1A30" w:rsidRDefault="00BA1A30" w:rsidP="00F20114"/>
    <w:p w14:paraId="019127EA" w14:textId="5022FD97" w:rsidR="00F20114" w:rsidRDefault="00F20114" w:rsidP="00F20114">
      <w:r>
        <w:t xml:space="preserve">At the extreme the annual renewal gap accounted for up to 61% of rate revenue and 46% of rate revenue plus net current assets in particular councils. In other words, a capped increase of the dimension likely to be given by CPI and WPI in combination with the running down of </w:t>
      </w:r>
      <w:r w:rsidRPr="00391EFA">
        <w:rPr>
          <w:b/>
        </w:rPr>
        <w:t>all</w:t>
      </w:r>
      <w:r>
        <w:t xml:space="preserve"> liquid reserves would only have a small effect on reducing the shortfall. The solution for these councils can only be higher increases over a longer time frame. </w:t>
      </w:r>
    </w:p>
    <w:p w14:paraId="38B4F853" w14:textId="77777777" w:rsidR="00BA1A30" w:rsidRDefault="00BA1A30" w:rsidP="00F20114"/>
    <w:p w14:paraId="11A76A76" w14:textId="71596D10" w:rsidR="00F20114" w:rsidRDefault="00F20114" w:rsidP="00F20114">
      <w:r>
        <w:t xml:space="preserve">A consideration of councils’ using other revenue sources to avoid rate increases as proposed by the ESC is good in theory but many of the councils worst-placed with respect to renewal gap are heavily dependent on government grants with little potential for increasing other own-source revenues. The use of debt to spread costs and hence reduce more immediate rating impacts was raised by the ESC however for some </w:t>
      </w:r>
      <w:r w:rsidR="00E63CAC">
        <w:t xml:space="preserve">this </w:t>
      </w:r>
      <w:r>
        <w:t xml:space="preserve">would only have the effect of pushing yet higher required rate increases into the future. The table also includes the measure used historically by the MAV in assessing the longer term sustainability of councils – its </w:t>
      </w:r>
      <w:r w:rsidR="00E117D9">
        <w:t>stress index (S</w:t>
      </w:r>
      <w:r>
        <w:t xml:space="preserve">I). </w:t>
      </w:r>
      <w:r w:rsidR="00E117D9">
        <w:t>S</w:t>
      </w:r>
      <w:r w:rsidRPr="00760346">
        <w:t xml:space="preserve">I represents councils’ net debt, including renewal gap, as a percentage of rate revenue. </w:t>
      </w:r>
      <w:r>
        <w:t xml:space="preserve">Net debt has been </w:t>
      </w:r>
      <w:r w:rsidRPr="00760346">
        <w:t xml:space="preserve">defined as total liabilities plus renewal gap less current assets less unexpended grants. </w:t>
      </w:r>
      <w:r>
        <w:t>T</w:t>
      </w:r>
      <w:r w:rsidRPr="00760346">
        <w:t xml:space="preserve">his approach takes account of both the restrictions that apply to current assets and the ability to use current assets to reduce debt. It assumes that fixed assets are not excess to requirements at balance date. </w:t>
      </w:r>
      <w:r>
        <w:t xml:space="preserve">The data on </w:t>
      </w:r>
      <w:r w:rsidR="00E117D9">
        <w:t>SI</w:t>
      </w:r>
      <w:r>
        <w:t xml:space="preserve"> show already high net debt levels for some of the most capital needy councils. </w:t>
      </w:r>
    </w:p>
    <w:p w14:paraId="5EABFBCB" w14:textId="1C9751D7" w:rsidR="008405D9" w:rsidRDefault="008405D9">
      <w:r>
        <w:br w:type="page"/>
      </w:r>
    </w:p>
    <w:p w14:paraId="742B5714" w14:textId="77777777" w:rsidR="00BA1A30" w:rsidRDefault="00BA1A30" w:rsidP="00F20114"/>
    <w:tbl>
      <w:tblPr>
        <w:tblW w:w="9149" w:type="dxa"/>
        <w:tblInd w:w="93" w:type="dxa"/>
        <w:tblLook w:val="04A0" w:firstRow="1" w:lastRow="0" w:firstColumn="1" w:lastColumn="0" w:noHBand="0" w:noVBand="1"/>
      </w:tblPr>
      <w:tblGrid>
        <w:gridCol w:w="1858"/>
        <w:gridCol w:w="726"/>
        <w:gridCol w:w="840"/>
        <w:gridCol w:w="892"/>
        <w:gridCol w:w="770"/>
        <w:gridCol w:w="841"/>
        <w:gridCol w:w="770"/>
        <w:gridCol w:w="841"/>
        <w:gridCol w:w="770"/>
        <w:gridCol w:w="841"/>
      </w:tblGrid>
      <w:tr w:rsidR="00F20114" w:rsidRPr="00D84D77" w14:paraId="2530751D" w14:textId="77777777" w:rsidTr="00F20114">
        <w:trPr>
          <w:trHeight w:val="255"/>
          <w:tblHeader/>
        </w:trPr>
        <w:tc>
          <w:tcPr>
            <w:tcW w:w="185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6E78D2A" w14:textId="77777777" w:rsidR="00F20114" w:rsidRPr="00D84D77" w:rsidRDefault="00F20114" w:rsidP="00F20114">
            <w:pPr>
              <w:rPr>
                <w:rFonts w:ascii="Calibri" w:hAnsi="Calibri"/>
                <w:sz w:val="20"/>
                <w:lang w:eastAsia="en-AU"/>
              </w:rPr>
            </w:pPr>
            <w:r w:rsidRPr="00D84D77">
              <w:rPr>
                <w:rFonts w:ascii="Calibri" w:hAnsi="Calibri"/>
                <w:sz w:val="20"/>
                <w:lang w:eastAsia="en-AU"/>
              </w:rPr>
              <w:t> </w:t>
            </w:r>
          </w:p>
        </w:tc>
        <w:tc>
          <w:tcPr>
            <w:tcW w:w="4069" w:type="dxa"/>
            <w:gridSpan w:val="5"/>
            <w:tcBorders>
              <w:top w:val="single" w:sz="8" w:space="0" w:color="auto"/>
              <w:left w:val="nil"/>
              <w:bottom w:val="single" w:sz="4" w:space="0" w:color="auto"/>
              <w:right w:val="single" w:sz="8" w:space="0" w:color="000000"/>
            </w:tcBorders>
            <w:shd w:val="clear" w:color="000000" w:fill="FDE9D9"/>
            <w:noWrap/>
            <w:vAlign w:val="bottom"/>
            <w:hideMark/>
          </w:tcPr>
          <w:p w14:paraId="7C1F45BE" w14:textId="77777777" w:rsidR="00F20114" w:rsidRPr="00D84D77" w:rsidRDefault="00F20114" w:rsidP="00F20114">
            <w:pPr>
              <w:jc w:val="center"/>
              <w:rPr>
                <w:rFonts w:ascii="Calibri" w:hAnsi="Calibri"/>
                <w:b/>
                <w:bCs/>
                <w:color w:val="000000"/>
                <w:sz w:val="20"/>
                <w:lang w:eastAsia="en-AU"/>
              </w:rPr>
            </w:pPr>
            <w:r w:rsidRPr="00D84D77">
              <w:rPr>
                <w:rFonts w:ascii="Calibri" w:hAnsi="Calibri"/>
                <w:b/>
                <w:bCs/>
                <w:color w:val="000000"/>
                <w:sz w:val="20"/>
                <w:lang w:eastAsia="en-AU"/>
              </w:rPr>
              <w:t>One Year Renewal Shortfall</w:t>
            </w:r>
          </w:p>
        </w:tc>
        <w:tc>
          <w:tcPr>
            <w:tcW w:w="3222" w:type="dxa"/>
            <w:gridSpan w:val="4"/>
            <w:tcBorders>
              <w:top w:val="single" w:sz="8" w:space="0" w:color="auto"/>
              <w:left w:val="nil"/>
              <w:bottom w:val="single" w:sz="4" w:space="0" w:color="auto"/>
              <w:right w:val="single" w:sz="8" w:space="0" w:color="000000"/>
            </w:tcBorders>
            <w:shd w:val="clear" w:color="000000" w:fill="DAEEF3"/>
            <w:noWrap/>
            <w:vAlign w:val="bottom"/>
            <w:hideMark/>
          </w:tcPr>
          <w:p w14:paraId="56C380C9" w14:textId="77777777" w:rsidR="00F20114" w:rsidRPr="00D84D77" w:rsidRDefault="00F20114" w:rsidP="00F20114">
            <w:pPr>
              <w:jc w:val="center"/>
              <w:rPr>
                <w:rFonts w:ascii="Calibri" w:hAnsi="Calibri"/>
                <w:b/>
                <w:bCs/>
                <w:color w:val="000000"/>
                <w:sz w:val="20"/>
                <w:lang w:eastAsia="en-AU"/>
              </w:rPr>
            </w:pPr>
            <w:r w:rsidRPr="00D84D77">
              <w:rPr>
                <w:rFonts w:ascii="Calibri" w:hAnsi="Calibri"/>
                <w:b/>
                <w:bCs/>
                <w:color w:val="000000"/>
                <w:sz w:val="20"/>
                <w:lang w:eastAsia="en-AU"/>
              </w:rPr>
              <w:t>Five Year Average Annual Renewal Shortfall</w:t>
            </w:r>
          </w:p>
        </w:tc>
      </w:tr>
      <w:tr w:rsidR="00F20114" w:rsidRPr="00D84D77" w14:paraId="7E987D5B" w14:textId="77777777" w:rsidTr="00F20114">
        <w:trPr>
          <w:cantSplit/>
          <w:trHeight w:val="1804"/>
          <w:tblHeader/>
        </w:trPr>
        <w:tc>
          <w:tcPr>
            <w:tcW w:w="1858" w:type="dxa"/>
            <w:tcBorders>
              <w:top w:val="nil"/>
              <w:left w:val="single" w:sz="8" w:space="0" w:color="auto"/>
              <w:bottom w:val="single" w:sz="8" w:space="0" w:color="auto"/>
              <w:right w:val="single" w:sz="8" w:space="0" w:color="auto"/>
            </w:tcBorders>
            <w:shd w:val="clear" w:color="auto" w:fill="auto"/>
            <w:noWrap/>
            <w:vAlign w:val="bottom"/>
            <w:hideMark/>
          </w:tcPr>
          <w:p w14:paraId="4F09A80F" w14:textId="77777777" w:rsidR="00F20114" w:rsidRPr="00D84D77" w:rsidRDefault="00F20114" w:rsidP="00F20114">
            <w:pPr>
              <w:rPr>
                <w:rFonts w:ascii="Calibri" w:hAnsi="Calibri"/>
                <w:b/>
                <w:bCs/>
                <w:sz w:val="20"/>
                <w:lang w:eastAsia="en-AU"/>
              </w:rPr>
            </w:pPr>
            <w:r w:rsidRPr="00D84D77">
              <w:rPr>
                <w:rFonts w:ascii="Calibri" w:hAnsi="Calibri"/>
                <w:b/>
                <w:bCs/>
                <w:sz w:val="20"/>
                <w:lang w:eastAsia="en-AU"/>
              </w:rPr>
              <w:t>Council</w:t>
            </w:r>
          </w:p>
        </w:tc>
        <w:tc>
          <w:tcPr>
            <w:tcW w:w="726" w:type="dxa"/>
            <w:tcBorders>
              <w:top w:val="nil"/>
              <w:left w:val="nil"/>
              <w:bottom w:val="single" w:sz="8" w:space="0" w:color="auto"/>
              <w:right w:val="single" w:sz="4" w:space="0" w:color="auto"/>
            </w:tcBorders>
            <w:shd w:val="clear" w:color="000000" w:fill="FDE9D9"/>
            <w:textDirection w:val="tbRl"/>
            <w:vAlign w:val="center"/>
            <w:hideMark/>
          </w:tcPr>
          <w:p w14:paraId="40812F13" w14:textId="77777777" w:rsidR="00F20114" w:rsidRPr="00D84D77" w:rsidRDefault="00F20114" w:rsidP="00F20114">
            <w:pPr>
              <w:ind w:left="113" w:right="113"/>
              <w:jc w:val="center"/>
              <w:rPr>
                <w:rFonts w:ascii="Calibri" w:hAnsi="Calibri"/>
                <w:b/>
                <w:bCs/>
                <w:color w:val="000000"/>
                <w:sz w:val="20"/>
                <w:lang w:eastAsia="en-AU"/>
              </w:rPr>
            </w:pPr>
            <w:r w:rsidRPr="00D84D77">
              <w:rPr>
                <w:rFonts w:ascii="Calibri" w:hAnsi="Calibri"/>
                <w:b/>
                <w:bCs/>
                <w:color w:val="000000"/>
                <w:sz w:val="20"/>
                <w:lang w:eastAsia="en-AU"/>
              </w:rPr>
              <w:t>as % Rates^</w:t>
            </w:r>
          </w:p>
        </w:tc>
        <w:tc>
          <w:tcPr>
            <w:tcW w:w="840" w:type="dxa"/>
            <w:tcBorders>
              <w:top w:val="nil"/>
              <w:left w:val="nil"/>
              <w:bottom w:val="single" w:sz="8" w:space="0" w:color="auto"/>
              <w:right w:val="single" w:sz="4" w:space="0" w:color="auto"/>
            </w:tcBorders>
            <w:shd w:val="clear" w:color="000000" w:fill="FDE9D9"/>
            <w:textDirection w:val="tbRl"/>
            <w:vAlign w:val="center"/>
            <w:hideMark/>
          </w:tcPr>
          <w:p w14:paraId="36F7CDC2" w14:textId="77777777" w:rsidR="00F20114" w:rsidRPr="00D84D77" w:rsidRDefault="00F20114" w:rsidP="00F20114">
            <w:pPr>
              <w:ind w:left="113" w:right="113"/>
              <w:jc w:val="center"/>
              <w:rPr>
                <w:rFonts w:ascii="Calibri" w:hAnsi="Calibri"/>
                <w:b/>
                <w:bCs/>
                <w:color w:val="000000"/>
                <w:sz w:val="20"/>
                <w:lang w:eastAsia="en-AU"/>
              </w:rPr>
            </w:pPr>
            <w:r w:rsidRPr="00D84D77">
              <w:rPr>
                <w:rFonts w:ascii="Calibri" w:hAnsi="Calibri"/>
                <w:b/>
                <w:bCs/>
                <w:color w:val="000000"/>
                <w:sz w:val="20"/>
                <w:lang w:eastAsia="en-AU"/>
              </w:rPr>
              <w:t>as % Rates plus Net Current Assets^</w:t>
            </w:r>
          </w:p>
        </w:tc>
        <w:tc>
          <w:tcPr>
            <w:tcW w:w="892" w:type="dxa"/>
            <w:tcBorders>
              <w:top w:val="nil"/>
              <w:left w:val="nil"/>
              <w:bottom w:val="single" w:sz="8" w:space="0" w:color="auto"/>
              <w:right w:val="single" w:sz="4" w:space="0" w:color="auto"/>
            </w:tcBorders>
            <w:shd w:val="clear" w:color="000000" w:fill="FDE9D9"/>
            <w:textDirection w:val="tbRl"/>
            <w:vAlign w:val="center"/>
            <w:hideMark/>
          </w:tcPr>
          <w:p w14:paraId="5B9D6DDB" w14:textId="42F76B6D" w:rsidR="00F20114" w:rsidRPr="00D84D77" w:rsidRDefault="008405D9" w:rsidP="00F20114">
            <w:pPr>
              <w:ind w:left="113" w:right="113"/>
              <w:jc w:val="center"/>
              <w:rPr>
                <w:rFonts w:ascii="Calibri" w:hAnsi="Calibri"/>
                <w:b/>
                <w:bCs/>
                <w:color w:val="000000"/>
                <w:sz w:val="20"/>
                <w:lang w:eastAsia="en-AU"/>
              </w:rPr>
            </w:pPr>
            <w:r>
              <w:rPr>
                <w:rFonts w:ascii="Calibri" w:hAnsi="Calibri"/>
                <w:b/>
                <w:bCs/>
                <w:color w:val="000000"/>
                <w:sz w:val="20"/>
                <w:lang w:eastAsia="en-AU"/>
              </w:rPr>
              <w:t>Stress</w:t>
            </w:r>
            <w:r w:rsidRPr="00D84D77">
              <w:rPr>
                <w:rFonts w:ascii="Calibri" w:hAnsi="Calibri"/>
                <w:b/>
                <w:bCs/>
                <w:color w:val="000000"/>
                <w:sz w:val="20"/>
                <w:lang w:eastAsia="en-AU"/>
              </w:rPr>
              <w:t xml:space="preserve"> </w:t>
            </w:r>
            <w:r w:rsidR="00F20114" w:rsidRPr="00D84D77">
              <w:rPr>
                <w:rFonts w:ascii="Calibri" w:hAnsi="Calibri"/>
                <w:b/>
                <w:bCs/>
                <w:color w:val="000000"/>
                <w:sz w:val="20"/>
                <w:lang w:eastAsia="en-AU"/>
              </w:rPr>
              <w:t>Index</w:t>
            </w:r>
          </w:p>
        </w:tc>
        <w:tc>
          <w:tcPr>
            <w:tcW w:w="770" w:type="dxa"/>
            <w:tcBorders>
              <w:top w:val="nil"/>
              <w:left w:val="nil"/>
              <w:bottom w:val="single" w:sz="8" w:space="0" w:color="auto"/>
              <w:right w:val="single" w:sz="4" w:space="0" w:color="auto"/>
            </w:tcBorders>
            <w:shd w:val="clear" w:color="000000" w:fill="FDE9D9"/>
            <w:textDirection w:val="tbRl"/>
            <w:vAlign w:val="center"/>
            <w:hideMark/>
          </w:tcPr>
          <w:p w14:paraId="418C575B" w14:textId="77777777" w:rsidR="00F20114" w:rsidRPr="00D84D77" w:rsidRDefault="00F20114" w:rsidP="00F20114">
            <w:pPr>
              <w:ind w:left="113" w:right="113"/>
              <w:jc w:val="center"/>
              <w:rPr>
                <w:rFonts w:ascii="Calibri" w:hAnsi="Calibri"/>
                <w:b/>
                <w:bCs/>
                <w:color w:val="000000"/>
                <w:sz w:val="20"/>
                <w:lang w:eastAsia="en-AU"/>
              </w:rPr>
            </w:pPr>
            <w:r w:rsidRPr="00D84D77">
              <w:rPr>
                <w:rFonts w:ascii="Calibri" w:hAnsi="Calibri"/>
                <w:b/>
                <w:bCs/>
                <w:color w:val="000000"/>
                <w:sz w:val="20"/>
                <w:lang w:eastAsia="en-AU"/>
              </w:rPr>
              <w:t>as % Rates~</w:t>
            </w:r>
          </w:p>
        </w:tc>
        <w:tc>
          <w:tcPr>
            <w:tcW w:w="841" w:type="dxa"/>
            <w:tcBorders>
              <w:top w:val="nil"/>
              <w:left w:val="nil"/>
              <w:bottom w:val="single" w:sz="8" w:space="0" w:color="auto"/>
              <w:right w:val="single" w:sz="8" w:space="0" w:color="auto"/>
            </w:tcBorders>
            <w:shd w:val="clear" w:color="000000" w:fill="FDE9D9"/>
            <w:textDirection w:val="tbRl"/>
            <w:vAlign w:val="center"/>
            <w:hideMark/>
          </w:tcPr>
          <w:p w14:paraId="40000E02" w14:textId="77777777" w:rsidR="00F20114" w:rsidRPr="00D84D77" w:rsidRDefault="00F20114" w:rsidP="00F20114">
            <w:pPr>
              <w:ind w:left="113" w:right="113"/>
              <w:jc w:val="center"/>
              <w:rPr>
                <w:rFonts w:ascii="Calibri" w:hAnsi="Calibri"/>
                <w:b/>
                <w:bCs/>
                <w:color w:val="000000"/>
                <w:sz w:val="20"/>
                <w:lang w:eastAsia="en-AU"/>
              </w:rPr>
            </w:pPr>
            <w:r w:rsidRPr="00D84D77">
              <w:rPr>
                <w:rFonts w:ascii="Calibri" w:hAnsi="Calibri"/>
                <w:b/>
                <w:bCs/>
                <w:color w:val="000000"/>
                <w:sz w:val="20"/>
                <w:lang w:eastAsia="en-AU"/>
              </w:rPr>
              <w:t>as % Rates plus Net Current Assets~</w:t>
            </w:r>
          </w:p>
        </w:tc>
        <w:tc>
          <w:tcPr>
            <w:tcW w:w="770" w:type="dxa"/>
            <w:tcBorders>
              <w:top w:val="nil"/>
              <w:left w:val="nil"/>
              <w:bottom w:val="single" w:sz="8" w:space="0" w:color="auto"/>
              <w:right w:val="single" w:sz="4" w:space="0" w:color="auto"/>
            </w:tcBorders>
            <w:shd w:val="clear" w:color="000000" w:fill="DAEEF3"/>
            <w:textDirection w:val="tbRl"/>
            <w:vAlign w:val="center"/>
            <w:hideMark/>
          </w:tcPr>
          <w:p w14:paraId="5D26354C" w14:textId="77777777" w:rsidR="00F20114" w:rsidRPr="00D84D77" w:rsidRDefault="00F20114" w:rsidP="00F20114">
            <w:pPr>
              <w:ind w:left="113" w:right="113"/>
              <w:jc w:val="center"/>
              <w:rPr>
                <w:rFonts w:ascii="Calibri" w:hAnsi="Calibri"/>
                <w:b/>
                <w:bCs/>
                <w:color w:val="000000"/>
                <w:sz w:val="20"/>
                <w:lang w:eastAsia="en-AU"/>
              </w:rPr>
            </w:pPr>
            <w:r w:rsidRPr="00D84D77">
              <w:rPr>
                <w:rFonts w:ascii="Calibri" w:hAnsi="Calibri"/>
                <w:b/>
                <w:bCs/>
                <w:color w:val="000000"/>
                <w:sz w:val="20"/>
                <w:lang w:eastAsia="en-AU"/>
              </w:rPr>
              <w:t>as % Rates^</w:t>
            </w:r>
          </w:p>
        </w:tc>
        <w:tc>
          <w:tcPr>
            <w:tcW w:w="841" w:type="dxa"/>
            <w:tcBorders>
              <w:top w:val="nil"/>
              <w:left w:val="nil"/>
              <w:bottom w:val="single" w:sz="8" w:space="0" w:color="auto"/>
              <w:right w:val="single" w:sz="4" w:space="0" w:color="auto"/>
            </w:tcBorders>
            <w:shd w:val="clear" w:color="000000" w:fill="DAEEF3"/>
            <w:textDirection w:val="tbRl"/>
            <w:vAlign w:val="center"/>
            <w:hideMark/>
          </w:tcPr>
          <w:p w14:paraId="1DD784E5" w14:textId="77777777" w:rsidR="00F20114" w:rsidRPr="00D84D77" w:rsidRDefault="00F20114" w:rsidP="00F20114">
            <w:pPr>
              <w:ind w:left="113" w:right="113"/>
              <w:jc w:val="center"/>
              <w:rPr>
                <w:rFonts w:ascii="Calibri" w:hAnsi="Calibri"/>
                <w:b/>
                <w:bCs/>
                <w:color w:val="000000"/>
                <w:sz w:val="20"/>
                <w:lang w:eastAsia="en-AU"/>
              </w:rPr>
            </w:pPr>
            <w:r w:rsidRPr="00D84D77">
              <w:rPr>
                <w:rFonts w:ascii="Calibri" w:hAnsi="Calibri"/>
                <w:b/>
                <w:bCs/>
                <w:color w:val="000000"/>
                <w:sz w:val="20"/>
                <w:lang w:eastAsia="en-AU"/>
              </w:rPr>
              <w:t>as % Rates plus Net Current Assets^</w:t>
            </w:r>
          </w:p>
        </w:tc>
        <w:tc>
          <w:tcPr>
            <w:tcW w:w="770" w:type="dxa"/>
            <w:tcBorders>
              <w:top w:val="nil"/>
              <w:left w:val="nil"/>
              <w:bottom w:val="single" w:sz="8" w:space="0" w:color="auto"/>
              <w:right w:val="single" w:sz="4" w:space="0" w:color="auto"/>
            </w:tcBorders>
            <w:shd w:val="clear" w:color="000000" w:fill="DAEEF3"/>
            <w:textDirection w:val="tbRl"/>
            <w:vAlign w:val="center"/>
            <w:hideMark/>
          </w:tcPr>
          <w:p w14:paraId="70120853" w14:textId="77777777" w:rsidR="00F20114" w:rsidRPr="00D84D77" w:rsidRDefault="00F20114" w:rsidP="00F20114">
            <w:pPr>
              <w:ind w:left="113" w:right="113"/>
              <w:jc w:val="center"/>
              <w:rPr>
                <w:rFonts w:ascii="Calibri" w:hAnsi="Calibri"/>
                <w:b/>
                <w:bCs/>
                <w:color w:val="000000"/>
                <w:sz w:val="20"/>
                <w:lang w:eastAsia="en-AU"/>
              </w:rPr>
            </w:pPr>
            <w:r w:rsidRPr="00D84D77">
              <w:rPr>
                <w:rFonts w:ascii="Calibri" w:hAnsi="Calibri"/>
                <w:b/>
                <w:bCs/>
                <w:color w:val="000000"/>
                <w:sz w:val="20"/>
                <w:lang w:eastAsia="en-AU"/>
              </w:rPr>
              <w:t>as % Rates~</w:t>
            </w:r>
          </w:p>
        </w:tc>
        <w:tc>
          <w:tcPr>
            <w:tcW w:w="841" w:type="dxa"/>
            <w:tcBorders>
              <w:top w:val="nil"/>
              <w:left w:val="nil"/>
              <w:bottom w:val="single" w:sz="8" w:space="0" w:color="auto"/>
              <w:right w:val="single" w:sz="8" w:space="0" w:color="auto"/>
            </w:tcBorders>
            <w:shd w:val="clear" w:color="000000" w:fill="DAEEF3"/>
            <w:textDirection w:val="tbRl"/>
            <w:vAlign w:val="center"/>
            <w:hideMark/>
          </w:tcPr>
          <w:p w14:paraId="7ED64EC3" w14:textId="77777777" w:rsidR="00F20114" w:rsidRPr="00D84D77" w:rsidRDefault="00F20114" w:rsidP="00F20114">
            <w:pPr>
              <w:ind w:left="113" w:right="113"/>
              <w:jc w:val="center"/>
              <w:rPr>
                <w:rFonts w:ascii="Calibri" w:hAnsi="Calibri"/>
                <w:b/>
                <w:bCs/>
                <w:color w:val="000000"/>
                <w:sz w:val="20"/>
                <w:lang w:eastAsia="en-AU"/>
              </w:rPr>
            </w:pPr>
            <w:r w:rsidRPr="00D84D77">
              <w:rPr>
                <w:rFonts w:ascii="Calibri" w:hAnsi="Calibri"/>
                <w:b/>
                <w:bCs/>
                <w:color w:val="000000"/>
                <w:sz w:val="20"/>
                <w:lang w:eastAsia="en-AU"/>
              </w:rPr>
              <w:t>as % Rates plus Net Current Assets~</w:t>
            </w:r>
          </w:p>
        </w:tc>
      </w:tr>
      <w:tr w:rsidR="00F20114" w:rsidRPr="00D84D77" w14:paraId="1BA7CF8D"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3B0E0944" w14:textId="77777777" w:rsidR="00F20114" w:rsidRPr="00D84D77" w:rsidRDefault="00F20114" w:rsidP="00F20114">
            <w:pPr>
              <w:rPr>
                <w:rFonts w:ascii="Calibri" w:hAnsi="Calibri"/>
                <w:sz w:val="20"/>
                <w:lang w:eastAsia="en-AU"/>
              </w:rPr>
            </w:pPr>
            <w:r w:rsidRPr="00D84D77">
              <w:rPr>
                <w:rFonts w:ascii="Calibri" w:hAnsi="Calibri"/>
                <w:sz w:val="20"/>
                <w:lang w:eastAsia="en-AU"/>
              </w:rPr>
              <w:t>Alpine</w:t>
            </w:r>
          </w:p>
        </w:tc>
        <w:tc>
          <w:tcPr>
            <w:tcW w:w="726" w:type="dxa"/>
            <w:tcBorders>
              <w:top w:val="nil"/>
              <w:left w:val="nil"/>
              <w:bottom w:val="single" w:sz="4" w:space="0" w:color="auto"/>
              <w:right w:val="single" w:sz="4" w:space="0" w:color="auto"/>
            </w:tcBorders>
            <w:shd w:val="clear" w:color="000000" w:fill="FDE9D9"/>
            <w:noWrap/>
            <w:vAlign w:val="bottom"/>
            <w:hideMark/>
          </w:tcPr>
          <w:p w14:paraId="24863D4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6.3%</w:t>
            </w:r>
          </w:p>
        </w:tc>
        <w:tc>
          <w:tcPr>
            <w:tcW w:w="840" w:type="dxa"/>
            <w:tcBorders>
              <w:top w:val="nil"/>
              <w:left w:val="nil"/>
              <w:bottom w:val="single" w:sz="4" w:space="0" w:color="auto"/>
              <w:right w:val="single" w:sz="4" w:space="0" w:color="auto"/>
            </w:tcBorders>
            <w:shd w:val="clear" w:color="000000" w:fill="FDE9D9"/>
            <w:noWrap/>
            <w:vAlign w:val="bottom"/>
            <w:hideMark/>
          </w:tcPr>
          <w:p w14:paraId="4CE8F8B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4.2%</w:t>
            </w:r>
          </w:p>
        </w:tc>
        <w:tc>
          <w:tcPr>
            <w:tcW w:w="892" w:type="dxa"/>
            <w:tcBorders>
              <w:top w:val="nil"/>
              <w:left w:val="nil"/>
              <w:bottom w:val="single" w:sz="4" w:space="0" w:color="auto"/>
              <w:right w:val="single" w:sz="4" w:space="0" w:color="auto"/>
            </w:tcBorders>
            <w:shd w:val="clear" w:color="000000" w:fill="FDE9D9"/>
            <w:noWrap/>
            <w:vAlign w:val="bottom"/>
          </w:tcPr>
          <w:p w14:paraId="209AB2B1" w14:textId="2A406990"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69C5EFD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8.8%</w:t>
            </w:r>
          </w:p>
        </w:tc>
        <w:tc>
          <w:tcPr>
            <w:tcW w:w="841" w:type="dxa"/>
            <w:tcBorders>
              <w:top w:val="nil"/>
              <w:left w:val="nil"/>
              <w:bottom w:val="single" w:sz="4" w:space="0" w:color="auto"/>
              <w:right w:val="single" w:sz="8" w:space="0" w:color="auto"/>
            </w:tcBorders>
            <w:shd w:val="clear" w:color="000000" w:fill="FDE9D9"/>
            <w:noWrap/>
            <w:vAlign w:val="bottom"/>
            <w:hideMark/>
          </w:tcPr>
          <w:p w14:paraId="698EE62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5.1%</w:t>
            </w:r>
          </w:p>
        </w:tc>
        <w:tc>
          <w:tcPr>
            <w:tcW w:w="770" w:type="dxa"/>
            <w:tcBorders>
              <w:top w:val="nil"/>
              <w:left w:val="nil"/>
              <w:bottom w:val="single" w:sz="4" w:space="0" w:color="auto"/>
              <w:right w:val="single" w:sz="4" w:space="0" w:color="auto"/>
            </w:tcBorders>
            <w:shd w:val="clear" w:color="000000" w:fill="DAEEF3"/>
            <w:noWrap/>
            <w:vAlign w:val="bottom"/>
            <w:hideMark/>
          </w:tcPr>
          <w:p w14:paraId="2A1FE785"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6.3%</w:t>
            </w:r>
          </w:p>
        </w:tc>
        <w:tc>
          <w:tcPr>
            <w:tcW w:w="841" w:type="dxa"/>
            <w:tcBorders>
              <w:top w:val="nil"/>
              <w:left w:val="nil"/>
              <w:bottom w:val="single" w:sz="4" w:space="0" w:color="auto"/>
              <w:right w:val="single" w:sz="4" w:space="0" w:color="auto"/>
            </w:tcBorders>
            <w:shd w:val="clear" w:color="000000" w:fill="DAEEF3"/>
            <w:noWrap/>
            <w:vAlign w:val="bottom"/>
            <w:hideMark/>
          </w:tcPr>
          <w:p w14:paraId="2501972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4.2%</w:t>
            </w:r>
          </w:p>
        </w:tc>
        <w:tc>
          <w:tcPr>
            <w:tcW w:w="770" w:type="dxa"/>
            <w:tcBorders>
              <w:top w:val="nil"/>
              <w:left w:val="nil"/>
              <w:bottom w:val="single" w:sz="4" w:space="0" w:color="auto"/>
              <w:right w:val="single" w:sz="4" w:space="0" w:color="auto"/>
            </w:tcBorders>
            <w:shd w:val="clear" w:color="000000" w:fill="DAEEF3"/>
            <w:noWrap/>
            <w:vAlign w:val="bottom"/>
            <w:hideMark/>
          </w:tcPr>
          <w:p w14:paraId="490FC79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8.8%</w:t>
            </w:r>
          </w:p>
        </w:tc>
        <w:tc>
          <w:tcPr>
            <w:tcW w:w="841" w:type="dxa"/>
            <w:tcBorders>
              <w:top w:val="nil"/>
              <w:left w:val="nil"/>
              <w:bottom w:val="single" w:sz="4" w:space="0" w:color="auto"/>
              <w:right w:val="single" w:sz="8" w:space="0" w:color="auto"/>
            </w:tcBorders>
            <w:shd w:val="clear" w:color="000000" w:fill="DAEEF3"/>
            <w:noWrap/>
            <w:vAlign w:val="bottom"/>
            <w:hideMark/>
          </w:tcPr>
          <w:p w14:paraId="7D680C2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5.1%</w:t>
            </w:r>
          </w:p>
        </w:tc>
      </w:tr>
      <w:tr w:rsidR="00F20114" w:rsidRPr="00D84D77" w14:paraId="7CC31A24"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0FD2065A" w14:textId="77777777" w:rsidR="00F20114" w:rsidRPr="00D84D77" w:rsidRDefault="00F20114" w:rsidP="00F20114">
            <w:pPr>
              <w:rPr>
                <w:rFonts w:ascii="Calibri" w:hAnsi="Calibri"/>
                <w:sz w:val="20"/>
                <w:lang w:eastAsia="en-AU"/>
              </w:rPr>
            </w:pPr>
            <w:r w:rsidRPr="00D84D77">
              <w:rPr>
                <w:rFonts w:ascii="Calibri" w:hAnsi="Calibri"/>
                <w:sz w:val="20"/>
                <w:lang w:eastAsia="en-AU"/>
              </w:rPr>
              <w:t>Ararat</w:t>
            </w:r>
          </w:p>
        </w:tc>
        <w:tc>
          <w:tcPr>
            <w:tcW w:w="726" w:type="dxa"/>
            <w:tcBorders>
              <w:top w:val="nil"/>
              <w:left w:val="nil"/>
              <w:bottom w:val="single" w:sz="4" w:space="0" w:color="auto"/>
              <w:right w:val="single" w:sz="4" w:space="0" w:color="auto"/>
            </w:tcBorders>
            <w:shd w:val="clear" w:color="000000" w:fill="FDE9D9"/>
            <w:noWrap/>
            <w:vAlign w:val="bottom"/>
            <w:hideMark/>
          </w:tcPr>
          <w:p w14:paraId="074A7208"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0" w:type="dxa"/>
            <w:tcBorders>
              <w:top w:val="nil"/>
              <w:left w:val="nil"/>
              <w:bottom w:val="single" w:sz="4" w:space="0" w:color="auto"/>
              <w:right w:val="single" w:sz="4" w:space="0" w:color="auto"/>
            </w:tcBorders>
            <w:shd w:val="clear" w:color="000000" w:fill="FDE9D9"/>
            <w:noWrap/>
            <w:vAlign w:val="bottom"/>
            <w:hideMark/>
          </w:tcPr>
          <w:p w14:paraId="4E054D62"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92" w:type="dxa"/>
            <w:tcBorders>
              <w:top w:val="nil"/>
              <w:left w:val="nil"/>
              <w:bottom w:val="single" w:sz="4" w:space="0" w:color="auto"/>
              <w:right w:val="single" w:sz="4" w:space="0" w:color="auto"/>
            </w:tcBorders>
            <w:shd w:val="clear" w:color="000000" w:fill="FDE9D9"/>
            <w:noWrap/>
            <w:vAlign w:val="bottom"/>
          </w:tcPr>
          <w:p w14:paraId="3C769672" w14:textId="041E7B07"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2C767832"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FDE9D9"/>
            <w:noWrap/>
            <w:vAlign w:val="bottom"/>
            <w:hideMark/>
          </w:tcPr>
          <w:p w14:paraId="57EDD567"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5A20B5F2"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4" w:space="0" w:color="auto"/>
            </w:tcBorders>
            <w:shd w:val="clear" w:color="000000" w:fill="DAEEF3"/>
            <w:noWrap/>
            <w:vAlign w:val="bottom"/>
            <w:hideMark/>
          </w:tcPr>
          <w:p w14:paraId="33F0E37A"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3B537BA3"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DAEEF3"/>
            <w:noWrap/>
            <w:vAlign w:val="bottom"/>
            <w:hideMark/>
          </w:tcPr>
          <w:p w14:paraId="0CBAFE86"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r>
      <w:tr w:rsidR="00F20114" w:rsidRPr="00D84D77" w14:paraId="232129F9"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63CED182" w14:textId="77777777" w:rsidR="00F20114" w:rsidRPr="00D84D77" w:rsidRDefault="00F20114" w:rsidP="00F20114">
            <w:pPr>
              <w:rPr>
                <w:rFonts w:ascii="Calibri" w:hAnsi="Calibri"/>
                <w:sz w:val="20"/>
                <w:lang w:eastAsia="en-AU"/>
              </w:rPr>
            </w:pPr>
            <w:r w:rsidRPr="00D84D77">
              <w:rPr>
                <w:rFonts w:ascii="Calibri" w:hAnsi="Calibri"/>
                <w:sz w:val="20"/>
                <w:lang w:eastAsia="en-AU"/>
              </w:rPr>
              <w:t>Ballarat</w:t>
            </w:r>
          </w:p>
        </w:tc>
        <w:tc>
          <w:tcPr>
            <w:tcW w:w="726" w:type="dxa"/>
            <w:tcBorders>
              <w:top w:val="nil"/>
              <w:left w:val="nil"/>
              <w:bottom w:val="single" w:sz="4" w:space="0" w:color="auto"/>
              <w:right w:val="single" w:sz="4" w:space="0" w:color="auto"/>
            </w:tcBorders>
            <w:shd w:val="clear" w:color="000000" w:fill="FDE9D9"/>
            <w:noWrap/>
            <w:vAlign w:val="bottom"/>
            <w:hideMark/>
          </w:tcPr>
          <w:p w14:paraId="104860CA"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19.2%</w:t>
            </w:r>
          </w:p>
        </w:tc>
        <w:tc>
          <w:tcPr>
            <w:tcW w:w="840" w:type="dxa"/>
            <w:tcBorders>
              <w:top w:val="nil"/>
              <w:left w:val="nil"/>
              <w:bottom w:val="single" w:sz="4" w:space="0" w:color="auto"/>
              <w:right w:val="single" w:sz="4" w:space="0" w:color="auto"/>
            </w:tcBorders>
            <w:shd w:val="clear" w:color="000000" w:fill="FDE9D9"/>
            <w:noWrap/>
            <w:vAlign w:val="bottom"/>
            <w:hideMark/>
          </w:tcPr>
          <w:p w14:paraId="43B5E2D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15.4%</w:t>
            </w:r>
          </w:p>
        </w:tc>
        <w:tc>
          <w:tcPr>
            <w:tcW w:w="892" w:type="dxa"/>
            <w:tcBorders>
              <w:top w:val="nil"/>
              <w:left w:val="nil"/>
              <w:bottom w:val="single" w:sz="4" w:space="0" w:color="auto"/>
              <w:right w:val="single" w:sz="4" w:space="0" w:color="auto"/>
            </w:tcBorders>
            <w:shd w:val="clear" w:color="000000" w:fill="FDE9D9"/>
            <w:noWrap/>
            <w:vAlign w:val="bottom"/>
          </w:tcPr>
          <w:p w14:paraId="33CB9065" w14:textId="20627A7C"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236F411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22.3%</w:t>
            </w:r>
          </w:p>
        </w:tc>
        <w:tc>
          <w:tcPr>
            <w:tcW w:w="841" w:type="dxa"/>
            <w:tcBorders>
              <w:top w:val="nil"/>
              <w:left w:val="nil"/>
              <w:bottom w:val="single" w:sz="4" w:space="0" w:color="auto"/>
              <w:right w:val="single" w:sz="8" w:space="0" w:color="auto"/>
            </w:tcBorders>
            <w:shd w:val="clear" w:color="000000" w:fill="FDE9D9"/>
            <w:noWrap/>
            <w:vAlign w:val="bottom"/>
            <w:hideMark/>
          </w:tcPr>
          <w:p w14:paraId="7E2002DD"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17.3%</w:t>
            </w:r>
          </w:p>
        </w:tc>
        <w:tc>
          <w:tcPr>
            <w:tcW w:w="770" w:type="dxa"/>
            <w:tcBorders>
              <w:top w:val="nil"/>
              <w:left w:val="nil"/>
              <w:bottom w:val="single" w:sz="4" w:space="0" w:color="auto"/>
              <w:right w:val="single" w:sz="4" w:space="0" w:color="auto"/>
            </w:tcBorders>
            <w:shd w:val="clear" w:color="000000" w:fill="DAEEF3"/>
            <w:noWrap/>
            <w:vAlign w:val="bottom"/>
            <w:hideMark/>
          </w:tcPr>
          <w:p w14:paraId="2D1AC26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17.9%</w:t>
            </w:r>
          </w:p>
        </w:tc>
        <w:tc>
          <w:tcPr>
            <w:tcW w:w="841" w:type="dxa"/>
            <w:tcBorders>
              <w:top w:val="nil"/>
              <w:left w:val="nil"/>
              <w:bottom w:val="single" w:sz="4" w:space="0" w:color="auto"/>
              <w:right w:val="single" w:sz="4" w:space="0" w:color="auto"/>
            </w:tcBorders>
            <w:shd w:val="clear" w:color="000000" w:fill="DAEEF3"/>
            <w:noWrap/>
            <w:vAlign w:val="bottom"/>
            <w:hideMark/>
          </w:tcPr>
          <w:p w14:paraId="76A00B3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14.3%</w:t>
            </w:r>
          </w:p>
        </w:tc>
        <w:tc>
          <w:tcPr>
            <w:tcW w:w="770" w:type="dxa"/>
            <w:tcBorders>
              <w:top w:val="nil"/>
              <w:left w:val="nil"/>
              <w:bottom w:val="single" w:sz="4" w:space="0" w:color="auto"/>
              <w:right w:val="single" w:sz="4" w:space="0" w:color="auto"/>
            </w:tcBorders>
            <w:shd w:val="clear" w:color="000000" w:fill="DAEEF3"/>
            <w:noWrap/>
            <w:vAlign w:val="bottom"/>
            <w:hideMark/>
          </w:tcPr>
          <w:p w14:paraId="74DBCA45"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20.8%</w:t>
            </w:r>
          </w:p>
        </w:tc>
        <w:tc>
          <w:tcPr>
            <w:tcW w:w="841" w:type="dxa"/>
            <w:tcBorders>
              <w:top w:val="nil"/>
              <w:left w:val="nil"/>
              <w:bottom w:val="single" w:sz="4" w:space="0" w:color="auto"/>
              <w:right w:val="single" w:sz="8" w:space="0" w:color="auto"/>
            </w:tcBorders>
            <w:shd w:val="clear" w:color="000000" w:fill="DAEEF3"/>
            <w:noWrap/>
            <w:vAlign w:val="bottom"/>
            <w:hideMark/>
          </w:tcPr>
          <w:p w14:paraId="2EEBB23A"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16.1%</w:t>
            </w:r>
          </w:p>
        </w:tc>
      </w:tr>
      <w:tr w:rsidR="00F20114" w:rsidRPr="00D84D77" w14:paraId="0ED1BD99"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4A53F333" w14:textId="77777777" w:rsidR="00F20114" w:rsidRPr="00D84D77" w:rsidRDefault="00F20114" w:rsidP="00F20114">
            <w:pPr>
              <w:rPr>
                <w:rFonts w:ascii="Calibri" w:hAnsi="Calibri"/>
                <w:sz w:val="20"/>
                <w:lang w:eastAsia="en-AU"/>
              </w:rPr>
            </w:pPr>
            <w:r w:rsidRPr="00D84D77">
              <w:rPr>
                <w:rFonts w:ascii="Calibri" w:hAnsi="Calibri"/>
                <w:sz w:val="20"/>
                <w:lang w:eastAsia="en-AU"/>
              </w:rPr>
              <w:t>Banyule</w:t>
            </w:r>
          </w:p>
        </w:tc>
        <w:tc>
          <w:tcPr>
            <w:tcW w:w="726" w:type="dxa"/>
            <w:tcBorders>
              <w:top w:val="nil"/>
              <w:left w:val="nil"/>
              <w:bottom w:val="single" w:sz="4" w:space="0" w:color="auto"/>
              <w:right w:val="single" w:sz="4" w:space="0" w:color="auto"/>
            </w:tcBorders>
            <w:shd w:val="clear" w:color="000000" w:fill="FDE9D9"/>
            <w:noWrap/>
            <w:vAlign w:val="bottom"/>
            <w:hideMark/>
          </w:tcPr>
          <w:p w14:paraId="11A5B8C8"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7.2%</w:t>
            </w:r>
          </w:p>
        </w:tc>
        <w:tc>
          <w:tcPr>
            <w:tcW w:w="840" w:type="dxa"/>
            <w:tcBorders>
              <w:top w:val="nil"/>
              <w:left w:val="nil"/>
              <w:bottom w:val="single" w:sz="4" w:space="0" w:color="auto"/>
              <w:right w:val="single" w:sz="4" w:space="0" w:color="auto"/>
            </w:tcBorders>
            <w:shd w:val="clear" w:color="000000" w:fill="FDE9D9"/>
            <w:noWrap/>
            <w:vAlign w:val="bottom"/>
            <w:hideMark/>
          </w:tcPr>
          <w:p w14:paraId="1DAE8E8D"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4.3%</w:t>
            </w:r>
          </w:p>
        </w:tc>
        <w:tc>
          <w:tcPr>
            <w:tcW w:w="892" w:type="dxa"/>
            <w:tcBorders>
              <w:top w:val="nil"/>
              <w:left w:val="nil"/>
              <w:bottom w:val="single" w:sz="4" w:space="0" w:color="auto"/>
              <w:right w:val="single" w:sz="4" w:space="0" w:color="auto"/>
            </w:tcBorders>
            <w:shd w:val="clear" w:color="000000" w:fill="FDE9D9"/>
            <w:noWrap/>
            <w:vAlign w:val="bottom"/>
          </w:tcPr>
          <w:p w14:paraId="4C9F6C0C" w14:textId="7D01B0B3"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1B00E460"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7.4%</w:t>
            </w:r>
          </w:p>
        </w:tc>
        <w:tc>
          <w:tcPr>
            <w:tcW w:w="841" w:type="dxa"/>
            <w:tcBorders>
              <w:top w:val="nil"/>
              <w:left w:val="nil"/>
              <w:bottom w:val="single" w:sz="4" w:space="0" w:color="auto"/>
              <w:right w:val="single" w:sz="8" w:space="0" w:color="auto"/>
            </w:tcBorders>
            <w:shd w:val="clear" w:color="000000" w:fill="FDE9D9"/>
            <w:noWrap/>
            <w:vAlign w:val="bottom"/>
            <w:hideMark/>
          </w:tcPr>
          <w:p w14:paraId="0C45EC7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4.4%</w:t>
            </w:r>
          </w:p>
        </w:tc>
        <w:tc>
          <w:tcPr>
            <w:tcW w:w="770" w:type="dxa"/>
            <w:tcBorders>
              <w:top w:val="nil"/>
              <w:left w:val="nil"/>
              <w:bottom w:val="single" w:sz="4" w:space="0" w:color="auto"/>
              <w:right w:val="single" w:sz="4" w:space="0" w:color="auto"/>
            </w:tcBorders>
            <w:shd w:val="clear" w:color="000000" w:fill="DAEEF3"/>
            <w:noWrap/>
            <w:vAlign w:val="bottom"/>
            <w:hideMark/>
          </w:tcPr>
          <w:p w14:paraId="718CCCB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4.3%</w:t>
            </w:r>
          </w:p>
        </w:tc>
        <w:tc>
          <w:tcPr>
            <w:tcW w:w="841" w:type="dxa"/>
            <w:tcBorders>
              <w:top w:val="nil"/>
              <w:left w:val="nil"/>
              <w:bottom w:val="single" w:sz="4" w:space="0" w:color="auto"/>
              <w:right w:val="single" w:sz="4" w:space="0" w:color="auto"/>
            </w:tcBorders>
            <w:shd w:val="clear" w:color="000000" w:fill="DAEEF3"/>
            <w:noWrap/>
            <w:vAlign w:val="bottom"/>
            <w:hideMark/>
          </w:tcPr>
          <w:p w14:paraId="4197947A"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2.5%</w:t>
            </w:r>
          </w:p>
        </w:tc>
        <w:tc>
          <w:tcPr>
            <w:tcW w:w="770" w:type="dxa"/>
            <w:tcBorders>
              <w:top w:val="nil"/>
              <w:left w:val="nil"/>
              <w:bottom w:val="single" w:sz="4" w:space="0" w:color="auto"/>
              <w:right w:val="single" w:sz="4" w:space="0" w:color="auto"/>
            </w:tcBorders>
            <w:shd w:val="clear" w:color="000000" w:fill="DAEEF3"/>
            <w:noWrap/>
            <w:vAlign w:val="bottom"/>
            <w:hideMark/>
          </w:tcPr>
          <w:p w14:paraId="6F27E51C"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4.4%</w:t>
            </w:r>
          </w:p>
        </w:tc>
        <w:tc>
          <w:tcPr>
            <w:tcW w:w="841" w:type="dxa"/>
            <w:tcBorders>
              <w:top w:val="nil"/>
              <w:left w:val="nil"/>
              <w:bottom w:val="single" w:sz="4" w:space="0" w:color="auto"/>
              <w:right w:val="single" w:sz="8" w:space="0" w:color="auto"/>
            </w:tcBorders>
            <w:shd w:val="clear" w:color="000000" w:fill="DAEEF3"/>
            <w:noWrap/>
            <w:vAlign w:val="bottom"/>
            <w:hideMark/>
          </w:tcPr>
          <w:p w14:paraId="688D4660"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2.6%</w:t>
            </w:r>
          </w:p>
        </w:tc>
      </w:tr>
      <w:tr w:rsidR="00F20114" w:rsidRPr="00D84D77" w14:paraId="639CB3D0"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1F635F91" w14:textId="77777777" w:rsidR="00F20114" w:rsidRPr="00D84D77" w:rsidRDefault="00F20114" w:rsidP="00F20114">
            <w:pPr>
              <w:rPr>
                <w:rFonts w:ascii="Calibri" w:hAnsi="Calibri"/>
                <w:sz w:val="20"/>
                <w:lang w:eastAsia="en-AU"/>
              </w:rPr>
            </w:pPr>
            <w:r w:rsidRPr="00D84D77">
              <w:rPr>
                <w:rFonts w:ascii="Calibri" w:hAnsi="Calibri"/>
                <w:sz w:val="20"/>
                <w:lang w:eastAsia="en-AU"/>
              </w:rPr>
              <w:t>Bass Coast</w:t>
            </w:r>
          </w:p>
        </w:tc>
        <w:tc>
          <w:tcPr>
            <w:tcW w:w="726" w:type="dxa"/>
            <w:tcBorders>
              <w:top w:val="nil"/>
              <w:left w:val="nil"/>
              <w:bottom w:val="single" w:sz="4" w:space="0" w:color="auto"/>
              <w:right w:val="single" w:sz="4" w:space="0" w:color="auto"/>
            </w:tcBorders>
            <w:shd w:val="clear" w:color="000000" w:fill="FDE9D9"/>
            <w:noWrap/>
            <w:vAlign w:val="bottom"/>
            <w:hideMark/>
          </w:tcPr>
          <w:p w14:paraId="4255EE0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4.7%</w:t>
            </w:r>
          </w:p>
        </w:tc>
        <w:tc>
          <w:tcPr>
            <w:tcW w:w="840" w:type="dxa"/>
            <w:tcBorders>
              <w:top w:val="nil"/>
              <w:left w:val="nil"/>
              <w:bottom w:val="single" w:sz="4" w:space="0" w:color="auto"/>
              <w:right w:val="single" w:sz="4" w:space="0" w:color="auto"/>
            </w:tcBorders>
            <w:shd w:val="clear" w:color="000000" w:fill="FDE9D9"/>
            <w:noWrap/>
            <w:vAlign w:val="bottom"/>
            <w:hideMark/>
          </w:tcPr>
          <w:p w14:paraId="75987C45"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3.3%</w:t>
            </w:r>
          </w:p>
        </w:tc>
        <w:tc>
          <w:tcPr>
            <w:tcW w:w="892" w:type="dxa"/>
            <w:tcBorders>
              <w:top w:val="nil"/>
              <w:left w:val="nil"/>
              <w:bottom w:val="single" w:sz="4" w:space="0" w:color="auto"/>
              <w:right w:val="single" w:sz="4" w:space="0" w:color="auto"/>
            </w:tcBorders>
            <w:shd w:val="clear" w:color="000000" w:fill="FDE9D9"/>
            <w:noWrap/>
            <w:vAlign w:val="bottom"/>
          </w:tcPr>
          <w:p w14:paraId="75E45016" w14:textId="44E4B212"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52E140E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5.8%</w:t>
            </w:r>
          </w:p>
        </w:tc>
        <w:tc>
          <w:tcPr>
            <w:tcW w:w="841" w:type="dxa"/>
            <w:tcBorders>
              <w:top w:val="nil"/>
              <w:left w:val="nil"/>
              <w:bottom w:val="single" w:sz="4" w:space="0" w:color="auto"/>
              <w:right w:val="single" w:sz="8" w:space="0" w:color="auto"/>
            </w:tcBorders>
            <w:shd w:val="clear" w:color="000000" w:fill="FDE9D9"/>
            <w:noWrap/>
            <w:vAlign w:val="bottom"/>
            <w:hideMark/>
          </w:tcPr>
          <w:p w14:paraId="26846AFD"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3.8%</w:t>
            </w:r>
          </w:p>
        </w:tc>
        <w:tc>
          <w:tcPr>
            <w:tcW w:w="770" w:type="dxa"/>
            <w:tcBorders>
              <w:top w:val="nil"/>
              <w:left w:val="nil"/>
              <w:bottom w:val="single" w:sz="4" w:space="0" w:color="auto"/>
              <w:right w:val="single" w:sz="4" w:space="0" w:color="auto"/>
            </w:tcBorders>
            <w:shd w:val="clear" w:color="000000" w:fill="DAEEF3"/>
            <w:noWrap/>
            <w:vAlign w:val="bottom"/>
            <w:hideMark/>
          </w:tcPr>
          <w:p w14:paraId="410929CD"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5.4%</w:t>
            </w:r>
          </w:p>
        </w:tc>
        <w:tc>
          <w:tcPr>
            <w:tcW w:w="841" w:type="dxa"/>
            <w:tcBorders>
              <w:top w:val="nil"/>
              <w:left w:val="nil"/>
              <w:bottom w:val="single" w:sz="4" w:space="0" w:color="auto"/>
              <w:right w:val="single" w:sz="4" w:space="0" w:color="auto"/>
            </w:tcBorders>
            <w:shd w:val="clear" w:color="000000" w:fill="DAEEF3"/>
            <w:noWrap/>
            <w:vAlign w:val="bottom"/>
            <w:hideMark/>
          </w:tcPr>
          <w:p w14:paraId="179578AA"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3.8%</w:t>
            </w:r>
          </w:p>
        </w:tc>
        <w:tc>
          <w:tcPr>
            <w:tcW w:w="770" w:type="dxa"/>
            <w:tcBorders>
              <w:top w:val="nil"/>
              <w:left w:val="nil"/>
              <w:bottom w:val="single" w:sz="4" w:space="0" w:color="auto"/>
              <w:right w:val="single" w:sz="4" w:space="0" w:color="auto"/>
            </w:tcBorders>
            <w:shd w:val="clear" w:color="000000" w:fill="DAEEF3"/>
            <w:noWrap/>
            <w:vAlign w:val="bottom"/>
            <w:hideMark/>
          </w:tcPr>
          <w:p w14:paraId="5C42C768"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6.6%</w:t>
            </w:r>
          </w:p>
        </w:tc>
        <w:tc>
          <w:tcPr>
            <w:tcW w:w="841" w:type="dxa"/>
            <w:tcBorders>
              <w:top w:val="nil"/>
              <w:left w:val="nil"/>
              <w:bottom w:val="single" w:sz="4" w:space="0" w:color="auto"/>
              <w:right w:val="single" w:sz="8" w:space="0" w:color="auto"/>
            </w:tcBorders>
            <w:shd w:val="clear" w:color="000000" w:fill="DAEEF3"/>
            <w:noWrap/>
            <w:vAlign w:val="bottom"/>
            <w:hideMark/>
          </w:tcPr>
          <w:p w14:paraId="08E8BCB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4.4%</w:t>
            </w:r>
          </w:p>
        </w:tc>
      </w:tr>
      <w:tr w:rsidR="00F20114" w:rsidRPr="00D84D77" w14:paraId="15C75906"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0DAB0BA8" w14:textId="77777777" w:rsidR="00F20114" w:rsidRPr="00D84D77" w:rsidRDefault="00F20114" w:rsidP="00F20114">
            <w:pPr>
              <w:rPr>
                <w:rFonts w:ascii="Calibri" w:hAnsi="Calibri"/>
                <w:sz w:val="20"/>
                <w:lang w:eastAsia="en-AU"/>
              </w:rPr>
            </w:pPr>
            <w:r w:rsidRPr="00D84D77">
              <w:rPr>
                <w:rFonts w:ascii="Calibri" w:hAnsi="Calibri"/>
                <w:sz w:val="20"/>
                <w:lang w:eastAsia="en-AU"/>
              </w:rPr>
              <w:t xml:space="preserve">Baw </w:t>
            </w:r>
            <w:proofErr w:type="spellStart"/>
            <w:r w:rsidRPr="00D84D77">
              <w:rPr>
                <w:rFonts w:ascii="Calibri" w:hAnsi="Calibri"/>
                <w:sz w:val="20"/>
                <w:lang w:eastAsia="en-AU"/>
              </w:rPr>
              <w:t>Baw</w:t>
            </w:r>
            <w:proofErr w:type="spellEnd"/>
          </w:p>
        </w:tc>
        <w:tc>
          <w:tcPr>
            <w:tcW w:w="726" w:type="dxa"/>
            <w:tcBorders>
              <w:top w:val="nil"/>
              <w:left w:val="nil"/>
              <w:bottom w:val="single" w:sz="4" w:space="0" w:color="auto"/>
              <w:right w:val="single" w:sz="4" w:space="0" w:color="auto"/>
            </w:tcBorders>
            <w:shd w:val="clear" w:color="000000" w:fill="FDE9D9"/>
            <w:noWrap/>
            <w:vAlign w:val="bottom"/>
            <w:hideMark/>
          </w:tcPr>
          <w:p w14:paraId="75EADE6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24.7%</w:t>
            </w:r>
          </w:p>
        </w:tc>
        <w:tc>
          <w:tcPr>
            <w:tcW w:w="840" w:type="dxa"/>
            <w:tcBorders>
              <w:top w:val="nil"/>
              <w:left w:val="nil"/>
              <w:bottom w:val="single" w:sz="4" w:space="0" w:color="auto"/>
              <w:right w:val="single" w:sz="4" w:space="0" w:color="auto"/>
            </w:tcBorders>
            <w:shd w:val="clear" w:color="000000" w:fill="FDE9D9"/>
            <w:noWrap/>
            <w:vAlign w:val="bottom"/>
            <w:hideMark/>
          </w:tcPr>
          <w:p w14:paraId="4E6231D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20.8%</w:t>
            </w:r>
          </w:p>
        </w:tc>
        <w:tc>
          <w:tcPr>
            <w:tcW w:w="892" w:type="dxa"/>
            <w:tcBorders>
              <w:top w:val="nil"/>
              <w:left w:val="nil"/>
              <w:bottom w:val="single" w:sz="4" w:space="0" w:color="auto"/>
              <w:right w:val="single" w:sz="4" w:space="0" w:color="auto"/>
            </w:tcBorders>
            <w:shd w:val="clear" w:color="000000" w:fill="FDE9D9"/>
            <w:noWrap/>
            <w:vAlign w:val="bottom"/>
          </w:tcPr>
          <w:p w14:paraId="281ECFA9" w14:textId="14903DB9"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411155F8"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28.2%</w:t>
            </w:r>
          </w:p>
        </w:tc>
        <w:tc>
          <w:tcPr>
            <w:tcW w:w="841" w:type="dxa"/>
            <w:tcBorders>
              <w:top w:val="nil"/>
              <w:left w:val="nil"/>
              <w:bottom w:val="single" w:sz="4" w:space="0" w:color="auto"/>
              <w:right w:val="single" w:sz="8" w:space="0" w:color="auto"/>
            </w:tcBorders>
            <w:shd w:val="clear" w:color="000000" w:fill="FDE9D9"/>
            <w:noWrap/>
            <w:vAlign w:val="bottom"/>
            <w:hideMark/>
          </w:tcPr>
          <w:p w14:paraId="511BE130"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23.3%</w:t>
            </w:r>
          </w:p>
        </w:tc>
        <w:tc>
          <w:tcPr>
            <w:tcW w:w="770" w:type="dxa"/>
            <w:tcBorders>
              <w:top w:val="nil"/>
              <w:left w:val="nil"/>
              <w:bottom w:val="single" w:sz="4" w:space="0" w:color="auto"/>
              <w:right w:val="single" w:sz="4" w:space="0" w:color="auto"/>
            </w:tcBorders>
            <w:shd w:val="clear" w:color="000000" w:fill="DAEEF3"/>
            <w:noWrap/>
            <w:vAlign w:val="bottom"/>
            <w:hideMark/>
          </w:tcPr>
          <w:p w14:paraId="359ABCF7"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20.6%</w:t>
            </w:r>
          </w:p>
        </w:tc>
        <w:tc>
          <w:tcPr>
            <w:tcW w:w="841" w:type="dxa"/>
            <w:tcBorders>
              <w:top w:val="nil"/>
              <w:left w:val="nil"/>
              <w:bottom w:val="single" w:sz="4" w:space="0" w:color="auto"/>
              <w:right w:val="single" w:sz="4" w:space="0" w:color="auto"/>
            </w:tcBorders>
            <w:shd w:val="clear" w:color="000000" w:fill="DAEEF3"/>
            <w:noWrap/>
            <w:vAlign w:val="bottom"/>
            <w:hideMark/>
          </w:tcPr>
          <w:p w14:paraId="0C5010F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17.4%</w:t>
            </w:r>
          </w:p>
        </w:tc>
        <w:tc>
          <w:tcPr>
            <w:tcW w:w="770" w:type="dxa"/>
            <w:tcBorders>
              <w:top w:val="nil"/>
              <w:left w:val="nil"/>
              <w:bottom w:val="single" w:sz="4" w:space="0" w:color="auto"/>
              <w:right w:val="single" w:sz="4" w:space="0" w:color="auto"/>
            </w:tcBorders>
            <w:shd w:val="clear" w:color="000000" w:fill="DAEEF3"/>
            <w:noWrap/>
            <w:vAlign w:val="bottom"/>
            <w:hideMark/>
          </w:tcPr>
          <w:p w14:paraId="76A8C220"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23.6%</w:t>
            </w:r>
          </w:p>
        </w:tc>
        <w:tc>
          <w:tcPr>
            <w:tcW w:w="841" w:type="dxa"/>
            <w:tcBorders>
              <w:top w:val="nil"/>
              <w:left w:val="nil"/>
              <w:bottom w:val="single" w:sz="4" w:space="0" w:color="auto"/>
              <w:right w:val="single" w:sz="8" w:space="0" w:color="auto"/>
            </w:tcBorders>
            <w:shd w:val="clear" w:color="000000" w:fill="DAEEF3"/>
            <w:noWrap/>
            <w:vAlign w:val="bottom"/>
            <w:hideMark/>
          </w:tcPr>
          <w:p w14:paraId="432C4E5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19.5%</w:t>
            </w:r>
          </w:p>
        </w:tc>
      </w:tr>
      <w:tr w:rsidR="00F20114" w:rsidRPr="00D84D77" w14:paraId="0B5E44C2"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1BAEEBBC" w14:textId="77777777" w:rsidR="00F20114" w:rsidRPr="00D84D77" w:rsidRDefault="00F20114" w:rsidP="00F20114">
            <w:pPr>
              <w:rPr>
                <w:rFonts w:ascii="Calibri" w:hAnsi="Calibri"/>
                <w:sz w:val="20"/>
                <w:lang w:eastAsia="en-AU"/>
              </w:rPr>
            </w:pPr>
            <w:r w:rsidRPr="00D84D77">
              <w:rPr>
                <w:rFonts w:ascii="Calibri" w:hAnsi="Calibri"/>
                <w:sz w:val="20"/>
                <w:lang w:eastAsia="en-AU"/>
              </w:rPr>
              <w:t>Bayside</w:t>
            </w:r>
          </w:p>
        </w:tc>
        <w:tc>
          <w:tcPr>
            <w:tcW w:w="726" w:type="dxa"/>
            <w:tcBorders>
              <w:top w:val="nil"/>
              <w:left w:val="nil"/>
              <w:bottom w:val="single" w:sz="4" w:space="0" w:color="auto"/>
              <w:right w:val="single" w:sz="4" w:space="0" w:color="auto"/>
            </w:tcBorders>
            <w:shd w:val="clear" w:color="000000" w:fill="FDE9D9"/>
            <w:noWrap/>
            <w:vAlign w:val="bottom"/>
            <w:hideMark/>
          </w:tcPr>
          <w:p w14:paraId="209659C0"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2.1%</w:t>
            </w:r>
          </w:p>
        </w:tc>
        <w:tc>
          <w:tcPr>
            <w:tcW w:w="840" w:type="dxa"/>
            <w:tcBorders>
              <w:top w:val="nil"/>
              <w:left w:val="nil"/>
              <w:bottom w:val="single" w:sz="4" w:space="0" w:color="auto"/>
              <w:right w:val="single" w:sz="4" w:space="0" w:color="auto"/>
            </w:tcBorders>
            <w:shd w:val="clear" w:color="000000" w:fill="FDE9D9"/>
            <w:noWrap/>
            <w:vAlign w:val="bottom"/>
            <w:hideMark/>
          </w:tcPr>
          <w:p w14:paraId="42FDD50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1.6%</w:t>
            </w:r>
          </w:p>
        </w:tc>
        <w:tc>
          <w:tcPr>
            <w:tcW w:w="892" w:type="dxa"/>
            <w:tcBorders>
              <w:top w:val="nil"/>
              <w:left w:val="nil"/>
              <w:bottom w:val="single" w:sz="4" w:space="0" w:color="auto"/>
              <w:right w:val="single" w:sz="4" w:space="0" w:color="auto"/>
            </w:tcBorders>
            <w:shd w:val="clear" w:color="000000" w:fill="FDE9D9"/>
            <w:noWrap/>
            <w:vAlign w:val="bottom"/>
          </w:tcPr>
          <w:p w14:paraId="1EE2ECFA" w14:textId="7C9CAC3C"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02A9EE78"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2.3%</w:t>
            </w:r>
          </w:p>
        </w:tc>
        <w:tc>
          <w:tcPr>
            <w:tcW w:w="841" w:type="dxa"/>
            <w:tcBorders>
              <w:top w:val="nil"/>
              <w:left w:val="nil"/>
              <w:bottom w:val="single" w:sz="4" w:space="0" w:color="auto"/>
              <w:right w:val="single" w:sz="8" w:space="0" w:color="auto"/>
            </w:tcBorders>
            <w:shd w:val="clear" w:color="000000" w:fill="FDE9D9"/>
            <w:noWrap/>
            <w:vAlign w:val="bottom"/>
            <w:hideMark/>
          </w:tcPr>
          <w:p w14:paraId="4C2E152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1.8%</w:t>
            </w:r>
          </w:p>
        </w:tc>
        <w:tc>
          <w:tcPr>
            <w:tcW w:w="770" w:type="dxa"/>
            <w:tcBorders>
              <w:top w:val="nil"/>
              <w:left w:val="nil"/>
              <w:bottom w:val="single" w:sz="4" w:space="0" w:color="auto"/>
              <w:right w:val="single" w:sz="4" w:space="0" w:color="auto"/>
            </w:tcBorders>
            <w:shd w:val="clear" w:color="000000" w:fill="DAEEF3"/>
            <w:noWrap/>
            <w:vAlign w:val="bottom"/>
            <w:hideMark/>
          </w:tcPr>
          <w:p w14:paraId="1EEF90A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7.7%</w:t>
            </w:r>
          </w:p>
        </w:tc>
        <w:tc>
          <w:tcPr>
            <w:tcW w:w="841" w:type="dxa"/>
            <w:tcBorders>
              <w:top w:val="nil"/>
              <w:left w:val="nil"/>
              <w:bottom w:val="single" w:sz="4" w:space="0" w:color="auto"/>
              <w:right w:val="single" w:sz="4" w:space="0" w:color="auto"/>
            </w:tcBorders>
            <w:shd w:val="clear" w:color="000000" w:fill="DAEEF3"/>
            <w:noWrap/>
            <w:vAlign w:val="bottom"/>
            <w:hideMark/>
          </w:tcPr>
          <w:p w14:paraId="678C5830"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6.0%</w:t>
            </w:r>
          </w:p>
        </w:tc>
        <w:tc>
          <w:tcPr>
            <w:tcW w:w="770" w:type="dxa"/>
            <w:tcBorders>
              <w:top w:val="nil"/>
              <w:left w:val="nil"/>
              <w:bottom w:val="single" w:sz="4" w:space="0" w:color="auto"/>
              <w:right w:val="single" w:sz="4" w:space="0" w:color="auto"/>
            </w:tcBorders>
            <w:shd w:val="clear" w:color="000000" w:fill="DAEEF3"/>
            <w:noWrap/>
            <w:vAlign w:val="bottom"/>
            <w:hideMark/>
          </w:tcPr>
          <w:p w14:paraId="0E20124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8.6%</w:t>
            </w:r>
          </w:p>
        </w:tc>
        <w:tc>
          <w:tcPr>
            <w:tcW w:w="841" w:type="dxa"/>
            <w:tcBorders>
              <w:top w:val="nil"/>
              <w:left w:val="nil"/>
              <w:bottom w:val="single" w:sz="4" w:space="0" w:color="auto"/>
              <w:right w:val="single" w:sz="8" w:space="0" w:color="auto"/>
            </w:tcBorders>
            <w:shd w:val="clear" w:color="000000" w:fill="DAEEF3"/>
            <w:noWrap/>
            <w:vAlign w:val="bottom"/>
            <w:hideMark/>
          </w:tcPr>
          <w:p w14:paraId="7F69729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6.6%</w:t>
            </w:r>
          </w:p>
        </w:tc>
      </w:tr>
      <w:tr w:rsidR="00F20114" w:rsidRPr="00D84D77" w14:paraId="2241247E"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3A806C9E" w14:textId="77777777" w:rsidR="00F20114" w:rsidRPr="00D84D77" w:rsidRDefault="00F20114" w:rsidP="00F20114">
            <w:pPr>
              <w:rPr>
                <w:rFonts w:ascii="Calibri" w:hAnsi="Calibri"/>
                <w:sz w:val="20"/>
                <w:lang w:eastAsia="en-AU"/>
              </w:rPr>
            </w:pPr>
            <w:r w:rsidRPr="00D84D77">
              <w:rPr>
                <w:rFonts w:ascii="Calibri" w:hAnsi="Calibri"/>
                <w:sz w:val="20"/>
                <w:lang w:eastAsia="en-AU"/>
              </w:rPr>
              <w:t>Benalla</w:t>
            </w:r>
          </w:p>
        </w:tc>
        <w:tc>
          <w:tcPr>
            <w:tcW w:w="726" w:type="dxa"/>
            <w:tcBorders>
              <w:top w:val="nil"/>
              <w:left w:val="nil"/>
              <w:bottom w:val="single" w:sz="4" w:space="0" w:color="auto"/>
              <w:right w:val="single" w:sz="4" w:space="0" w:color="auto"/>
            </w:tcBorders>
            <w:shd w:val="clear" w:color="000000" w:fill="FDE9D9"/>
            <w:noWrap/>
            <w:vAlign w:val="bottom"/>
            <w:hideMark/>
          </w:tcPr>
          <w:p w14:paraId="6BD3AE55"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14.0%</w:t>
            </w:r>
          </w:p>
        </w:tc>
        <w:tc>
          <w:tcPr>
            <w:tcW w:w="840" w:type="dxa"/>
            <w:tcBorders>
              <w:top w:val="nil"/>
              <w:left w:val="nil"/>
              <w:bottom w:val="single" w:sz="4" w:space="0" w:color="auto"/>
              <w:right w:val="single" w:sz="4" w:space="0" w:color="auto"/>
            </w:tcBorders>
            <w:shd w:val="clear" w:color="000000" w:fill="FDE9D9"/>
            <w:noWrap/>
            <w:vAlign w:val="bottom"/>
            <w:hideMark/>
          </w:tcPr>
          <w:p w14:paraId="32D3D0EA"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10.6%</w:t>
            </w:r>
          </w:p>
        </w:tc>
        <w:tc>
          <w:tcPr>
            <w:tcW w:w="892" w:type="dxa"/>
            <w:tcBorders>
              <w:top w:val="nil"/>
              <w:left w:val="nil"/>
              <w:bottom w:val="single" w:sz="4" w:space="0" w:color="auto"/>
              <w:right w:val="single" w:sz="4" w:space="0" w:color="auto"/>
            </w:tcBorders>
            <w:shd w:val="clear" w:color="000000" w:fill="FDE9D9"/>
            <w:noWrap/>
            <w:vAlign w:val="bottom"/>
          </w:tcPr>
          <w:p w14:paraId="0302795A" w14:textId="21886552"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10F62B18"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16.0%</w:t>
            </w:r>
          </w:p>
        </w:tc>
        <w:tc>
          <w:tcPr>
            <w:tcW w:w="841" w:type="dxa"/>
            <w:tcBorders>
              <w:top w:val="nil"/>
              <w:left w:val="nil"/>
              <w:bottom w:val="single" w:sz="4" w:space="0" w:color="auto"/>
              <w:right w:val="single" w:sz="8" w:space="0" w:color="auto"/>
            </w:tcBorders>
            <w:shd w:val="clear" w:color="000000" w:fill="FDE9D9"/>
            <w:noWrap/>
            <w:vAlign w:val="bottom"/>
            <w:hideMark/>
          </w:tcPr>
          <w:p w14:paraId="4EDFF07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11.7%</w:t>
            </w:r>
          </w:p>
        </w:tc>
        <w:tc>
          <w:tcPr>
            <w:tcW w:w="770" w:type="dxa"/>
            <w:tcBorders>
              <w:top w:val="nil"/>
              <w:left w:val="nil"/>
              <w:bottom w:val="single" w:sz="4" w:space="0" w:color="auto"/>
              <w:right w:val="single" w:sz="4" w:space="0" w:color="auto"/>
            </w:tcBorders>
            <w:shd w:val="clear" w:color="000000" w:fill="DAEEF3"/>
            <w:noWrap/>
            <w:vAlign w:val="bottom"/>
            <w:hideMark/>
          </w:tcPr>
          <w:p w14:paraId="0017FCCA"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8.2%</w:t>
            </w:r>
          </w:p>
        </w:tc>
        <w:tc>
          <w:tcPr>
            <w:tcW w:w="841" w:type="dxa"/>
            <w:tcBorders>
              <w:top w:val="nil"/>
              <w:left w:val="nil"/>
              <w:bottom w:val="single" w:sz="4" w:space="0" w:color="auto"/>
              <w:right w:val="single" w:sz="4" w:space="0" w:color="auto"/>
            </w:tcBorders>
            <w:shd w:val="clear" w:color="000000" w:fill="DAEEF3"/>
            <w:noWrap/>
            <w:vAlign w:val="bottom"/>
            <w:hideMark/>
          </w:tcPr>
          <w:p w14:paraId="33498DC7"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6.2%</w:t>
            </w:r>
          </w:p>
        </w:tc>
        <w:tc>
          <w:tcPr>
            <w:tcW w:w="770" w:type="dxa"/>
            <w:tcBorders>
              <w:top w:val="nil"/>
              <w:left w:val="nil"/>
              <w:bottom w:val="single" w:sz="4" w:space="0" w:color="auto"/>
              <w:right w:val="single" w:sz="4" w:space="0" w:color="auto"/>
            </w:tcBorders>
            <w:shd w:val="clear" w:color="000000" w:fill="DAEEF3"/>
            <w:noWrap/>
            <w:vAlign w:val="bottom"/>
            <w:hideMark/>
          </w:tcPr>
          <w:p w14:paraId="27D0CE35"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9.4%</w:t>
            </w:r>
          </w:p>
        </w:tc>
        <w:tc>
          <w:tcPr>
            <w:tcW w:w="841" w:type="dxa"/>
            <w:tcBorders>
              <w:top w:val="nil"/>
              <w:left w:val="nil"/>
              <w:bottom w:val="single" w:sz="4" w:space="0" w:color="auto"/>
              <w:right w:val="single" w:sz="8" w:space="0" w:color="auto"/>
            </w:tcBorders>
            <w:shd w:val="clear" w:color="000000" w:fill="DAEEF3"/>
            <w:noWrap/>
            <w:vAlign w:val="bottom"/>
            <w:hideMark/>
          </w:tcPr>
          <w:p w14:paraId="1083903D"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6.9%</w:t>
            </w:r>
          </w:p>
        </w:tc>
      </w:tr>
      <w:tr w:rsidR="00F20114" w:rsidRPr="00D84D77" w14:paraId="7B589FA8"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3821AF52" w14:textId="77777777" w:rsidR="00F20114" w:rsidRPr="00D84D77" w:rsidRDefault="00F20114" w:rsidP="00F20114">
            <w:pPr>
              <w:rPr>
                <w:rFonts w:ascii="Calibri" w:hAnsi="Calibri"/>
                <w:sz w:val="20"/>
                <w:lang w:eastAsia="en-AU"/>
              </w:rPr>
            </w:pPr>
            <w:proofErr w:type="spellStart"/>
            <w:r w:rsidRPr="00D84D77">
              <w:rPr>
                <w:rFonts w:ascii="Calibri" w:hAnsi="Calibri"/>
                <w:sz w:val="20"/>
                <w:lang w:eastAsia="en-AU"/>
              </w:rPr>
              <w:t>Boroondara</w:t>
            </w:r>
            <w:proofErr w:type="spellEnd"/>
          </w:p>
        </w:tc>
        <w:tc>
          <w:tcPr>
            <w:tcW w:w="726" w:type="dxa"/>
            <w:tcBorders>
              <w:top w:val="nil"/>
              <w:left w:val="nil"/>
              <w:bottom w:val="single" w:sz="4" w:space="0" w:color="auto"/>
              <w:right w:val="single" w:sz="4" w:space="0" w:color="auto"/>
            </w:tcBorders>
            <w:shd w:val="clear" w:color="000000" w:fill="FDE9D9"/>
            <w:noWrap/>
            <w:vAlign w:val="bottom"/>
            <w:hideMark/>
          </w:tcPr>
          <w:p w14:paraId="7F4FA371"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0" w:type="dxa"/>
            <w:tcBorders>
              <w:top w:val="nil"/>
              <w:left w:val="nil"/>
              <w:bottom w:val="single" w:sz="4" w:space="0" w:color="auto"/>
              <w:right w:val="single" w:sz="4" w:space="0" w:color="auto"/>
            </w:tcBorders>
            <w:shd w:val="clear" w:color="000000" w:fill="FDE9D9"/>
            <w:noWrap/>
            <w:vAlign w:val="bottom"/>
            <w:hideMark/>
          </w:tcPr>
          <w:p w14:paraId="2D3E3145"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92" w:type="dxa"/>
            <w:tcBorders>
              <w:top w:val="nil"/>
              <w:left w:val="nil"/>
              <w:bottom w:val="single" w:sz="4" w:space="0" w:color="auto"/>
              <w:right w:val="single" w:sz="4" w:space="0" w:color="auto"/>
            </w:tcBorders>
            <w:shd w:val="clear" w:color="000000" w:fill="FDE9D9"/>
            <w:noWrap/>
            <w:vAlign w:val="bottom"/>
          </w:tcPr>
          <w:p w14:paraId="45F4EA46" w14:textId="08A3C772"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5FCC60D6"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FDE9D9"/>
            <w:noWrap/>
            <w:vAlign w:val="bottom"/>
            <w:hideMark/>
          </w:tcPr>
          <w:p w14:paraId="3EABD0AD"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60715C01"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4" w:space="0" w:color="auto"/>
            </w:tcBorders>
            <w:shd w:val="clear" w:color="000000" w:fill="DAEEF3"/>
            <w:noWrap/>
            <w:vAlign w:val="bottom"/>
            <w:hideMark/>
          </w:tcPr>
          <w:p w14:paraId="77E3866D"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6EA8EB4C"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DAEEF3"/>
            <w:noWrap/>
            <w:vAlign w:val="bottom"/>
            <w:hideMark/>
          </w:tcPr>
          <w:p w14:paraId="6157AB6F"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r>
      <w:tr w:rsidR="00F20114" w:rsidRPr="00D84D77" w14:paraId="403CD8EC"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11F1E42C" w14:textId="77777777" w:rsidR="00F20114" w:rsidRPr="00D84D77" w:rsidRDefault="00F20114" w:rsidP="00F20114">
            <w:pPr>
              <w:rPr>
                <w:rFonts w:ascii="Calibri" w:hAnsi="Calibri"/>
                <w:sz w:val="20"/>
                <w:lang w:eastAsia="en-AU"/>
              </w:rPr>
            </w:pPr>
            <w:r w:rsidRPr="00D84D77">
              <w:rPr>
                <w:rFonts w:ascii="Calibri" w:hAnsi="Calibri"/>
                <w:sz w:val="20"/>
                <w:lang w:eastAsia="en-AU"/>
              </w:rPr>
              <w:t>Brimbank</w:t>
            </w:r>
          </w:p>
        </w:tc>
        <w:tc>
          <w:tcPr>
            <w:tcW w:w="726" w:type="dxa"/>
            <w:tcBorders>
              <w:top w:val="nil"/>
              <w:left w:val="nil"/>
              <w:bottom w:val="single" w:sz="4" w:space="0" w:color="auto"/>
              <w:right w:val="single" w:sz="4" w:space="0" w:color="auto"/>
            </w:tcBorders>
            <w:shd w:val="clear" w:color="000000" w:fill="FDE9D9"/>
            <w:noWrap/>
            <w:vAlign w:val="bottom"/>
            <w:hideMark/>
          </w:tcPr>
          <w:p w14:paraId="07CB344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14.0%</w:t>
            </w:r>
          </w:p>
        </w:tc>
        <w:tc>
          <w:tcPr>
            <w:tcW w:w="840" w:type="dxa"/>
            <w:tcBorders>
              <w:top w:val="nil"/>
              <w:left w:val="nil"/>
              <w:bottom w:val="single" w:sz="4" w:space="0" w:color="auto"/>
              <w:right w:val="single" w:sz="4" w:space="0" w:color="auto"/>
            </w:tcBorders>
            <w:shd w:val="clear" w:color="000000" w:fill="FDE9D9"/>
            <w:noWrap/>
            <w:vAlign w:val="bottom"/>
            <w:hideMark/>
          </w:tcPr>
          <w:p w14:paraId="19A1DF97"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11.3%</w:t>
            </w:r>
          </w:p>
        </w:tc>
        <w:tc>
          <w:tcPr>
            <w:tcW w:w="892" w:type="dxa"/>
            <w:tcBorders>
              <w:top w:val="nil"/>
              <w:left w:val="nil"/>
              <w:bottom w:val="single" w:sz="4" w:space="0" w:color="auto"/>
              <w:right w:val="single" w:sz="4" w:space="0" w:color="auto"/>
            </w:tcBorders>
            <w:shd w:val="clear" w:color="000000" w:fill="FDE9D9"/>
            <w:noWrap/>
            <w:vAlign w:val="bottom"/>
          </w:tcPr>
          <w:p w14:paraId="720B5C20" w14:textId="0E270CED"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38DA214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16.6%</w:t>
            </w:r>
          </w:p>
        </w:tc>
        <w:tc>
          <w:tcPr>
            <w:tcW w:w="841" w:type="dxa"/>
            <w:tcBorders>
              <w:top w:val="nil"/>
              <w:left w:val="nil"/>
              <w:bottom w:val="single" w:sz="4" w:space="0" w:color="auto"/>
              <w:right w:val="single" w:sz="8" w:space="0" w:color="auto"/>
            </w:tcBorders>
            <w:shd w:val="clear" w:color="000000" w:fill="FDE9D9"/>
            <w:noWrap/>
            <w:vAlign w:val="bottom"/>
            <w:hideMark/>
          </w:tcPr>
          <w:p w14:paraId="233B589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13.0%</w:t>
            </w:r>
          </w:p>
        </w:tc>
        <w:tc>
          <w:tcPr>
            <w:tcW w:w="770" w:type="dxa"/>
            <w:tcBorders>
              <w:top w:val="nil"/>
              <w:left w:val="nil"/>
              <w:bottom w:val="single" w:sz="4" w:space="0" w:color="auto"/>
              <w:right w:val="single" w:sz="4" w:space="0" w:color="auto"/>
            </w:tcBorders>
            <w:shd w:val="clear" w:color="000000" w:fill="DAEEF3"/>
            <w:noWrap/>
            <w:vAlign w:val="bottom"/>
            <w:hideMark/>
          </w:tcPr>
          <w:p w14:paraId="36C3653D"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14.0%</w:t>
            </w:r>
          </w:p>
        </w:tc>
        <w:tc>
          <w:tcPr>
            <w:tcW w:w="841" w:type="dxa"/>
            <w:tcBorders>
              <w:top w:val="nil"/>
              <w:left w:val="nil"/>
              <w:bottom w:val="single" w:sz="4" w:space="0" w:color="auto"/>
              <w:right w:val="single" w:sz="4" w:space="0" w:color="auto"/>
            </w:tcBorders>
            <w:shd w:val="clear" w:color="000000" w:fill="DAEEF3"/>
            <w:noWrap/>
            <w:vAlign w:val="bottom"/>
            <w:hideMark/>
          </w:tcPr>
          <w:p w14:paraId="010FA5B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11.3%</w:t>
            </w:r>
          </w:p>
        </w:tc>
        <w:tc>
          <w:tcPr>
            <w:tcW w:w="770" w:type="dxa"/>
            <w:tcBorders>
              <w:top w:val="nil"/>
              <w:left w:val="nil"/>
              <w:bottom w:val="single" w:sz="4" w:space="0" w:color="auto"/>
              <w:right w:val="single" w:sz="4" w:space="0" w:color="auto"/>
            </w:tcBorders>
            <w:shd w:val="clear" w:color="000000" w:fill="DAEEF3"/>
            <w:noWrap/>
            <w:vAlign w:val="bottom"/>
            <w:hideMark/>
          </w:tcPr>
          <w:p w14:paraId="5054F4B5"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16.6%</w:t>
            </w:r>
          </w:p>
        </w:tc>
        <w:tc>
          <w:tcPr>
            <w:tcW w:w="841" w:type="dxa"/>
            <w:tcBorders>
              <w:top w:val="nil"/>
              <w:left w:val="nil"/>
              <w:bottom w:val="single" w:sz="4" w:space="0" w:color="auto"/>
              <w:right w:val="single" w:sz="8" w:space="0" w:color="auto"/>
            </w:tcBorders>
            <w:shd w:val="clear" w:color="000000" w:fill="DAEEF3"/>
            <w:noWrap/>
            <w:vAlign w:val="bottom"/>
            <w:hideMark/>
          </w:tcPr>
          <w:p w14:paraId="663CA96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13.0%</w:t>
            </w:r>
          </w:p>
        </w:tc>
      </w:tr>
      <w:tr w:rsidR="00F20114" w:rsidRPr="00D84D77" w14:paraId="6CDA0B69"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795AA827" w14:textId="77777777" w:rsidR="00F20114" w:rsidRPr="00D84D77" w:rsidRDefault="00F20114" w:rsidP="00F20114">
            <w:pPr>
              <w:rPr>
                <w:rFonts w:ascii="Calibri" w:hAnsi="Calibri"/>
                <w:sz w:val="20"/>
                <w:lang w:eastAsia="en-AU"/>
              </w:rPr>
            </w:pPr>
            <w:proofErr w:type="spellStart"/>
            <w:r w:rsidRPr="00D84D77">
              <w:rPr>
                <w:rFonts w:ascii="Calibri" w:hAnsi="Calibri"/>
                <w:sz w:val="20"/>
                <w:lang w:eastAsia="en-AU"/>
              </w:rPr>
              <w:t>Buloke</w:t>
            </w:r>
            <w:proofErr w:type="spellEnd"/>
          </w:p>
        </w:tc>
        <w:tc>
          <w:tcPr>
            <w:tcW w:w="726" w:type="dxa"/>
            <w:tcBorders>
              <w:top w:val="nil"/>
              <w:left w:val="nil"/>
              <w:bottom w:val="single" w:sz="4" w:space="0" w:color="auto"/>
              <w:right w:val="single" w:sz="4" w:space="0" w:color="auto"/>
            </w:tcBorders>
            <w:shd w:val="clear" w:color="000000" w:fill="FDE9D9"/>
            <w:noWrap/>
            <w:vAlign w:val="bottom"/>
            <w:hideMark/>
          </w:tcPr>
          <w:p w14:paraId="25F1D8E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33.1%</w:t>
            </w:r>
          </w:p>
        </w:tc>
        <w:tc>
          <w:tcPr>
            <w:tcW w:w="840" w:type="dxa"/>
            <w:tcBorders>
              <w:top w:val="nil"/>
              <w:left w:val="nil"/>
              <w:bottom w:val="single" w:sz="4" w:space="0" w:color="auto"/>
              <w:right w:val="single" w:sz="4" w:space="0" w:color="auto"/>
            </w:tcBorders>
            <w:shd w:val="clear" w:color="000000" w:fill="FDE9D9"/>
            <w:noWrap/>
            <w:vAlign w:val="bottom"/>
            <w:hideMark/>
          </w:tcPr>
          <w:p w14:paraId="4A19FB3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41.5%</w:t>
            </w:r>
          </w:p>
        </w:tc>
        <w:tc>
          <w:tcPr>
            <w:tcW w:w="892" w:type="dxa"/>
            <w:tcBorders>
              <w:top w:val="nil"/>
              <w:left w:val="nil"/>
              <w:bottom w:val="single" w:sz="4" w:space="0" w:color="auto"/>
              <w:right w:val="single" w:sz="4" w:space="0" w:color="auto"/>
            </w:tcBorders>
            <w:shd w:val="clear" w:color="000000" w:fill="FDE9D9"/>
            <w:noWrap/>
            <w:vAlign w:val="bottom"/>
          </w:tcPr>
          <w:p w14:paraId="61C65D44" w14:textId="0B278F88"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11F4EB1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36.0%</w:t>
            </w:r>
          </w:p>
        </w:tc>
        <w:tc>
          <w:tcPr>
            <w:tcW w:w="841" w:type="dxa"/>
            <w:tcBorders>
              <w:top w:val="nil"/>
              <w:left w:val="nil"/>
              <w:bottom w:val="single" w:sz="4" w:space="0" w:color="auto"/>
              <w:right w:val="single" w:sz="8" w:space="0" w:color="auto"/>
            </w:tcBorders>
            <w:shd w:val="clear" w:color="000000" w:fill="FDE9D9"/>
            <w:noWrap/>
            <w:vAlign w:val="bottom"/>
            <w:hideMark/>
          </w:tcPr>
          <w:p w14:paraId="7BEAE48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46.2%</w:t>
            </w:r>
          </w:p>
        </w:tc>
        <w:tc>
          <w:tcPr>
            <w:tcW w:w="770" w:type="dxa"/>
            <w:tcBorders>
              <w:top w:val="nil"/>
              <w:left w:val="nil"/>
              <w:bottom w:val="single" w:sz="4" w:space="0" w:color="auto"/>
              <w:right w:val="single" w:sz="4" w:space="0" w:color="auto"/>
            </w:tcBorders>
            <w:shd w:val="clear" w:color="000000" w:fill="DAEEF3"/>
            <w:noWrap/>
            <w:vAlign w:val="bottom"/>
            <w:hideMark/>
          </w:tcPr>
          <w:p w14:paraId="7D4F25AD"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28.1%</w:t>
            </w:r>
          </w:p>
        </w:tc>
        <w:tc>
          <w:tcPr>
            <w:tcW w:w="841" w:type="dxa"/>
            <w:tcBorders>
              <w:top w:val="nil"/>
              <w:left w:val="nil"/>
              <w:bottom w:val="single" w:sz="4" w:space="0" w:color="auto"/>
              <w:right w:val="single" w:sz="4" w:space="0" w:color="auto"/>
            </w:tcBorders>
            <w:shd w:val="clear" w:color="000000" w:fill="DAEEF3"/>
            <w:noWrap/>
            <w:vAlign w:val="bottom"/>
            <w:hideMark/>
          </w:tcPr>
          <w:p w14:paraId="6065550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35.2%</w:t>
            </w:r>
          </w:p>
        </w:tc>
        <w:tc>
          <w:tcPr>
            <w:tcW w:w="770" w:type="dxa"/>
            <w:tcBorders>
              <w:top w:val="nil"/>
              <w:left w:val="nil"/>
              <w:bottom w:val="single" w:sz="4" w:space="0" w:color="auto"/>
              <w:right w:val="single" w:sz="4" w:space="0" w:color="auto"/>
            </w:tcBorders>
            <w:shd w:val="clear" w:color="000000" w:fill="DAEEF3"/>
            <w:noWrap/>
            <w:vAlign w:val="bottom"/>
            <w:hideMark/>
          </w:tcPr>
          <w:p w14:paraId="2A7CF9FD"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30.6%</w:t>
            </w:r>
          </w:p>
        </w:tc>
        <w:tc>
          <w:tcPr>
            <w:tcW w:w="841" w:type="dxa"/>
            <w:tcBorders>
              <w:top w:val="nil"/>
              <w:left w:val="nil"/>
              <w:bottom w:val="single" w:sz="4" w:space="0" w:color="auto"/>
              <w:right w:val="single" w:sz="8" w:space="0" w:color="auto"/>
            </w:tcBorders>
            <w:shd w:val="clear" w:color="000000" w:fill="DAEEF3"/>
            <w:noWrap/>
            <w:vAlign w:val="bottom"/>
            <w:hideMark/>
          </w:tcPr>
          <w:p w14:paraId="178F3B1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39.2%</w:t>
            </w:r>
          </w:p>
        </w:tc>
      </w:tr>
      <w:tr w:rsidR="00F20114" w:rsidRPr="00D84D77" w14:paraId="5997C544"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03F4AE3D" w14:textId="77777777" w:rsidR="00F20114" w:rsidRPr="00D84D77" w:rsidRDefault="00F20114" w:rsidP="00F20114">
            <w:pPr>
              <w:rPr>
                <w:rFonts w:ascii="Calibri" w:hAnsi="Calibri"/>
                <w:sz w:val="20"/>
                <w:lang w:eastAsia="en-AU"/>
              </w:rPr>
            </w:pPr>
            <w:r w:rsidRPr="00D84D77">
              <w:rPr>
                <w:rFonts w:ascii="Calibri" w:hAnsi="Calibri"/>
                <w:sz w:val="20"/>
                <w:lang w:eastAsia="en-AU"/>
              </w:rPr>
              <w:t>Campaspe</w:t>
            </w:r>
          </w:p>
        </w:tc>
        <w:tc>
          <w:tcPr>
            <w:tcW w:w="726" w:type="dxa"/>
            <w:tcBorders>
              <w:top w:val="nil"/>
              <w:left w:val="nil"/>
              <w:bottom w:val="single" w:sz="4" w:space="0" w:color="auto"/>
              <w:right w:val="single" w:sz="4" w:space="0" w:color="auto"/>
            </w:tcBorders>
            <w:shd w:val="clear" w:color="000000" w:fill="FDE9D9"/>
            <w:noWrap/>
            <w:vAlign w:val="bottom"/>
            <w:hideMark/>
          </w:tcPr>
          <w:p w14:paraId="5CCD0DA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21.7%</w:t>
            </w:r>
          </w:p>
        </w:tc>
        <w:tc>
          <w:tcPr>
            <w:tcW w:w="840" w:type="dxa"/>
            <w:tcBorders>
              <w:top w:val="nil"/>
              <w:left w:val="nil"/>
              <w:bottom w:val="single" w:sz="4" w:space="0" w:color="auto"/>
              <w:right w:val="single" w:sz="4" w:space="0" w:color="auto"/>
            </w:tcBorders>
            <w:shd w:val="clear" w:color="000000" w:fill="FDE9D9"/>
            <w:noWrap/>
            <w:vAlign w:val="bottom"/>
            <w:hideMark/>
          </w:tcPr>
          <w:p w14:paraId="4190F7E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11.2%</w:t>
            </w:r>
          </w:p>
        </w:tc>
        <w:tc>
          <w:tcPr>
            <w:tcW w:w="892" w:type="dxa"/>
            <w:tcBorders>
              <w:top w:val="nil"/>
              <w:left w:val="nil"/>
              <w:bottom w:val="single" w:sz="4" w:space="0" w:color="auto"/>
              <w:right w:val="single" w:sz="4" w:space="0" w:color="auto"/>
            </w:tcBorders>
            <w:shd w:val="clear" w:color="000000" w:fill="FDE9D9"/>
            <w:noWrap/>
            <w:vAlign w:val="bottom"/>
          </w:tcPr>
          <w:p w14:paraId="718298DA" w14:textId="07BA0710"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3A2ED7C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26.3%</w:t>
            </w:r>
          </w:p>
        </w:tc>
        <w:tc>
          <w:tcPr>
            <w:tcW w:w="841" w:type="dxa"/>
            <w:tcBorders>
              <w:top w:val="nil"/>
              <w:left w:val="nil"/>
              <w:bottom w:val="single" w:sz="4" w:space="0" w:color="auto"/>
              <w:right w:val="single" w:sz="8" w:space="0" w:color="auto"/>
            </w:tcBorders>
            <w:shd w:val="clear" w:color="000000" w:fill="FDE9D9"/>
            <w:noWrap/>
            <w:vAlign w:val="bottom"/>
            <w:hideMark/>
          </w:tcPr>
          <w:p w14:paraId="321905C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12.3%</w:t>
            </w:r>
          </w:p>
        </w:tc>
        <w:tc>
          <w:tcPr>
            <w:tcW w:w="770" w:type="dxa"/>
            <w:tcBorders>
              <w:top w:val="nil"/>
              <w:left w:val="nil"/>
              <w:bottom w:val="single" w:sz="4" w:space="0" w:color="auto"/>
              <w:right w:val="single" w:sz="4" w:space="0" w:color="auto"/>
            </w:tcBorders>
            <w:shd w:val="clear" w:color="000000" w:fill="DAEEF3"/>
            <w:noWrap/>
            <w:vAlign w:val="bottom"/>
            <w:hideMark/>
          </w:tcPr>
          <w:p w14:paraId="04FF48E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13.9%</w:t>
            </w:r>
          </w:p>
        </w:tc>
        <w:tc>
          <w:tcPr>
            <w:tcW w:w="841" w:type="dxa"/>
            <w:tcBorders>
              <w:top w:val="nil"/>
              <w:left w:val="nil"/>
              <w:bottom w:val="single" w:sz="4" w:space="0" w:color="auto"/>
              <w:right w:val="single" w:sz="4" w:space="0" w:color="auto"/>
            </w:tcBorders>
            <w:shd w:val="clear" w:color="000000" w:fill="DAEEF3"/>
            <w:noWrap/>
            <w:vAlign w:val="bottom"/>
            <w:hideMark/>
          </w:tcPr>
          <w:p w14:paraId="509CCD2A"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7.1%</w:t>
            </w:r>
          </w:p>
        </w:tc>
        <w:tc>
          <w:tcPr>
            <w:tcW w:w="770" w:type="dxa"/>
            <w:tcBorders>
              <w:top w:val="nil"/>
              <w:left w:val="nil"/>
              <w:bottom w:val="single" w:sz="4" w:space="0" w:color="auto"/>
              <w:right w:val="single" w:sz="4" w:space="0" w:color="auto"/>
            </w:tcBorders>
            <w:shd w:val="clear" w:color="000000" w:fill="DAEEF3"/>
            <w:noWrap/>
            <w:vAlign w:val="bottom"/>
            <w:hideMark/>
          </w:tcPr>
          <w:p w14:paraId="2A7798C7"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16.8%</w:t>
            </w:r>
          </w:p>
        </w:tc>
        <w:tc>
          <w:tcPr>
            <w:tcW w:w="841" w:type="dxa"/>
            <w:tcBorders>
              <w:top w:val="nil"/>
              <w:left w:val="nil"/>
              <w:bottom w:val="single" w:sz="4" w:space="0" w:color="auto"/>
              <w:right w:val="single" w:sz="8" w:space="0" w:color="auto"/>
            </w:tcBorders>
            <w:shd w:val="clear" w:color="000000" w:fill="DAEEF3"/>
            <w:noWrap/>
            <w:vAlign w:val="bottom"/>
            <w:hideMark/>
          </w:tcPr>
          <w:p w14:paraId="492CDFF0"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7.8%</w:t>
            </w:r>
          </w:p>
        </w:tc>
      </w:tr>
      <w:tr w:rsidR="00F20114" w:rsidRPr="00D84D77" w14:paraId="494CD423"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2E779BB2" w14:textId="77777777" w:rsidR="00F20114" w:rsidRPr="00D84D77" w:rsidRDefault="00F20114" w:rsidP="00F20114">
            <w:pPr>
              <w:rPr>
                <w:rFonts w:ascii="Calibri" w:hAnsi="Calibri"/>
                <w:sz w:val="20"/>
                <w:lang w:eastAsia="en-AU"/>
              </w:rPr>
            </w:pPr>
            <w:r w:rsidRPr="00D84D77">
              <w:rPr>
                <w:rFonts w:ascii="Calibri" w:hAnsi="Calibri"/>
                <w:sz w:val="20"/>
                <w:lang w:eastAsia="en-AU"/>
              </w:rPr>
              <w:t>Cardinia</w:t>
            </w:r>
          </w:p>
        </w:tc>
        <w:tc>
          <w:tcPr>
            <w:tcW w:w="726" w:type="dxa"/>
            <w:tcBorders>
              <w:top w:val="nil"/>
              <w:left w:val="nil"/>
              <w:bottom w:val="single" w:sz="4" w:space="0" w:color="auto"/>
              <w:right w:val="single" w:sz="4" w:space="0" w:color="auto"/>
            </w:tcBorders>
            <w:shd w:val="clear" w:color="000000" w:fill="FDE9D9"/>
            <w:noWrap/>
            <w:vAlign w:val="bottom"/>
            <w:hideMark/>
          </w:tcPr>
          <w:p w14:paraId="3D9CB4E9"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0" w:type="dxa"/>
            <w:tcBorders>
              <w:top w:val="nil"/>
              <w:left w:val="nil"/>
              <w:bottom w:val="single" w:sz="4" w:space="0" w:color="auto"/>
              <w:right w:val="single" w:sz="4" w:space="0" w:color="auto"/>
            </w:tcBorders>
            <w:shd w:val="clear" w:color="000000" w:fill="FDE9D9"/>
            <w:noWrap/>
            <w:vAlign w:val="bottom"/>
            <w:hideMark/>
          </w:tcPr>
          <w:p w14:paraId="3FD51FCB"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92" w:type="dxa"/>
            <w:tcBorders>
              <w:top w:val="nil"/>
              <w:left w:val="nil"/>
              <w:bottom w:val="single" w:sz="4" w:space="0" w:color="auto"/>
              <w:right w:val="single" w:sz="4" w:space="0" w:color="auto"/>
            </w:tcBorders>
            <w:shd w:val="clear" w:color="000000" w:fill="FDE9D9"/>
            <w:noWrap/>
            <w:vAlign w:val="bottom"/>
          </w:tcPr>
          <w:p w14:paraId="6E317DB8" w14:textId="06AD9C33"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7BB0E6EA"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FDE9D9"/>
            <w:noWrap/>
            <w:vAlign w:val="bottom"/>
            <w:hideMark/>
          </w:tcPr>
          <w:p w14:paraId="4C978E93"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6D458912"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4" w:space="0" w:color="auto"/>
            </w:tcBorders>
            <w:shd w:val="clear" w:color="000000" w:fill="DAEEF3"/>
            <w:noWrap/>
            <w:vAlign w:val="bottom"/>
            <w:hideMark/>
          </w:tcPr>
          <w:p w14:paraId="1FA8786B"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1D206489"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DAEEF3"/>
            <w:noWrap/>
            <w:vAlign w:val="bottom"/>
            <w:hideMark/>
          </w:tcPr>
          <w:p w14:paraId="7EBD9011"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r>
      <w:tr w:rsidR="00F20114" w:rsidRPr="00D84D77" w14:paraId="1838A781"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23731537" w14:textId="77777777" w:rsidR="00F20114" w:rsidRPr="00D84D77" w:rsidRDefault="00F20114" w:rsidP="00F20114">
            <w:pPr>
              <w:rPr>
                <w:rFonts w:ascii="Calibri" w:hAnsi="Calibri"/>
                <w:sz w:val="20"/>
                <w:lang w:eastAsia="en-AU"/>
              </w:rPr>
            </w:pPr>
            <w:r w:rsidRPr="00D84D77">
              <w:rPr>
                <w:rFonts w:ascii="Calibri" w:hAnsi="Calibri"/>
                <w:sz w:val="20"/>
                <w:lang w:eastAsia="en-AU"/>
              </w:rPr>
              <w:t>Casey</w:t>
            </w:r>
          </w:p>
        </w:tc>
        <w:tc>
          <w:tcPr>
            <w:tcW w:w="726" w:type="dxa"/>
            <w:tcBorders>
              <w:top w:val="nil"/>
              <w:left w:val="nil"/>
              <w:bottom w:val="single" w:sz="4" w:space="0" w:color="auto"/>
              <w:right w:val="single" w:sz="4" w:space="0" w:color="auto"/>
            </w:tcBorders>
            <w:shd w:val="clear" w:color="000000" w:fill="FDE9D9"/>
            <w:noWrap/>
            <w:vAlign w:val="bottom"/>
            <w:hideMark/>
          </w:tcPr>
          <w:p w14:paraId="110191E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1.7%</w:t>
            </w:r>
          </w:p>
        </w:tc>
        <w:tc>
          <w:tcPr>
            <w:tcW w:w="840" w:type="dxa"/>
            <w:tcBorders>
              <w:top w:val="nil"/>
              <w:left w:val="nil"/>
              <w:bottom w:val="single" w:sz="4" w:space="0" w:color="auto"/>
              <w:right w:val="single" w:sz="4" w:space="0" w:color="auto"/>
            </w:tcBorders>
            <w:shd w:val="clear" w:color="000000" w:fill="FDE9D9"/>
            <w:noWrap/>
            <w:vAlign w:val="bottom"/>
            <w:hideMark/>
          </w:tcPr>
          <w:p w14:paraId="0448451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1.0%</w:t>
            </w:r>
          </w:p>
        </w:tc>
        <w:tc>
          <w:tcPr>
            <w:tcW w:w="892" w:type="dxa"/>
            <w:tcBorders>
              <w:top w:val="nil"/>
              <w:left w:val="nil"/>
              <w:bottom w:val="single" w:sz="4" w:space="0" w:color="auto"/>
              <w:right w:val="single" w:sz="4" w:space="0" w:color="auto"/>
            </w:tcBorders>
            <w:shd w:val="clear" w:color="000000" w:fill="FDE9D9"/>
            <w:noWrap/>
            <w:vAlign w:val="bottom"/>
          </w:tcPr>
          <w:p w14:paraId="638F0680" w14:textId="4D4E0A85"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00F94E78"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2.1%</w:t>
            </w:r>
          </w:p>
        </w:tc>
        <w:tc>
          <w:tcPr>
            <w:tcW w:w="841" w:type="dxa"/>
            <w:tcBorders>
              <w:top w:val="nil"/>
              <w:left w:val="nil"/>
              <w:bottom w:val="single" w:sz="4" w:space="0" w:color="auto"/>
              <w:right w:val="single" w:sz="8" w:space="0" w:color="auto"/>
            </w:tcBorders>
            <w:shd w:val="clear" w:color="000000" w:fill="FDE9D9"/>
            <w:noWrap/>
            <w:vAlign w:val="bottom"/>
            <w:hideMark/>
          </w:tcPr>
          <w:p w14:paraId="77440FA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1.1%</w:t>
            </w:r>
          </w:p>
        </w:tc>
        <w:tc>
          <w:tcPr>
            <w:tcW w:w="770" w:type="dxa"/>
            <w:tcBorders>
              <w:top w:val="nil"/>
              <w:left w:val="nil"/>
              <w:bottom w:val="single" w:sz="4" w:space="0" w:color="auto"/>
              <w:right w:val="single" w:sz="4" w:space="0" w:color="auto"/>
            </w:tcBorders>
            <w:shd w:val="clear" w:color="000000" w:fill="DAEEF3"/>
            <w:noWrap/>
            <w:vAlign w:val="bottom"/>
            <w:hideMark/>
          </w:tcPr>
          <w:p w14:paraId="0918A2F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1.4%</w:t>
            </w:r>
          </w:p>
        </w:tc>
        <w:tc>
          <w:tcPr>
            <w:tcW w:w="841" w:type="dxa"/>
            <w:tcBorders>
              <w:top w:val="nil"/>
              <w:left w:val="nil"/>
              <w:bottom w:val="single" w:sz="4" w:space="0" w:color="auto"/>
              <w:right w:val="single" w:sz="4" w:space="0" w:color="auto"/>
            </w:tcBorders>
            <w:shd w:val="clear" w:color="000000" w:fill="DAEEF3"/>
            <w:noWrap/>
            <w:vAlign w:val="bottom"/>
            <w:hideMark/>
          </w:tcPr>
          <w:p w14:paraId="1131300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0.8%</w:t>
            </w:r>
          </w:p>
        </w:tc>
        <w:tc>
          <w:tcPr>
            <w:tcW w:w="770" w:type="dxa"/>
            <w:tcBorders>
              <w:top w:val="nil"/>
              <w:left w:val="nil"/>
              <w:bottom w:val="single" w:sz="4" w:space="0" w:color="auto"/>
              <w:right w:val="single" w:sz="4" w:space="0" w:color="auto"/>
            </w:tcBorders>
            <w:shd w:val="clear" w:color="000000" w:fill="DAEEF3"/>
            <w:noWrap/>
            <w:vAlign w:val="bottom"/>
            <w:hideMark/>
          </w:tcPr>
          <w:p w14:paraId="270D5DC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1.7%</w:t>
            </w:r>
          </w:p>
        </w:tc>
        <w:tc>
          <w:tcPr>
            <w:tcW w:w="841" w:type="dxa"/>
            <w:tcBorders>
              <w:top w:val="nil"/>
              <w:left w:val="nil"/>
              <w:bottom w:val="single" w:sz="4" w:space="0" w:color="auto"/>
              <w:right w:val="single" w:sz="8" w:space="0" w:color="auto"/>
            </w:tcBorders>
            <w:shd w:val="clear" w:color="000000" w:fill="DAEEF3"/>
            <w:noWrap/>
            <w:vAlign w:val="bottom"/>
            <w:hideMark/>
          </w:tcPr>
          <w:p w14:paraId="46D298B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0.9%</w:t>
            </w:r>
          </w:p>
        </w:tc>
      </w:tr>
      <w:tr w:rsidR="00F20114" w:rsidRPr="00D84D77" w14:paraId="704CDD93"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507EB43D" w14:textId="77777777" w:rsidR="00F20114" w:rsidRPr="00D84D77" w:rsidRDefault="00F20114" w:rsidP="00F20114">
            <w:pPr>
              <w:rPr>
                <w:rFonts w:ascii="Calibri" w:hAnsi="Calibri"/>
                <w:sz w:val="20"/>
                <w:lang w:eastAsia="en-AU"/>
              </w:rPr>
            </w:pPr>
            <w:r w:rsidRPr="00D84D77">
              <w:rPr>
                <w:rFonts w:ascii="Calibri" w:hAnsi="Calibri"/>
                <w:sz w:val="20"/>
                <w:lang w:eastAsia="en-AU"/>
              </w:rPr>
              <w:t>Central Goldfields</w:t>
            </w:r>
          </w:p>
        </w:tc>
        <w:tc>
          <w:tcPr>
            <w:tcW w:w="726" w:type="dxa"/>
            <w:tcBorders>
              <w:top w:val="nil"/>
              <w:left w:val="nil"/>
              <w:bottom w:val="single" w:sz="4" w:space="0" w:color="auto"/>
              <w:right w:val="single" w:sz="4" w:space="0" w:color="auto"/>
            </w:tcBorders>
            <w:shd w:val="clear" w:color="000000" w:fill="FDE9D9"/>
            <w:noWrap/>
            <w:vAlign w:val="bottom"/>
            <w:hideMark/>
          </w:tcPr>
          <w:p w14:paraId="27D560BA"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1.8%</w:t>
            </w:r>
          </w:p>
        </w:tc>
        <w:tc>
          <w:tcPr>
            <w:tcW w:w="840" w:type="dxa"/>
            <w:tcBorders>
              <w:top w:val="nil"/>
              <w:left w:val="nil"/>
              <w:bottom w:val="single" w:sz="4" w:space="0" w:color="auto"/>
              <w:right w:val="single" w:sz="4" w:space="0" w:color="auto"/>
            </w:tcBorders>
            <w:shd w:val="clear" w:color="000000" w:fill="FDE9D9"/>
            <w:noWrap/>
            <w:vAlign w:val="bottom"/>
            <w:hideMark/>
          </w:tcPr>
          <w:p w14:paraId="3FEC8DD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1.3%</w:t>
            </w:r>
          </w:p>
        </w:tc>
        <w:tc>
          <w:tcPr>
            <w:tcW w:w="892" w:type="dxa"/>
            <w:tcBorders>
              <w:top w:val="nil"/>
              <w:left w:val="nil"/>
              <w:bottom w:val="single" w:sz="4" w:space="0" w:color="auto"/>
              <w:right w:val="single" w:sz="4" w:space="0" w:color="auto"/>
            </w:tcBorders>
            <w:shd w:val="clear" w:color="000000" w:fill="FDE9D9"/>
            <w:noWrap/>
            <w:vAlign w:val="bottom"/>
          </w:tcPr>
          <w:p w14:paraId="710B76BB" w14:textId="45F680C9"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5FD6D227"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2.2%</w:t>
            </w:r>
          </w:p>
        </w:tc>
        <w:tc>
          <w:tcPr>
            <w:tcW w:w="841" w:type="dxa"/>
            <w:tcBorders>
              <w:top w:val="nil"/>
              <w:left w:val="nil"/>
              <w:bottom w:val="single" w:sz="4" w:space="0" w:color="auto"/>
              <w:right w:val="single" w:sz="8" w:space="0" w:color="auto"/>
            </w:tcBorders>
            <w:shd w:val="clear" w:color="000000" w:fill="FDE9D9"/>
            <w:noWrap/>
            <w:vAlign w:val="bottom"/>
            <w:hideMark/>
          </w:tcPr>
          <w:p w14:paraId="4F490380"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1.5%</w:t>
            </w:r>
          </w:p>
        </w:tc>
        <w:tc>
          <w:tcPr>
            <w:tcW w:w="770" w:type="dxa"/>
            <w:tcBorders>
              <w:top w:val="nil"/>
              <w:left w:val="nil"/>
              <w:bottom w:val="single" w:sz="4" w:space="0" w:color="auto"/>
              <w:right w:val="single" w:sz="4" w:space="0" w:color="auto"/>
            </w:tcBorders>
            <w:shd w:val="clear" w:color="000000" w:fill="DAEEF3"/>
            <w:noWrap/>
            <w:vAlign w:val="bottom"/>
            <w:hideMark/>
          </w:tcPr>
          <w:p w14:paraId="3F181D77"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1.8%</w:t>
            </w:r>
          </w:p>
        </w:tc>
        <w:tc>
          <w:tcPr>
            <w:tcW w:w="841" w:type="dxa"/>
            <w:tcBorders>
              <w:top w:val="nil"/>
              <w:left w:val="nil"/>
              <w:bottom w:val="single" w:sz="4" w:space="0" w:color="auto"/>
              <w:right w:val="single" w:sz="4" w:space="0" w:color="auto"/>
            </w:tcBorders>
            <w:shd w:val="clear" w:color="000000" w:fill="DAEEF3"/>
            <w:noWrap/>
            <w:vAlign w:val="bottom"/>
            <w:hideMark/>
          </w:tcPr>
          <w:p w14:paraId="1B2F418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1.3%</w:t>
            </w:r>
          </w:p>
        </w:tc>
        <w:tc>
          <w:tcPr>
            <w:tcW w:w="770" w:type="dxa"/>
            <w:tcBorders>
              <w:top w:val="nil"/>
              <w:left w:val="nil"/>
              <w:bottom w:val="single" w:sz="4" w:space="0" w:color="auto"/>
              <w:right w:val="single" w:sz="4" w:space="0" w:color="auto"/>
            </w:tcBorders>
            <w:shd w:val="clear" w:color="000000" w:fill="DAEEF3"/>
            <w:noWrap/>
            <w:vAlign w:val="bottom"/>
            <w:hideMark/>
          </w:tcPr>
          <w:p w14:paraId="7EF10BEA"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2.2%</w:t>
            </w:r>
          </w:p>
        </w:tc>
        <w:tc>
          <w:tcPr>
            <w:tcW w:w="841" w:type="dxa"/>
            <w:tcBorders>
              <w:top w:val="nil"/>
              <w:left w:val="nil"/>
              <w:bottom w:val="single" w:sz="4" w:space="0" w:color="auto"/>
              <w:right w:val="single" w:sz="8" w:space="0" w:color="auto"/>
            </w:tcBorders>
            <w:shd w:val="clear" w:color="000000" w:fill="DAEEF3"/>
            <w:noWrap/>
            <w:vAlign w:val="bottom"/>
            <w:hideMark/>
          </w:tcPr>
          <w:p w14:paraId="0062FB3C"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1.5%</w:t>
            </w:r>
          </w:p>
        </w:tc>
      </w:tr>
      <w:tr w:rsidR="00F20114" w:rsidRPr="00D84D77" w14:paraId="4B94FB53"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4FDD33C2" w14:textId="77777777" w:rsidR="00F20114" w:rsidRPr="00D84D77" w:rsidRDefault="00F20114" w:rsidP="00F20114">
            <w:pPr>
              <w:rPr>
                <w:rFonts w:ascii="Calibri" w:hAnsi="Calibri"/>
                <w:sz w:val="20"/>
                <w:lang w:eastAsia="en-AU"/>
              </w:rPr>
            </w:pPr>
            <w:r w:rsidRPr="00D84D77">
              <w:rPr>
                <w:rFonts w:ascii="Calibri" w:hAnsi="Calibri"/>
                <w:sz w:val="20"/>
                <w:lang w:eastAsia="en-AU"/>
              </w:rPr>
              <w:t>Colac-Otway</w:t>
            </w:r>
          </w:p>
        </w:tc>
        <w:tc>
          <w:tcPr>
            <w:tcW w:w="726" w:type="dxa"/>
            <w:tcBorders>
              <w:top w:val="nil"/>
              <w:left w:val="nil"/>
              <w:bottom w:val="single" w:sz="4" w:space="0" w:color="auto"/>
              <w:right w:val="single" w:sz="4" w:space="0" w:color="auto"/>
            </w:tcBorders>
            <w:shd w:val="clear" w:color="000000" w:fill="FDE9D9"/>
            <w:noWrap/>
            <w:vAlign w:val="bottom"/>
            <w:hideMark/>
          </w:tcPr>
          <w:p w14:paraId="74177C27"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8.4%</w:t>
            </w:r>
          </w:p>
        </w:tc>
        <w:tc>
          <w:tcPr>
            <w:tcW w:w="840" w:type="dxa"/>
            <w:tcBorders>
              <w:top w:val="nil"/>
              <w:left w:val="nil"/>
              <w:bottom w:val="single" w:sz="4" w:space="0" w:color="auto"/>
              <w:right w:val="single" w:sz="4" w:space="0" w:color="auto"/>
            </w:tcBorders>
            <w:shd w:val="clear" w:color="000000" w:fill="FDE9D9"/>
            <w:noWrap/>
            <w:vAlign w:val="bottom"/>
            <w:hideMark/>
          </w:tcPr>
          <w:p w14:paraId="4402ECD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5.6%</w:t>
            </w:r>
          </w:p>
        </w:tc>
        <w:tc>
          <w:tcPr>
            <w:tcW w:w="892" w:type="dxa"/>
            <w:tcBorders>
              <w:top w:val="nil"/>
              <w:left w:val="nil"/>
              <w:bottom w:val="single" w:sz="4" w:space="0" w:color="auto"/>
              <w:right w:val="single" w:sz="4" w:space="0" w:color="auto"/>
            </w:tcBorders>
            <w:shd w:val="clear" w:color="000000" w:fill="FDE9D9"/>
            <w:noWrap/>
            <w:vAlign w:val="bottom"/>
          </w:tcPr>
          <w:p w14:paraId="3F44B392" w14:textId="1CB76B26"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49A9BC1C"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9.6%</w:t>
            </w:r>
          </w:p>
        </w:tc>
        <w:tc>
          <w:tcPr>
            <w:tcW w:w="841" w:type="dxa"/>
            <w:tcBorders>
              <w:top w:val="nil"/>
              <w:left w:val="nil"/>
              <w:bottom w:val="single" w:sz="4" w:space="0" w:color="auto"/>
              <w:right w:val="single" w:sz="8" w:space="0" w:color="auto"/>
            </w:tcBorders>
            <w:shd w:val="clear" w:color="000000" w:fill="FDE9D9"/>
            <w:noWrap/>
            <w:vAlign w:val="bottom"/>
            <w:hideMark/>
          </w:tcPr>
          <w:p w14:paraId="0FA2505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6.1%</w:t>
            </w:r>
          </w:p>
        </w:tc>
        <w:tc>
          <w:tcPr>
            <w:tcW w:w="770" w:type="dxa"/>
            <w:tcBorders>
              <w:top w:val="nil"/>
              <w:left w:val="nil"/>
              <w:bottom w:val="single" w:sz="4" w:space="0" w:color="auto"/>
              <w:right w:val="single" w:sz="4" w:space="0" w:color="auto"/>
            </w:tcBorders>
            <w:shd w:val="clear" w:color="000000" w:fill="DAEEF3"/>
            <w:noWrap/>
            <w:vAlign w:val="bottom"/>
            <w:hideMark/>
          </w:tcPr>
          <w:p w14:paraId="60F209F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8.4%</w:t>
            </w:r>
          </w:p>
        </w:tc>
        <w:tc>
          <w:tcPr>
            <w:tcW w:w="841" w:type="dxa"/>
            <w:tcBorders>
              <w:top w:val="nil"/>
              <w:left w:val="nil"/>
              <w:bottom w:val="single" w:sz="4" w:space="0" w:color="auto"/>
              <w:right w:val="single" w:sz="4" w:space="0" w:color="auto"/>
            </w:tcBorders>
            <w:shd w:val="clear" w:color="000000" w:fill="DAEEF3"/>
            <w:noWrap/>
            <w:vAlign w:val="bottom"/>
            <w:hideMark/>
          </w:tcPr>
          <w:p w14:paraId="4074AD6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5.6%</w:t>
            </w:r>
          </w:p>
        </w:tc>
        <w:tc>
          <w:tcPr>
            <w:tcW w:w="770" w:type="dxa"/>
            <w:tcBorders>
              <w:top w:val="nil"/>
              <w:left w:val="nil"/>
              <w:bottom w:val="single" w:sz="4" w:space="0" w:color="auto"/>
              <w:right w:val="single" w:sz="4" w:space="0" w:color="auto"/>
            </w:tcBorders>
            <w:shd w:val="clear" w:color="000000" w:fill="DAEEF3"/>
            <w:noWrap/>
            <w:vAlign w:val="bottom"/>
            <w:hideMark/>
          </w:tcPr>
          <w:p w14:paraId="572C56FA"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9.6%</w:t>
            </w:r>
          </w:p>
        </w:tc>
        <w:tc>
          <w:tcPr>
            <w:tcW w:w="841" w:type="dxa"/>
            <w:tcBorders>
              <w:top w:val="nil"/>
              <w:left w:val="nil"/>
              <w:bottom w:val="single" w:sz="4" w:space="0" w:color="auto"/>
              <w:right w:val="single" w:sz="8" w:space="0" w:color="auto"/>
            </w:tcBorders>
            <w:shd w:val="clear" w:color="000000" w:fill="DAEEF3"/>
            <w:noWrap/>
            <w:vAlign w:val="bottom"/>
            <w:hideMark/>
          </w:tcPr>
          <w:p w14:paraId="5B118E8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6.1%</w:t>
            </w:r>
          </w:p>
        </w:tc>
      </w:tr>
      <w:tr w:rsidR="00F20114" w:rsidRPr="00D84D77" w14:paraId="1A642DA8"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2D7A80C9" w14:textId="77777777" w:rsidR="00F20114" w:rsidRPr="00D84D77" w:rsidRDefault="00F20114" w:rsidP="00F20114">
            <w:pPr>
              <w:rPr>
                <w:rFonts w:ascii="Calibri" w:hAnsi="Calibri"/>
                <w:sz w:val="20"/>
                <w:lang w:eastAsia="en-AU"/>
              </w:rPr>
            </w:pPr>
            <w:r w:rsidRPr="00D84D77">
              <w:rPr>
                <w:rFonts w:ascii="Calibri" w:hAnsi="Calibri"/>
                <w:sz w:val="20"/>
                <w:lang w:eastAsia="en-AU"/>
              </w:rPr>
              <w:t>Corangamite</w:t>
            </w:r>
          </w:p>
        </w:tc>
        <w:tc>
          <w:tcPr>
            <w:tcW w:w="726" w:type="dxa"/>
            <w:tcBorders>
              <w:top w:val="nil"/>
              <w:left w:val="nil"/>
              <w:bottom w:val="single" w:sz="4" w:space="0" w:color="auto"/>
              <w:right w:val="single" w:sz="4" w:space="0" w:color="auto"/>
            </w:tcBorders>
            <w:shd w:val="clear" w:color="000000" w:fill="FDE9D9"/>
            <w:noWrap/>
            <w:vAlign w:val="bottom"/>
            <w:hideMark/>
          </w:tcPr>
          <w:p w14:paraId="4FAB6C7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1.4%</w:t>
            </w:r>
          </w:p>
        </w:tc>
        <w:tc>
          <w:tcPr>
            <w:tcW w:w="840" w:type="dxa"/>
            <w:tcBorders>
              <w:top w:val="nil"/>
              <w:left w:val="nil"/>
              <w:bottom w:val="single" w:sz="4" w:space="0" w:color="auto"/>
              <w:right w:val="single" w:sz="4" w:space="0" w:color="auto"/>
            </w:tcBorders>
            <w:shd w:val="clear" w:color="000000" w:fill="FDE9D9"/>
            <w:noWrap/>
            <w:vAlign w:val="bottom"/>
            <w:hideMark/>
          </w:tcPr>
          <w:p w14:paraId="7E6E16E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1.1%</w:t>
            </w:r>
          </w:p>
        </w:tc>
        <w:tc>
          <w:tcPr>
            <w:tcW w:w="892" w:type="dxa"/>
            <w:tcBorders>
              <w:top w:val="nil"/>
              <w:left w:val="nil"/>
              <w:bottom w:val="single" w:sz="4" w:space="0" w:color="auto"/>
              <w:right w:val="single" w:sz="4" w:space="0" w:color="auto"/>
            </w:tcBorders>
            <w:shd w:val="clear" w:color="000000" w:fill="FDE9D9"/>
            <w:noWrap/>
            <w:vAlign w:val="bottom"/>
          </w:tcPr>
          <w:p w14:paraId="60729DA6" w14:textId="43965943"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2816C67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1.5%</w:t>
            </w:r>
          </w:p>
        </w:tc>
        <w:tc>
          <w:tcPr>
            <w:tcW w:w="841" w:type="dxa"/>
            <w:tcBorders>
              <w:top w:val="nil"/>
              <w:left w:val="nil"/>
              <w:bottom w:val="single" w:sz="4" w:space="0" w:color="auto"/>
              <w:right w:val="single" w:sz="8" w:space="0" w:color="auto"/>
            </w:tcBorders>
            <w:shd w:val="clear" w:color="000000" w:fill="FDE9D9"/>
            <w:noWrap/>
            <w:vAlign w:val="bottom"/>
            <w:hideMark/>
          </w:tcPr>
          <w:p w14:paraId="0CC7AE6D"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1.2%</w:t>
            </w:r>
          </w:p>
        </w:tc>
        <w:tc>
          <w:tcPr>
            <w:tcW w:w="770" w:type="dxa"/>
            <w:tcBorders>
              <w:top w:val="nil"/>
              <w:left w:val="nil"/>
              <w:bottom w:val="single" w:sz="4" w:space="0" w:color="auto"/>
              <w:right w:val="single" w:sz="4" w:space="0" w:color="auto"/>
            </w:tcBorders>
            <w:shd w:val="clear" w:color="000000" w:fill="DAEEF3"/>
            <w:noWrap/>
            <w:vAlign w:val="bottom"/>
            <w:hideMark/>
          </w:tcPr>
          <w:p w14:paraId="637B491D"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4" w:space="0" w:color="auto"/>
            </w:tcBorders>
            <w:shd w:val="clear" w:color="000000" w:fill="DAEEF3"/>
            <w:noWrap/>
            <w:vAlign w:val="bottom"/>
            <w:hideMark/>
          </w:tcPr>
          <w:p w14:paraId="0BB0BC3F"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16328725"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DAEEF3"/>
            <w:noWrap/>
            <w:vAlign w:val="bottom"/>
            <w:hideMark/>
          </w:tcPr>
          <w:p w14:paraId="2B774A25"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r>
      <w:tr w:rsidR="00F20114" w:rsidRPr="00D84D77" w14:paraId="337FAD9F"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10385310" w14:textId="77777777" w:rsidR="00F20114" w:rsidRPr="00D84D77" w:rsidRDefault="00F20114" w:rsidP="00F20114">
            <w:pPr>
              <w:rPr>
                <w:rFonts w:ascii="Calibri" w:hAnsi="Calibri"/>
                <w:sz w:val="20"/>
                <w:lang w:eastAsia="en-AU"/>
              </w:rPr>
            </w:pPr>
            <w:r w:rsidRPr="00D84D77">
              <w:rPr>
                <w:rFonts w:ascii="Calibri" w:hAnsi="Calibri"/>
                <w:sz w:val="20"/>
                <w:lang w:eastAsia="en-AU"/>
              </w:rPr>
              <w:t>Darebin</w:t>
            </w:r>
          </w:p>
        </w:tc>
        <w:tc>
          <w:tcPr>
            <w:tcW w:w="726" w:type="dxa"/>
            <w:tcBorders>
              <w:top w:val="nil"/>
              <w:left w:val="nil"/>
              <w:bottom w:val="single" w:sz="4" w:space="0" w:color="auto"/>
              <w:right w:val="single" w:sz="4" w:space="0" w:color="auto"/>
            </w:tcBorders>
            <w:shd w:val="clear" w:color="000000" w:fill="FDE9D9"/>
            <w:noWrap/>
            <w:vAlign w:val="bottom"/>
            <w:hideMark/>
          </w:tcPr>
          <w:p w14:paraId="5BD735CC"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1.5%</w:t>
            </w:r>
          </w:p>
        </w:tc>
        <w:tc>
          <w:tcPr>
            <w:tcW w:w="840" w:type="dxa"/>
            <w:tcBorders>
              <w:top w:val="nil"/>
              <w:left w:val="nil"/>
              <w:bottom w:val="single" w:sz="4" w:space="0" w:color="auto"/>
              <w:right w:val="single" w:sz="4" w:space="0" w:color="auto"/>
            </w:tcBorders>
            <w:shd w:val="clear" w:color="000000" w:fill="FDE9D9"/>
            <w:noWrap/>
            <w:vAlign w:val="bottom"/>
            <w:hideMark/>
          </w:tcPr>
          <w:p w14:paraId="6A37BAA8"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1.2%</w:t>
            </w:r>
          </w:p>
        </w:tc>
        <w:tc>
          <w:tcPr>
            <w:tcW w:w="892" w:type="dxa"/>
            <w:tcBorders>
              <w:top w:val="nil"/>
              <w:left w:val="nil"/>
              <w:bottom w:val="single" w:sz="4" w:space="0" w:color="auto"/>
              <w:right w:val="single" w:sz="4" w:space="0" w:color="auto"/>
            </w:tcBorders>
            <w:shd w:val="clear" w:color="000000" w:fill="FDE9D9"/>
            <w:noWrap/>
            <w:vAlign w:val="bottom"/>
          </w:tcPr>
          <w:p w14:paraId="7700C048" w14:textId="79EB2B9D"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72DD70A8"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1.6%</w:t>
            </w:r>
          </w:p>
        </w:tc>
        <w:tc>
          <w:tcPr>
            <w:tcW w:w="841" w:type="dxa"/>
            <w:tcBorders>
              <w:top w:val="nil"/>
              <w:left w:val="nil"/>
              <w:bottom w:val="single" w:sz="4" w:space="0" w:color="auto"/>
              <w:right w:val="single" w:sz="8" w:space="0" w:color="auto"/>
            </w:tcBorders>
            <w:shd w:val="clear" w:color="000000" w:fill="FDE9D9"/>
            <w:noWrap/>
            <w:vAlign w:val="bottom"/>
            <w:hideMark/>
          </w:tcPr>
          <w:p w14:paraId="3437C97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1.2%</w:t>
            </w:r>
          </w:p>
        </w:tc>
        <w:tc>
          <w:tcPr>
            <w:tcW w:w="770" w:type="dxa"/>
            <w:tcBorders>
              <w:top w:val="nil"/>
              <w:left w:val="nil"/>
              <w:bottom w:val="single" w:sz="4" w:space="0" w:color="auto"/>
              <w:right w:val="single" w:sz="4" w:space="0" w:color="auto"/>
            </w:tcBorders>
            <w:shd w:val="clear" w:color="000000" w:fill="DAEEF3"/>
            <w:noWrap/>
            <w:vAlign w:val="bottom"/>
            <w:hideMark/>
          </w:tcPr>
          <w:p w14:paraId="5B383AA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1.6%</w:t>
            </w:r>
          </w:p>
        </w:tc>
        <w:tc>
          <w:tcPr>
            <w:tcW w:w="841" w:type="dxa"/>
            <w:tcBorders>
              <w:top w:val="nil"/>
              <w:left w:val="nil"/>
              <w:bottom w:val="single" w:sz="4" w:space="0" w:color="auto"/>
              <w:right w:val="single" w:sz="4" w:space="0" w:color="auto"/>
            </w:tcBorders>
            <w:shd w:val="clear" w:color="000000" w:fill="DAEEF3"/>
            <w:noWrap/>
            <w:vAlign w:val="bottom"/>
            <w:hideMark/>
          </w:tcPr>
          <w:p w14:paraId="173039B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1.2%</w:t>
            </w:r>
          </w:p>
        </w:tc>
        <w:tc>
          <w:tcPr>
            <w:tcW w:w="770" w:type="dxa"/>
            <w:tcBorders>
              <w:top w:val="nil"/>
              <w:left w:val="nil"/>
              <w:bottom w:val="single" w:sz="4" w:space="0" w:color="auto"/>
              <w:right w:val="single" w:sz="4" w:space="0" w:color="auto"/>
            </w:tcBorders>
            <w:shd w:val="clear" w:color="000000" w:fill="DAEEF3"/>
            <w:noWrap/>
            <w:vAlign w:val="bottom"/>
            <w:hideMark/>
          </w:tcPr>
          <w:p w14:paraId="3023222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1.6%</w:t>
            </w:r>
          </w:p>
        </w:tc>
        <w:tc>
          <w:tcPr>
            <w:tcW w:w="841" w:type="dxa"/>
            <w:tcBorders>
              <w:top w:val="nil"/>
              <w:left w:val="nil"/>
              <w:bottom w:val="single" w:sz="4" w:space="0" w:color="auto"/>
              <w:right w:val="single" w:sz="8" w:space="0" w:color="auto"/>
            </w:tcBorders>
            <w:shd w:val="clear" w:color="000000" w:fill="DAEEF3"/>
            <w:noWrap/>
            <w:vAlign w:val="bottom"/>
            <w:hideMark/>
          </w:tcPr>
          <w:p w14:paraId="4EE14778"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1.2%</w:t>
            </w:r>
          </w:p>
        </w:tc>
      </w:tr>
      <w:tr w:rsidR="00F20114" w:rsidRPr="00D84D77" w14:paraId="0F50383C"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44347D3C" w14:textId="77777777" w:rsidR="00F20114" w:rsidRPr="00D84D77" w:rsidRDefault="00F20114" w:rsidP="00F20114">
            <w:pPr>
              <w:rPr>
                <w:rFonts w:ascii="Calibri" w:hAnsi="Calibri"/>
                <w:sz w:val="20"/>
                <w:lang w:eastAsia="en-AU"/>
              </w:rPr>
            </w:pPr>
            <w:r w:rsidRPr="00D84D77">
              <w:rPr>
                <w:rFonts w:ascii="Calibri" w:hAnsi="Calibri"/>
                <w:sz w:val="20"/>
                <w:lang w:eastAsia="en-AU"/>
              </w:rPr>
              <w:t>East Gippsland</w:t>
            </w:r>
          </w:p>
        </w:tc>
        <w:tc>
          <w:tcPr>
            <w:tcW w:w="726" w:type="dxa"/>
            <w:tcBorders>
              <w:top w:val="nil"/>
              <w:left w:val="nil"/>
              <w:bottom w:val="single" w:sz="4" w:space="0" w:color="auto"/>
              <w:right w:val="single" w:sz="4" w:space="0" w:color="auto"/>
            </w:tcBorders>
            <w:shd w:val="clear" w:color="000000" w:fill="FDE9D9"/>
            <w:noWrap/>
            <w:vAlign w:val="bottom"/>
            <w:hideMark/>
          </w:tcPr>
          <w:p w14:paraId="2CB543C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42.1%</w:t>
            </w:r>
          </w:p>
        </w:tc>
        <w:tc>
          <w:tcPr>
            <w:tcW w:w="840" w:type="dxa"/>
            <w:tcBorders>
              <w:top w:val="nil"/>
              <w:left w:val="nil"/>
              <w:bottom w:val="single" w:sz="4" w:space="0" w:color="auto"/>
              <w:right w:val="single" w:sz="4" w:space="0" w:color="auto"/>
            </w:tcBorders>
            <w:shd w:val="clear" w:color="000000" w:fill="FDE9D9"/>
            <w:noWrap/>
            <w:vAlign w:val="bottom"/>
            <w:hideMark/>
          </w:tcPr>
          <w:p w14:paraId="40F63975"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26.4%</w:t>
            </w:r>
          </w:p>
        </w:tc>
        <w:tc>
          <w:tcPr>
            <w:tcW w:w="892" w:type="dxa"/>
            <w:tcBorders>
              <w:top w:val="nil"/>
              <w:left w:val="nil"/>
              <w:bottom w:val="single" w:sz="4" w:space="0" w:color="auto"/>
              <w:right w:val="single" w:sz="4" w:space="0" w:color="auto"/>
            </w:tcBorders>
            <w:shd w:val="clear" w:color="000000" w:fill="FDE9D9"/>
            <w:noWrap/>
            <w:vAlign w:val="bottom"/>
          </w:tcPr>
          <w:p w14:paraId="41070343" w14:textId="4DF522CA"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4514FF4D"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47.1%</w:t>
            </w:r>
          </w:p>
        </w:tc>
        <w:tc>
          <w:tcPr>
            <w:tcW w:w="841" w:type="dxa"/>
            <w:tcBorders>
              <w:top w:val="nil"/>
              <w:left w:val="nil"/>
              <w:bottom w:val="single" w:sz="4" w:space="0" w:color="auto"/>
              <w:right w:val="single" w:sz="8" w:space="0" w:color="auto"/>
            </w:tcBorders>
            <w:shd w:val="clear" w:color="000000" w:fill="FDE9D9"/>
            <w:noWrap/>
            <w:vAlign w:val="bottom"/>
            <w:hideMark/>
          </w:tcPr>
          <w:p w14:paraId="5192FE45"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28.3%</w:t>
            </w:r>
          </w:p>
        </w:tc>
        <w:tc>
          <w:tcPr>
            <w:tcW w:w="770" w:type="dxa"/>
            <w:tcBorders>
              <w:top w:val="nil"/>
              <w:left w:val="nil"/>
              <w:bottom w:val="single" w:sz="4" w:space="0" w:color="auto"/>
              <w:right w:val="single" w:sz="4" w:space="0" w:color="auto"/>
            </w:tcBorders>
            <w:shd w:val="clear" w:color="000000" w:fill="DAEEF3"/>
            <w:noWrap/>
            <w:vAlign w:val="bottom"/>
            <w:hideMark/>
          </w:tcPr>
          <w:p w14:paraId="0F3179F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27.7%</w:t>
            </w:r>
          </w:p>
        </w:tc>
        <w:tc>
          <w:tcPr>
            <w:tcW w:w="841" w:type="dxa"/>
            <w:tcBorders>
              <w:top w:val="nil"/>
              <w:left w:val="nil"/>
              <w:bottom w:val="single" w:sz="4" w:space="0" w:color="auto"/>
              <w:right w:val="single" w:sz="4" w:space="0" w:color="auto"/>
            </w:tcBorders>
            <w:shd w:val="clear" w:color="000000" w:fill="DAEEF3"/>
            <w:noWrap/>
            <w:vAlign w:val="bottom"/>
            <w:hideMark/>
          </w:tcPr>
          <w:p w14:paraId="78214EA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17.4%</w:t>
            </w:r>
          </w:p>
        </w:tc>
        <w:tc>
          <w:tcPr>
            <w:tcW w:w="770" w:type="dxa"/>
            <w:tcBorders>
              <w:top w:val="nil"/>
              <w:left w:val="nil"/>
              <w:bottom w:val="single" w:sz="4" w:space="0" w:color="auto"/>
              <w:right w:val="single" w:sz="4" w:space="0" w:color="auto"/>
            </w:tcBorders>
            <w:shd w:val="clear" w:color="000000" w:fill="DAEEF3"/>
            <w:noWrap/>
            <w:vAlign w:val="bottom"/>
            <w:hideMark/>
          </w:tcPr>
          <w:p w14:paraId="30D3268C"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31.0%</w:t>
            </w:r>
          </w:p>
        </w:tc>
        <w:tc>
          <w:tcPr>
            <w:tcW w:w="841" w:type="dxa"/>
            <w:tcBorders>
              <w:top w:val="nil"/>
              <w:left w:val="nil"/>
              <w:bottom w:val="single" w:sz="4" w:space="0" w:color="auto"/>
              <w:right w:val="single" w:sz="8" w:space="0" w:color="auto"/>
            </w:tcBorders>
            <w:shd w:val="clear" w:color="000000" w:fill="DAEEF3"/>
            <w:noWrap/>
            <w:vAlign w:val="bottom"/>
            <w:hideMark/>
          </w:tcPr>
          <w:p w14:paraId="2F7AA67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18.6%</w:t>
            </w:r>
          </w:p>
        </w:tc>
      </w:tr>
      <w:tr w:rsidR="00F20114" w:rsidRPr="00D84D77" w14:paraId="5600687D"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138A20F4" w14:textId="77777777" w:rsidR="00F20114" w:rsidRPr="00D84D77" w:rsidRDefault="00F20114" w:rsidP="00F20114">
            <w:pPr>
              <w:rPr>
                <w:rFonts w:ascii="Calibri" w:hAnsi="Calibri"/>
                <w:sz w:val="20"/>
                <w:lang w:eastAsia="en-AU"/>
              </w:rPr>
            </w:pPr>
            <w:r w:rsidRPr="00D84D77">
              <w:rPr>
                <w:rFonts w:ascii="Calibri" w:hAnsi="Calibri"/>
                <w:sz w:val="20"/>
                <w:lang w:eastAsia="en-AU"/>
              </w:rPr>
              <w:t>Frankston</w:t>
            </w:r>
          </w:p>
        </w:tc>
        <w:tc>
          <w:tcPr>
            <w:tcW w:w="726" w:type="dxa"/>
            <w:tcBorders>
              <w:top w:val="nil"/>
              <w:left w:val="nil"/>
              <w:bottom w:val="single" w:sz="4" w:space="0" w:color="auto"/>
              <w:right w:val="single" w:sz="4" w:space="0" w:color="auto"/>
            </w:tcBorders>
            <w:shd w:val="clear" w:color="000000" w:fill="FDE9D9"/>
            <w:noWrap/>
            <w:vAlign w:val="bottom"/>
            <w:hideMark/>
          </w:tcPr>
          <w:p w14:paraId="351EEB3C"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3.6%</w:t>
            </w:r>
          </w:p>
        </w:tc>
        <w:tc>
          <w:tcPr>
            <w:tcW w:w="840" w:type="dxa"/>
            <w:tcBorders>
              <w:top w:val="nil"/>
              <w:left w:val="nil"/>
              <w:bottom w:val="single" w:sz="4" w:space="0" w:color="auto"/>
              <w:right w:val="single" w:sz="4" w:space="0" w:color="auto"/>
            </w:tcBorders>
            <w:shd w:val="clear" w:color="000000" w:fill="FDE9D9"/>
            <w:noWrap/>
            <w:vAlign w:val="bottom"/>
            <w:hideMark/>
          </w:tcPr>
          <w:p w14:paraId="7E333848"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3.1%</w:t>
            </w:r>
          </w:p>
        </w:tc>
        <w:tc>
          <w:tcPr>
            <w:tcW w:w="892" w:type="dxa"/>
            <w:tcBorders>
              <w:top w:val="nil"/>
              <w:left w:val="nil"/>
              <w:bottom w:val="single" w:sz="4" w:space="0" w:color="auto"/>
              <w:right w:val="single" w:sz="4" w:space="0" w:color="auto"/>
            </w:tcBorders>
            <w:shd w:val="clear" w:color="000000" w:fill="FDE9D9"/>
            <w:noWrap/>
            <w:vAlign w:val="bottom"/>
          </w:tcPr>
          <w:p w14:paraId="0E031A0B" w14:textId="504489DB"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280AE37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4.3%</w:t>
            </w:r>
          </w:p>
        </w:tc>
        <w:tc>
          <w:tcPr>
            <w:tcW w:w="841" w:type="dxa"/>
            <w:tcBorders>
              <w:top w:val="nil"/>
              <w:left w:val="nil"/>
              <w:bottom w:val="single" w:sz="4" w:space="0" w:color="auto"/>
              <w:right w:val="single" w:sz="8" w:space="0" w:color="auto"/>
            </w:tcBorders>
            <w:shd w:val="clear" w:color="000000" w:fill="FDE9D9"/>
            <w:noWrap/>
            <w:vAlign w:val="bottom"/>
            <w:hideMark/>
          </w:tcPr>
          <w:p w14:paraId="44C4893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3.7%</w:t>
            </w:r>
          </w:p>
        </w:tc>
        <w:tc>
          <w:tcPr>
            <w:tcW w:w="770" w:type="dxa"/>
            <w:tcBorders>
              <w:top w:val="nil"/>
              <w:left w:val="nil"/>
              <w:bottom w:val="single" w:sz="4" w:space="0" w:color="auto"/>
              <w:right w:val="single" w:sz="4" w:space="0" w:color="auto"/>
            </w:tcBorders>
            <w:shd w:val="clear" w:color="000000" w:fill="DAEEF3"/>
            <w:noWrap/>
            <w:vAlign w:val="bottom"/>
            <w:hideMark/>
          </w:tcPr>
          <w:p w14:paraId="42D200E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0.8%</w:t>
            </w:r>
          </w:p>
        </w:tc>
        <w:tc>
          <w:tcPr>
            <w:tcW w:w="841" w:type="dxa"/>
            <w:tcBorders>
              <w:top w:val="nil"/>
              <w:left w:val="nil"/>
              <w:bottom w:val="single" w:sz="4" w:space="0" w:color="auto"/>
              <w:right w:val="single" w:sz="4" w:space="0" w:color="auto"/>
            </w:tcBorders>
            <w:shd w:val="clear" w:color="000000" w:fill="DAEEF3"/>
            <w:noWrap/>
            <w:vAlign w:val="bottom"/>
            <w:hideMark/>
          </w:tcPr>
          <w:p w14:paraId="0D78FDDA"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0.7%</w:t>
            </w:r>
          </w:p>
        </w:tc>
        <w:tc>
          <w:tcPr>
            <w:tcW w:w="770" w:type="dxa"/>
            <w:tcBorders>
              <w:top w:val="nil"/>
              <w:left w:val="nil"/>
              <w:bottom w:val="single" w:sz="4" w:space="0" w:color="auto"/>
              <w:right w:val="single" w:sz="4" w:space="0" w:color="auto"/>
            </w:tcBorders>
            <w:shd w:val="clear" w:color="000000" w:fill="DAEEF3"/>
            <w:noWrap/>
            <w:vAlign w:val="bottom"/>
            <w:hideMark/>
          </w:tcPr>
          <w:p w14:paraId="75AF518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1.0%</w:t>
            </w:r>
          </w:p>
        </w:tc>
        <w:tc>
          <w:tcPr>
            <w:tcW w:w="841" w:type="dxa"/>
            <w:tcBorders>
              <w:top w:val="nil"/>
              <w:left w:val="nil"/>
              <w:bottom w:val="single" w:sz="4" w:space="0" w:color="auto"/>
              <w:right w:val="single" w:sz="8" w:space="0" w:color="auto"/>
            </w:tcBorders>
            <w:shd w:val="clear" w:color="000000" w:fill="DAEEF3"/>
            <w:noWrap/>
            <w:vAlign w:val="bottom"/>
            <w:hideMark/>
          </w:tcPr>
          <w:p w14:paraId="61D8D215"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0.9%</w:t>
            </w:r>
          </w:p>
        </w:tc>
      </w:tr>
      <w:tr w:rsidR="00F20114" w:rsidRPr="00D84D77" w14:paraId="0222DB0C"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68B55CB9" w14:textId="77777777" w:rsidR="00F20114" w:rsidRPr="00D84D77" w:rsidRDefault="00F20114" w:rsidP="00F20114">
            <w:pPr>
              <w:rPr>
                <w:rFonts w:ascii="Calibri" w:hAnsi="Calibri"/>
                <w:sz w:val="20"/>
                <w:lang w:eastAsia="en-AU"/>
              </w:rPr>
            </w:pPr>
            <w:proofErr w:type="spellStart"/>
            <w:r w:rsidRPr="00D84D77">
              <w:rPr>
                <w:rFonts w:ascii="Calibri" w:hAnsi="Calibri"/>
                <w:sz w:val="20"/>
                <w:lang w:eastAsia="en-AU"/>
              </w:rPr>
              <w:t>Gannawarra</w:t>
            </w:r>
            <w:proofErr w:type="spellEnd"/>
          </w:p>
        </w:tc>
        <w:tc>
          <w:tcPr>
            <w:tcW w:w="726" w:type="dxa"/>
            <w:tcBorders>
              <w:top w:val="nil"/>
              <w:left w:val="nil"/>
              <w:bottom w:val="single" w:sz="4" w:space="0" w:color="auto"/>
              <w:right w:val="single" w:sz="4" w:space="0" w:color="auto"/>
            </w:tcBorders>
            <w:shd w:val="clear" w:color="000000" w:fill="FDE9D9"/>
            <w:noWrap/>
            <w:vAlign w:val="bottom"/>
            <w:hideMark/>
          </w:tcPr>
          <w:p w14:paraId="10B312D5"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5.2%</w:t>
            </w:r>
          </w:p>
        </w:tc>
        <w:tc>
          <w:tcPr>
            <w:tcW w:w="840" w:type="dxa"/>
            <w:tcBorders>
              <w:top w:val="nil"/>
              <w:left w:val="nil"/>
              <w:bottom w:val="single" w:sz="4" w:space="0" w:color="auto"/>
              <w:right w:val="single" w:sz="4" w:space="0" w:color="auto"/>
            </w:tcBorders>
            <w:shd w:val="clear" w:color="000000" w:fill="FDE9D9"/>
            <w:noWrap/>
            <w:vAlign w:val="bottom"/>
            <w:hideMark/>
          </w:tcPr>
          <w:p w14:paraId="40E61EE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2.6%</w:t>
            </w:r>
          </w:p>
        </w:tc>
        <w:tc>
          <w:tcPr>
            <w:tcW w:w="892" w:type="dxa"/>
            <w:tcBorders>
              <w:top w:val="nil"/>
              <w:left w:val="nil"/>
              <w:bottom w:val="single" w:sz="4" w:space="0" w:color="auto"/>
              <w:right w:val="single" w:sz="4" w:space="0" w:color="auto"/>
            </w:tcBorders>
            <w:shd w:val="clear" w:color="000000" w:fill="FDE9D9"/>
            <w:noWrap/>
            <w:vAlign w:val="bottom"/>
          </w:tcPr>
          <w:p w14:paraId="573BDC6E" w14:textId="706974AA"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2E844C5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6.2%</w:t>
            </w:r>
          </w:p>
        </w:tc>
        <w:tc>
          <w:tcPr>
            <w:tcW w:w="841" w:type="dxa"/>
            <w:tcBorders>
              <w:top w:val="nil"/>
              <w:left w:val="nil"/>
              <w:bottom w:val="single" w:sz="4" w:space="0" w:color="auto"/>
              <w:right w:val="single" w:sz="8" w:space="0" w:color="auto"/>
            </w:tcBorders>
            <w:shd w:val="clear" w:color="000000" w:fill="FDE9D9"/>
            <w:noWrap/>
            <w:vAlign w:val="bottom"/>
            <w:hideMark/>
          </w:tcPr>
          <w:p w14:paraId="247274E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2.9%</w:t>
            </w:r>
          </w:p>
        </w:tc>
        <w:tc>
          <w:tcPr>
            <w:tcW w:w="770" w:type="dxa"/>
            <w:tcBorders>
              <w:top w:val="nil"/>
              <w:left w:val="nil"/>
              <w:bottom w:val="single" w:sz="4" w:space="0" w:color="auto"/>
              <w:right w:val="single" w:sz="4" w:space="0" w:color="auto"/>
            </w:tcBorders>
            <w:shd w:val="clear" w:color="000000" w:fill="DAEEF3"/>
            <w:noWrap/>
            <w:vAlign w:val="bottom"/>
            <w:hideMark/>
          </w:tcPr>
          <w:p w14:paraId="55FBE26A"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5.2%</w:t>
            </w:r>
          </w:p>
        </w:tc>
        <w:tc>
          <w:tcPr>
            <w:tcW w:w="841" w:type="dxa"/>
            <w:tcBorders>
              <w:top w:val="nil"/>
              <w:left w:val="nil"/>
              <w:bottom w:val="single" w:sz="4" w:space="0" w:color="auto"/>
              <w:right w:val="single" w:sz="4" w:space="0" w:color="auto"/>
            </w:tcBorders>
            <w:shd w:val="clear" w:color="000000" w:fill="DAEEF3"/>
            <w:noWrap/>
            <w:vAlign w:val="bottom"/>
            <w:hideMark/>
          </w:tcPr>
          <w:p w14:paraId="3B29D93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2.6%</w:t>
            </w:r>
          </w:p>
        </w:tc>
        <w:tc>
          <w:tcPr>
            <w:tcW w:w="770" w:type="dxa"/>
            <w:tcBorders>
              <w:top w:val="nil"/>
              <w:left w:val="nil"/>
              <w:bottom w:val="single" w:sz="4" w:space="0" w:color="auto"/>
              <w:right w:val="single" w:sz="4" w:space="0" w:color="auto"/>
            </w:tcBorders>
            <w:shd w:val="clear" w:color="000000" w:fill="DAEEF3"/>
            <w:noWrap/>
            <w:vAlign w:val="bottom"/>
            <w:hideMark/>
          </w:tcPr>
          <w:p w14:paraId="4F7E2117"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6.2%</w:t>
            </w:r>
          </w:p>
        </w:tc>
        <w:tc>
          <w:tcPr>
            <w:tcW w:w="841" w:type="dxa"/>
            <w:tcBorders>
              <w:top w:val="nil"/>
              <w:left w:val="nil"/>
              <w:bottom w:val="single" w:sz="4" w:space="0" w:color="auto"/>
              <w:right w:val="single" w:sz="8" w:space="0" w:color="auto"/>
            </w:tcBorders>
            <w:shd w:val="clear" w:color="000000" w:fill="DAEEF3"/>
            <w:noWrap/>
            <w:vAlign w:val="bottom"/>
            <w:hideMark/>
          </w:tcPr>
          <w:p w14:paraId="34C8459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2.9%</w:t>
            </w:r>
          </w:p>
        </w:tc>
      </w:tr>
      <w:tr w:rsidR="00F20114" w:rsidRPr="00D84D77" w14:paraId="107F4B40"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0E3A1462" w14:textId="77777777" w:rsidR="00F20114" w:rsidRPr="00D84D77" w:rsidRDefault="00F20114" w:rsidP="00F20114">
            <w:pPr>
              <w:rPr>
                <w:rFonts w:ascii="Calibri" w:hAnsi="Calibri"/>
                <w:sz w:val="20"/>
                <w:lang w:eastAsia="en-AU"/>
              </w:rPr>
            </w:pPr>
            <w:r w:rsidRPr="00D84D77">
              <w:rPr>
                <w:rFonts w:ascii="Calibri" w:hAnsi="Calibri"/>
                <w:sz w:val="20"/>
                <w:lang w:eastAsia="en-AU"/>
              </w:rPr>
              <w:t xml:space="preserve">Glen </w:t>
            </w:r>
            <w:proofErr w:type="spellStart"/>
            <w:r w:rsidRPr="00D84D77">
              <w:rPr>
                <w:rFonts w:ascii="Calibri" w:hAnsi="Calibri"/>
                <w:sz w:val="20"/>
                <w:lang w:eastAsia="en-AU"/>
              </w:rPr>
              <w:t>Eira</w:t>
            </w:r>
            <w:proofErr w:type="spellEnd"/>
          </w:p>
        </w:tc>
        <w:tc>
          <w:tcPr>
            <w:tcW w:w="726" w:type="dxa"/>
            <w:tcBorders>
              <w:top w:val="nil"/>
              <w:left w:val="nil"/>
              <w:bottom w:val="single" w:sz="4" w:space="0" w:color="auto"/>
              <w:right w:val="single" w:sz="4" w:space="0" w:color="auto"/>
            </w:tcBorders>
            <w:shd w:val="clear" w:color="000000" w:fill="FDE9D9"/>
            <w:noWrap/>
            <w:vAlign w:val="bottom"/>
            <w:hideMark/>
          </w:tcPr>
          <w:p w14:paraId="652CAFD8"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6.9%</w:t>
            </w:r>
          </w:p>
        </w:tc>
        <w:tc>
          <w:tcPr>
            <w:tcW w:w="840" w:type="dxa"/>
            <w:tcBorders>
              <w:top w:val="nil"/>
              <w:left w:val="nil"/>
              <w:bottom w:val="single" w:sz="4" w:space="0" w:color="auto"/>
              <w:right w:val="single" w:sz="4" w:space="0" w:color="auto"/>
            </w:tcBorders>
            <w:shd w:val="clear" w:color="000000" w:fill="FDE9D9"/>
            <w:noWrap/>
            <w:vAlign w:val="bottom"/>
            <w:hideMark/>
          </w:tcPr>
          <w:p w14:paraId="7E62E3C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5.8%</w:t>
            </w:r>
          </w:p>
        </w:tc>
        <w:tc>
          <w:tcPr>
            <w:tcW w:w="892" w:type="dxa"/>
            <w:tcBorders>
              <w:top w:val="nil"/>
              <w:left w:val="nil"/>
              <w:bottom w:val="single" w:sz="4" w:space="0" w:color="auto"/>
              <w:right w:val="single" w:sz="4" w:space="0" w:color="auto"/>
            </w:tcBorders>
            <w:shd w:val="clear" w:color="000000" w:fill="FDE9D9"/>
            <w:noWrap/>
            <w:vAlign w:val="bottom"/>
          </w:tcPr>
          <w:p w14:paraId="32CA5D15" w14:textId="18ADA35C"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1861C33A"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8.3%</w:t>
            </w:r>
          </w:p>
        </w:tc>
        <w:tc>
          <w:tcPr>
            <w:tcW w:w="841" w:type="dxa"/>
            <w:tcBorders>
              <w:top w:val="nil"/>
              <w:left w:val="nil"/>
              <w:bottom w:val="single" w:sz="4" w:space="0" w:color="auto"/>
              <w:right w:val="single" w:sz="8" w:space="0" w:color="auto"/>
            </w:tcBorders>
            <w:shd w:val="clear" w:color="000000" w:fill="FDE9D9"/>
            <w:noWrap/>
            <w:vAlign w:val="bottom"/>
            <w:hideMark/>
          </w:tcPr>
          <w:p w14:paraId="798B3E5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6.8%</w:t>
            </w:r>
          </w:p>
        </w:tc>
        <w:tc>
          <w:tcPr>
            <w:tcW w:w="770" w:type="dxa"/>
            <w:tcBorders>
              <w:top w:val="nil"/>
              <w:left w:val="nil"/>
              <w:bottom w:val="single" w:sz="4" w:space="0" w:color="auto"/>
              <w:right w:val="single" w:sz="4" w:space="0" w:color="auto"/>
            </w:tcBorders>
            <w:shd w:val="clear" w:color="000000" w:fill="DAEEF3"/>
            <w:noWrap/>
            <w:vAlign w:val="bottom"/>
            <w:hideMark/>
          </w:tcPr>
          <w:p w14:paraId="6DE296B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3.0%</w:t>
            </w:r>
          </w:p>
        </w:tc>
        <w:tc>
          <w:tcPr>
            <w:tcW w:w="841" w:type="dxa"/>
            <w:tcBorders>
              <w:top w:val="nil"/>
              <w:left w:val="nil"/>
              <w:bottom w:val="single" w:sz="4" w:space="0" w:color="auto"/>
              <w:right w:val="single" w:sz="4" w:space="0" w:color="auto"/>
            </w:tcBorders>
            <w:shd w:val="clear" w:color="000000" w:fill="DAEEF3"/>
            <w:noWrap/>
            <w:vAlign w:val="bottom"/>
            <w:hideMark/>
          </w:tcPr>
          <w:p w14:paraId="28BDF7D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2.6%</w:t>
            </w:r>
          </w:p>
        </w:tc>
        <w:tc>
          <w:tcPr>
            <w:tcW w:w="770" w:type="dxa"/>
            <w:tcBorders>
              <w:top w:val="nil"/>
              <w:left w:val="nil"/>
              <w:bottom w:val="single" w:sz="4" w:space="0" w:color="auto"/>
              <w:right w:val="single" w:sz="4" w:space="0" w:color="auto"/>
            </w:tcBorders>
            <w:shd w:val="clear" w:color="000000" w:fill="DAEEF3"/>
            <w:noWrap/>
            <w:vAlign w:val="bottom"/>
            <w:hideMark/>
          </w:tcPr>
          <w:p w14:paraId="1AD93CC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3.6%</w:t>
            </w:r>
          </w:p>
        </w:tc>
        <w:tc>
          <w:tcPr>
            <w:tcW w:w="841" w:type="dxa"/>
            <w:tcBorders>
              <w:top w:val="nil"/>
              <w:left w:val="nil"/>
              <w:bottom w:val="single" w:sz="4" w:space="0" w:color="auto"/>
              <w:right w:val="single" w:sz="8" w:space="0" w:color="auto"/>
            </w:tcBorders>
            <w:shd w:val="clear" w:color="000000" w:fill="DAEEF3"/>
            <w:noWrap/>
            <w:vAlign w:val="bottom"/>
            <w:hideMark/>
          </w:tcPr>
          <w:p w14:paraId="1AFDAA6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3.0%</w:t>
            </w:r>
          </w:p>
        </w:tc>
      </w:tr>
      <w:tr w:rsidR="00F20114" w:rsidRPr="00D84D77" w14:paraId="625FC481"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7E768633" w14:textId="77777777" w:rsidR="00F20114" w:rsidRPr="00D84D77" w:rsidRDefault="00F20114" w:rsidP="00F20114">
            <w:pPr>
              <w:rPr>
                <w:rFonts w:ascii="Calibri" w:hAnsi="Calibri"/>
                <w:sz w:val="20"/>
                <w:lang w:eastAsia="en-AU"/>
              </w:rPr>
            </w:pPr>
            <w:r w:rsidRPr="00D84D77">
              <w:rPr>
                <w:rFonts w:ascii="Calibri" w:hAnsi="Calibri"/>
                <w:sz w:val="20"/>
                <w:lang w:eastAsia="en-AU"/>
              </w:rPr>
              <w:t>Glenelg</w:t>
            </w:r>
          </w:p>
        </w:tc>
        <w:tc>
          <w:tcPr>
            <w:tcW w:w="726" w:type="dxa"/>
            <w:tcBorders>
              <w:top w:val="nil"/>
              <w:left w:val="nil"/>
              <w:bottom w:val="single" w:sz="4" w:space="0" w:color="auto"/>
              <w:right w:val="single" w:sz="4" w:space="0" w:color="auto"/>
            </w:tcBorders>
            <w:shd w:val="clear" w:color="000000" w:fill="FDE9D9"/>
            <w:noWrap/>
            <w:vAlign w:val="bottom"/>
            <w:hideMark/>
          </w:tcPr>
          <w:p w14:paraId="24075C5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9.7%</w:t>
            </w:r>
          </w:p>
        </w:tc>
        <w:tc>
          <w:tcPr>
            <w:tcW w:w="840" w:type="dxa"/>
            <w:tcBorders>
              <w:top w:val="nil"/>
              <w:left w:val="nil"/>
              <w:bottom w:val="single" w:sz="4" w:space="0" w:color="auto"/>
              <w:right w:val="single" w:sz="4" w:space="0" w:color="auto"/>
            </w:tcBorders>
            <w:shd w:val="clear" w:color="000000" w:fill="FDE9D9"/>
            <w:noWrap/>
            <w:vAlign w:val="bottom"/>
            <w:hideMark/>
          </w:tcPr>
          <w:p w14:paraId="496D9120"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5.1%</w:t>
            </w:r>
          </w:p>
        </w:tc>
        <w:tc>
          <w:tcPr>
            <w:tcW w:w="892" w:type="dxa"/>
            <w:tcBorders>
              <w:top w:val="nil"/>
              <w:left w:val="nil"/>
              <w:bottom w:val="single" w:sz="4" w:space="0" w:color="auto"/>
              <w:right w:val="single" w:sz="4" w:space="0" w:color="auto"/>
            </w:tcBorders>
            <w:shd w:val="clear" w:color="000000" w:fill="FDE9D9"/>
            <w:noWrap/>
            <w:vAlign w:val="bottom"/>
          </w:tcPr>
          <w:p w14:paraId="0B656294" w14:textId="5860AECD"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4B83751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12.7%</w:t>
            </w:r>
          </w:p>
        </w:tc>
        <w:tc>
          <w:tcPr>
            <w:tcW w:w="841" w:type="dxa"/>
            <w:tcBorders>
              <w:top w:val="nil"/>
              <w:left w:val="nil"/>
              <w:bottom w:val="single" w:sz="4" w:space="0" w:color="auto"/>
              <w:right w:val="single" w:sz="8" w:space="0" w:color="auto"/>
            </w:tcBorders>
            <w:shd w:val="clear" w:color="000000" w:fill="FDE9D9"/>
            <w:noWrap/>
            <w:vAlign w:val="bottom"/>
            <w:hideMark/>
          </w:tcPr>
          <w:p w14:paraId="0D3015C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5.9%</w:t>
            </w:r>
          </w:p>
        </w:tc>
        <w:tc>
          <w:tcPr>
            <w:tcW w:w="770" w:type="dxa"/>
            <w:tcBorders>
              <w:top w:val="nil"/>
              <w:left w:val="nil"/>
              <w:bottom w:val="single" w:sz="4" w:space="0" w:color="auto"/>
              <w:right w:val="single" w:sz="4" w:space="0" w:color="auto"/>
            </w:tcBorders>
            <w:shd w:val="clear" w:color="000000" w:fill="DAEEF3"/>
            <w:noWrap/>
            <w:vAlign w:val="bottom"/>
            <w:hideMark/>
          </w:tcPr>
          <w:p w14:paraId="08C12B8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9.7%</w:t>
            </w:r>
          </w:p>
        </w:tc>
        <w:tc>
          <w:tcPr>
            <w:tcW w:w="841" w:type="dxa"/>
            <w:tcBorders>
              <w:top w:val="nil"/>
              <w:left w:val="nil"/>
              <w:bottom w:val="single" w:sz="4" w:space="0" w:color="auto"/>
              <w:right w:val="single" w:sz="4" w:space="0" w:color="auto"/>
            </w:tcBorders>
            <w:shd w:val="clear" w:color="000000" w:fill="DAEEF3"/>
            <w:noWrap/>
            <w:vAlign w:val="bottom"/>
            <w:hideMark/>
          </w:tcPr>
          <w:p w14:paraId="75AF632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5.1%</w:t>
            </w:r>
          </w:p>
        </w:tc>
        <w:tc>
          <w:tcPr>
            <w:tcW w:w="770" w:type="dxa"/>
            <w:tcBorders>
              <w:top w:val="nil"/>
              <w:left w:val="nil"/>
              <w:bottom w:val="single" w:sz="4" w:space="0" w:color="auto"/>
              <w:right w:val="single" w:sz="4" w:space="0" w:color="auto"/>
            </w:tcBorders>
            <w:shd w:val="clear" w:color="000000" w:fill="DAEEF3"/>
            <w:noWrap/>
            <w:vAlign w:val="bottom"/>
            <w:hideMark/>
          </w:tcPr>
          <w:p w14:paraId="647CE20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12.7%</w:t>
            </w:r>
          </w:p>
        </w:tc>
        <w:tc>
          <w:tcPr>
            <w:tcW w:w="841" w:type="dxa"/>
            <w:tcBorders>
              <w:top w:val="nil"/>
              <w:left w:val="nil"/>
              <w:bottom w:val="single" w:sz="4" w:space="0" w:color="auto"/>
              <w:right w:val="single" w:sz="8" w:space="0" w:color="auto"/>
            </w:tcBorders>
            <w:shd w:val="clear" w:color="000000" w:fill="DAEEF3"/>
            <w:noWrap/>
            <w:vAlign w:val="bottom"/>
            <w:hideMark/>
          </w:tcPr>
          <w:p w14:paraId="25F92727"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5.9%</w:t>
            </w:r>
          </w:p>
        </w:tc>
      </w:tr>
      <w:tr w:rsidR="00F20114" w:rsidRPr="00D84D77" w14:paraId="68A242B4"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0F0271B1" w14:textId="77777777" w:rsidR="00F20114" w:rsidRPr="00D84D77" w:rsidRDefault="00F20114" w:rsidP="00F20114">
            <w:pPr>
              <w:rPr>
                <w:rFonts w:ascii="Calibri" w:hAnsi="Calibri"/>
                <w:sz w:val="20"/>
                <w:lang w:eastAsia="en-AU"/>
              </w:rPr>
            </w:pPr>
            <w:r w:rsidRPr="00D84D77">
              <w:rPr>
                <w:rFonts w:ascii="Calibri" w:hAnsi="Calibri"/>
                <w:sz w:val="20"/>
                <w:lang w:eastAsia="en-AU"/>
              </w:rPr>
              <w:t>Golden Plains</w:t>
            </w:r>
          </w:p>
        </w:tc>
        <w:tc>
          <w:tcPr>
            <w:tcW w:w="726" w:type="dxa"/>
            <w:tcBorders>
              <w:top w:val="nil"/>
              <w:left w:val="nil"/>
              <w:bottom w:val="single" w:sz="4" w:space="0" w:color="auto"/>
              <w:right w:val="single" w:sz="4" w:space="0" w:color="auto"/>
            </w:tcBorders>
            <w:shd w:val="clear" w:color="000000" w:fill="FDE9D9"/>
            <w:noWrap/>
            <w:vAlign w:val="bottom"/>
            <w:hideMark/>
          </w:tcPr>
          <w:p w14:paraId="6BD04B32"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0" w:type="dxa"/>
            <w:tcBorders>
              <w:top w:val="nil"/>
              <w:left w:val="nil"/>
              <w:bottom w:val="single" w:sz="4" w:space="0" w:color="auto"/>
              <w:right w:val="single" w:sz="4" w:space="0" w:color="auto"/>
            </w:tcBorders>
            <w:shd w:val="clear" w:color="000000" w:fill="FDE9D9"/>
            <w:noWrap/>
            <w:vAlign w:val="bottom"/>
            <w:hideMark/>
          </w:tcPr>
          <w:p w14:paraId="30E1AA56"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92" w:type="dxa"/>
            <w:tcBorders>
              <w:top w:val="nil"/>
              <w:left w:val="nil"/>
              <w:bottom w:val="single" w:sz="4" w:space="0" w:color="auto"/>
              <w:right w:val="single" w:sz="4" w:space="0" w:color="auto"/>
            </w:tcBorders>
            <w:shd w:val="clear" w:color="000000" w:fill="FDE9D9"/>
            <w:noWrap/>
            <w:vAlign w:val="bottom"/>
          </w:tcPr>
          <w:p w14:paraId="5C5071BE" w14:textId="101ED906"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15287153"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FDE9D9"/>
            <w:noWrap/>
            <w:vAlign w:val="bottom"/>
            <w:hideMark/>
          </w:tcPr>
          <w:p w14:paraId="4B9034D3"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76475AEA"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4" w:space="0" w:color="auto"/>
            </w:tcBorders>
            <w:shd w:val="clear" w:color="000000" w:fill="DAEEF3"/>
            <w:noWrap/>
            <w:vAlign w:val="bottom"/>
            <w:hideMark/>
          </w:tcPr>
          <w:p w14:paraId="2A77C22A"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4F60822D"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DAEEF3"/>
            <w:noWrap/>
            <w:vAlign w:val="bottom"/>
            <w:hideMark/>
          </w:tcPr>
          <w:p w14:paraId="446EC5AC"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r>
      <w:tr w:rsidR="00F20114" w:rsidRPr="00D84D77" w14:paraId="7A4808D7"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33E5F0D2" w14:textId="77777777" w:rsidR="00F20114" w:rsidRPr="00D84D77" w:rsidRDefault="00F20114" w:rsidP="00F20114">
            <w:pPr>
              <w:rPr>
                <w:rFonts w:ascii="Calibri" w:hAnsi="Calibri"/>
                <w:sz w:val="20"/>
                <w:lang w:eastAsia="en-AU"/>
              </w:rPr>
            </w:pPr>
            <w:r w:rsidRPr="00D84D77">
              <w:rPr>
                <w:rFonts w:ascii="Calibri" w:hAnsi="Calibri"/>
                <w:sz w:val="20"/>
                <w:lang w:eastAsia="en-AU"/>
              </w:rPr>
              <w:t>Greater Bendigo</w:t>
            </w:r>
          </w:p>
        </w:tc>
        <w:tc>
          <w:tcPr>
            <w:tcW w:w="726" w:type="dxa"/>
            <w:tcBorders>
              <w:top w:val="nil"/>
              <w:left w:val="nil"/>
              <w:bottom w:val="single" w:sz="4" w:space="0" w:color="auto"/>
              <w:right w:val="single" w:sz="4" w:space="0" w:color="auto"/>
            </w:tcBorders>
            <w:shd w:val="clear" w:color="000000" w:fill="FDE9D9"/>
            <w:noWrap/>
            <w:vAlign w:val="bottom"/>
            <w:hideMark/>
          </w:tcPr>
          <w:p w14:paraId="175484A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14.0%</w:t>
            </w:r>
          </w:p>
        </w:tc>
        <w:tc>
          <w:tcPr>
            <w:tcW w:w="840" w:type="dxa"/>
            <w:tcBorders>
              <w:top w:val="nil"/>
              <w:left w:val="nil"/>
              <w:bottom w:val="single" w:sz="4" w:space="0" w:color="auto"/>
              <w:right w:val="single" w:sz="4" w:space="0" w:color="auto"/>
            </w:tcBorders>
            <w:shd w:val="clear" w:color="000000" w:fill="FDE9D9"/>
            <w:noWrap/>
            <w:vAlign w:val="bottom"/>
            <w:hideMark/>
          </w:tcPr>
          <w:p w14:paraId="2072B94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11.6%</w:t>
            </w:r>
          </w:p>
        </w:tc>
        <w:tc>
          <w:tcPr>
            <w:tcW w:w="892" w:type="dxa"/>
            <w:tcBorders>
              <w:top w:val="nil"/>
              <w:left w:val="nil"/>
              <w:bottom w:val="single" w:sz="4" w:space="0" w:color="auto"/>
              <w:right w:val="single" w:sz="4" w:space="0" w:color="auto"/>
            </w:tcBorders>
            <w:shd w:val="clear" w:color="000000" w:fill="FDE9D9"/>
            <w:noWrap/>
            <w:vAlign w:val="bottom"/>
          </w:tcPr>
          <w:p w14:paraId="6C3A2610" w14:textId="0A7879E6"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0DD3352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16.4%</w:t>
            </w:r>
          </w:p>
        </w:tc>
        <w:tc>
          <w:tcPr>
            <w:tcW w:w="841" w:type="dxa"/>
            <w:tcBorders>
              <w:top w:val="nil"/>
              <w:left w:val="nil"/>
              <w:bottom w:val="single" w:sz="4" w:space="0" w:color="auto"/>
              <w:right w:val="single" w:sz="8" w:space="0" w:color="auto"/>
            </w:tcBorders>
            <w:shd w:val="clear" w:color="000000" w:fill="FDE9D9"/>
            <w:noWrap/>
            <w:vAlign w:val="bottom"/>
            <w:hideMark/>
          </w:tcPr>
          <w:p w14:paraId="7AAA6D2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13.2%</w:t>
            </w:r>
          </w:p>
        </w:tc>
        <w:tc>
          <w:tcPr>
            <w:tcW w:w="770" w:type="dxa"/>
            <w:tcBorders>
              <w:top w:val="nil"/>
              <w:left w:val="nil"/>
              <w:bottom w:val="single" w:sz="4" w:space="0" w:color="auto"/>
              <w:right w:val="single" w:sz="4" w:space="0" w:color="auto"/>
            </w:tcBorders>
            <w:shd w:val="clear" w:color="000000" w:fill="DAEEF3"/>
            <w:noWrap/>
            <w:vAlign w:val="bottom"/>
            <w:hideMark/>
          </w:tcPr>
          <w:p w14:paraId="772B8C5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10.2%</w:t>
            </w:r>
          </w:p>
        </w:tc>
        <w:tc>
          <w:tcPr>
            <w:tcW w:w="841" w:type="dxa"/>
            <w:tcBorders>
              <w:top w:val="nil"/>
              <w:left w:val="nil"/>
              <w:bottom w:val="single" w:sz="4" w:space="0" w:color="auto"/>
              <w:right w:val="single" w:sz="4" w:space="0" w:color="auto"/>
            </w:tcBorders>
            <w:shd w:val="clear" w:color="000000" w:fill="DAEEF3"/>
            <w:noWrap/>
            <w:vAlign w:val="bottom"/>
            <w:hideMark/>
          </w:tcPr>
          <w:p w14:paraId="5CB512B8"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8.4%</w:t>
            </w:r>
          </w:p>
        </w:tc>
        <w:tc>
          <w:tcPr>
            <w:tcW w:w="770" w:type="dxa"/>
            <w:tcBorders>
              <w:top w:val="nil"/>
              <w:left w:val="nil"/>
              <w:bottom w:val="single" w:sz="4" w:space="0" w:color="auto"/>
              <w:right w:val="single" w:sz="4" w:space="0" w:color="auto"/>
            </w:tcBorders>
            <w:shd w:val="clear" w:color="000000" w:fill="DAEEF3"/>
            <w:noWrap/>
            <w:vAlign w:val="bottom"/>
            <w:hideMark/>
          </w:tcPr>
          <w:p w14:paraId="299C009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11.9%</w:t>
            </w:r>
          </w:p>
        </w:tc>
        <w:tc>
          <w:tcPr>
            <w:tcW w:w="841" w:type="dxa"/>
            <w:tcBorders>
              <w:top w:val="nil"/>
              <w:left w:val="nil"/>
              <w:bottom w:val="single" w:sz="4" w:space="0" w:color="auto"/>
              <w:right w:val="single" w:sz="8" w:space="0" w:color="auto"/>
            </w:tcBorders>
            <w:shd w:val="clear" w:color="000000" w:fill="DAEEF3"/>
            <w:noWrap/>
            <w:vAlign w:val="bottom"/>
            <w:hideMark/>
          </w:tcPr>
          <w:p w14:paraId="60CED82C"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9.5%</w:t>
            </w:r>
          </w:p>
        </w:tc>
      </w:tr>
      <w:tr w:rsidR="00F20114" w:rsidRPr="00D84D77" w14:paraId="5F44F090"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38881FC9" w14:textId="77777777" w:rsidR="00F20114" w:rsidRPr="00D84D77" w:rsidRDefault="00F20114" w:rsidP="00F20114">
            <w:pPr>
              <w:rPr>
                <w:rFonts w:ascii="Calibri" w:hAnsi="Calibri"/>
                <w:sz w:val="20"/>
                <w:lang w:eastAsia="en-AU"/>
              </w:rPr>
            </w:pPr>
            <w:r w:rsidRPr="00D84D77">
              <w:rPr>
                <w:rFonts w:ascii="Calibri" w:hAnsi="Calibri"/>
                <w:sz w:val="20"/>
                <w:lang w:eastAsia="en-AU"/>
              </w:rPr>
              <w:t>Greater Dandenong</w:t>
            </w:r>
          </w:p>
        </w:tc>
        <w:tc>
          <w:tcPr>
            <w:tcW w:w="726" w:type="dxa"/>
            <w:tcBorders>
              <w:top w:val="nil"/>
              <w:left w:val="nil"/>
              <w:bottom w:val="single" w:sz="4" w:space="0" w:color="auto"/>
              <w:right w:val="single" w:sz="4" w:space="0" w:color="auto"/>
            </w:tcBorders>
            <w:shd w:val="clear" w:color="000000" w:fill="FDE9D9"/>
            <w:noWrap/>
            <w:vAlign w:val="bottom"/>
            <w:hideMark/>
          </w:tcPr>
          <w:p w14:paraId="5938294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2.0%</w:t>
            </w:r>
          </w:p>
        </w:tc>
        <w:tc>
          <w:tcPr>
            <w:tcW w:w="840" w:type="dxa"/>
            <w:tcBorders>
              <w:top w:val="nil"/>
              <w:left w:val="nil"/>
              <w:bottom w:val="single" w:sz="4" w:space="0" w:color="auto"/>
              <w:right w:val="single" w:sz="4" w:space="0" w:color="auto"/>
            </w:tcBorders>
            <w:shd w:val="clear" w:color="000000" w:fill="FDE9D9"/>
            <w:noWrap/>
            <w:vAlign w:val="bottom"/>
            <w:hideMark/>
          </w:tcPr>
          <w:p w14:paraId="5A9458AA"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1.4%</w:t>
            </w:r>
          </w:p>
        </w:tc>
        <w:tc>
          <w:tcPr>
            <w:tcW w:w="892" w:type="dxa"/>
            <w:tcBorders>
              <w:top w:val="nil"/>
              <w:left w:val="nil"/>
              <w:bottom w:val="single" w:sz="4" w:space="0" w:color="auto"/>
              <w:right w:val="single" w:sz="4" w:space="0" w:color="auto"/>
            </w:tcBorders>
            <w:shd w:val="clear" w:color="000000" w:fill="FDE9D9"/>
            <w:noWrap/>
            <w:vAlign w:val="bottom"/>
          </w:tcPr>
          <w:p w14:paraId="081A63BA" w14:textId="4AE9214E"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7770949C"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2.4%</w:t>
            </w:r>
          </w:p>
        </w:tc>
        <w:tc>
          <w:tcPr>
            <w:tcW w:w="841" w:type="dxa"/>
            <w:tcBorders>
              <w:top w:val="nil"/>
              <w:left w:val="nil"/>
              <w:bottom w:val="single" w:sz="4" w:space="0" w:color="auto"/>
              <w:right w:val="single" w:sz="8" w:space="0" w:color="auto"/>
            </w:tcBorders>
            <w:shd w:val="clear" w:color="000000" w:fill="FDE9D9"/>
            <w:noWrap/>
            <w:vAlign w:val="bottom"/>
            <w:hideMark/>
          </w:tcPr>
          <w:p w14:paraId="35020DCC"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1.6%</w:t>
            </w:r>
          </w:p>
        </w:tc>
        <w:tc>
          <w:tcPr>
            <w:tcW w:w="770" w:type="dxa"/>
            <w:tcBorders>
              <w:top w:val="nil"/>
              <w:left w:val="nil"/>
              <w:bottom w:val="single" w:sz="4" w:space="0" w:color="auto"/>
              <w:right w:val="single" w:sz="4" w:space="0" w:color="auto"/>
            </w:tcBorders>
            <w:shd w:val="clear" w:color="000000" w:fill="DAEEF3"/>
            <w:noWrap/>
            <w:vAlign w:val="bottom"/>
            <w:hideMark/>
          </w:tcPr>
          <w:p w14:paraId="2AD81EF5"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4" w:space="0" w:color="auto"/>
            </w:tcBorders>
            <w:shd w:val="clear" w:color="000000" w:fill="DAEEF3"/>
            <w:noWrap/>
            <w:vAlign w:val="bottom"/>
            <w:hideMark/>
          </w:tcPr>
          <w:p w14:paraId="40285A4C"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671CDF69"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DAEEF3"/>
            <w:noWrap/>
            <w:vAlign w:val="bottom"/>
            <w:hideMark/>
          </w:tcPr>
          <w:p w14:paraId="59B3BC20"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r>
      <w:tr w:rsidR="00F20114" w:rsidRPr="00D84D77" w14:paraId="23900D88"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72CDB574" w14:textId="77777777" w:rsidR="00F20114" w:rsidRPr="00D84D77" w:rsidRDefault="00F20114" w:rsidP="00F20114">
            <w:pPr>
              <w:rPr>
                <w:rFonts w:ascii="Calibri" w:hAnsi="Calibri"/>
                <w:sz w:val="20"/>
                <w:lang w:eastAsia="en-AU"/>
              </w:rPr>
            </w:pPr>
            <w:r w:rsidRPr="00D84D77">
              <w:rPr>
                <w:rFonts w:ascii="Calibri" w:hAnsi="Calibri"/>
                <w:sz w:val="20"/>
                <w:lang w:eastAsia="en-AU"/>
              </w:rPr>
              <w:t>Greater Geelong</w:t>
            </w:r>
          </w:p>
        </w:tc>
        <w:tc>
          <w:tcPr>
            <w:tcW w:w="726" w:type="dxa"/>
            <w:tcBorders>
              <w:top w:val="nil"/>
              <w:left w:val="nil"/>
              <w:bottom w:val="single" w:sz="4" w:space="0" w:color="auto"/>
              <w:right w:val="single" w:sz="4" w:space="0" w:color="auto"/>
            </w:tcBorders>
            <w:shd w:val="clear" w:color="000000" w:fill="FDE9D9"/>
            <w:noWrap/>
            <w:vAlign w:val="bottom"/>
            <w:hideMark/>
          </w:tcPr>
          <w:p w14:paraId="58B7079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10.1%</w:t>
            </w:r>
          </w:p>
        </w:tc>
        <w:tc>
          <w:tcPr>
            <w:tcW w:w="840" w:type="dxa"/>
            <w:tcBorders>
              <w:top w:val="nil"/>
              <w:left w:val="nil"/>
              <w:bottom w:val="single" w:sz="4" w:space="0" w:color="auto"/>
              <w:right w:val="single" w:sz="4" w:space="0" w:color="auto"/>
            </w:tcBorders>
            <w:shd w:val="clear" w:color="000000" w:fill="FDE9D9"/>
            <w:noWrap/>
            <w:vAlign w:val="bottom"/>
            <w:hideMark/>
          </w:tcPr>
          <w:p w14:paraId="00AC289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8.3%</w:t>
            </w:r>
          </w:p>
        </w:tc>
        <w:tc>
          <w:tcPr>
            <w:tcW w:w="892" w:type="dxa"/>
            <w:tcBorders>
              <w:top w:val="nil"/>
              <w:left w:val="nil"/>
              <w:bottom w:val="single" w:sz="4" w:space="0" w:color="auto"/>
              <w:right w:val="single" w:sz="4" w:space="0" w:color="auto"/>
            </w:tcBorders>
            <w:shd w:val="clear" w:color="000000" w:fill="FDE9D9"/>
            <w:noWrap/>
            <w:vAlign w:val="bottom"/>
          </w:tcPr>
          <w:p w14:paraId="679D194A" w14:textId="6CAF8261"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10E02B3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11.7%</w:t>
            </w:r>
          </w:p>
        </w:tc>
        <w:tc>
          <w:tcPr>
            <w:tcW w:w="841" w:type="dxa"/>
            <w:tcBorders>
              <w:top w:val="nil"/>
              <w:left w:val="nil"/>
              <w:bottom w:val="single" w:sz="4" w:space="0" w:color="auto"/>
              <w:right w:val="single" w:sz="8" w:space="0" w:color="auto"/>
            </w:tcBorders>
            <w:shd w:val="clear" w:color="000000" w:fill="FDE9D9"/>
            <w:noWrap/>
            <w:vAlign w:val="bottom"/>
            <w:hideMark/>
          </w:tcPr>
          <w:p w14:paraId="02E5A6A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9.4%</w:t>
            </w:r>
          </w:p>
        </w:tc>
        <w:tc>
          <w:tcPr>
            <w:tcW w:w="770" w:type="dxa"/>
            <w:tcBorders>
              <w:top w:val="nil"/>
              <w:left w:val="nil"/>
              <w:bottom w:val="single" w:sz="4" w:space="0" w:color="auto"/>
              <w:right w:val="single" w:sz="4" w:space="0" w:color="auto"/>
            </w:tcBorders>
            <w:shd w:val="clear" w:color="000000" w:fill="DAEEF3"/>
            <w:noWrap/>
            <w:vAlign w:val="bottom"/>
            <w:hideMark/>
          </w:tcPr>
          <w:p w14:paraId="3F383DAC"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10.7%</w:t>
            </w:r>
          </w:p>
        </w:tc>
        <w:tc>
          <w:tcPr>
            <w:tcW w:w="841" w:type="dxa"/>
            <w:tcBorders>
              <w:top w:val="nil"/>
              <w:left w:val="nil"/>
              <w:bottom w:val="single" w:sz="4" w:space="0" w:color="auto"/>
              <w:right w:val="single" w:sz="4" w:space="0" w:color="auto"/>
            </w:tcBorders>
            <w:shd w:val="clear" w:color="000000" w:fill="DAEEF3"/>
            <w:noWrap/>
            <w:vAlign w:val="bottom"/>
            <w:hideMark/>
          </w:tcPr>
          <w:p w14:paraId="6BA2CED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8.8%</w:t>
            </w:r>
          </w:p>
        </w:tc>
        <w:tc>
          <w:tcPr>
            <w:tcW w:w="770" w:type="dxa"/>
            <w:tcBorders>
              <w:top w:val="nil"/>
              <w:left w:val="nil"/>
              <w:bottom w:val="single" w:sz="4" w:space="0" w:color="auto"/>
              <w:right w:val="single" w:sz="4" w:space="0" w:color="auto"/>
            </w:tcBorders>
            <w:shd w:val="clear" w:color="000000" w:fill="DAEEF3"/>
            <w:noWrap/>
            <w:vAlign w:val="bottom"/>
            <w:hideMark/>
          </w:tcPr>
          <w:p w14:paraId="5FE7144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12.4%</w:t>
            </w:r>
          </w:p>
        </w:tc>
        <w:tc>
          <w:tcPr>
            <w:tcW w:w="841" w:type="dxa"/>
            <w:tcBorders>
              <w:top w:val="nil"/>
              <w:left w:val="nil"/>
              <w:bottom w:val="single" w:sz="4" w:space="0" w:color="auto"/>
              <w:right w:val="single" w:sz="8" w:space="0" w:color="auto"/>
            </w:tcBorders>
            <w:shd w:val="clear" w:color="000000" w:fill="DAEEF3"/>
            <w:noWrap/>
            <w:vAlign w:val="bottom"/>
            <w:hideMark/>
          </w:tcPr>
          <w:p w14:paraId="3F00FA5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9.9%</w:t>
            </w:r>
          </w:p>
        </w:tc>
      </w:tr>
      <w:tr w:rsidR="00F20114" w:rsidRPr="00D84D77" w14:paraId="439A8DBC"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6863E9E7" w14:textId="77777777" w:rsidR="00F20114" w:rsidRPr="00D84D77" w:rsidRDefault="00F20114" w:rsidP="00F20114">
            <w:pPr>
              <w:rPr>
                <w:rFonts w:ascii="Calibri" w:hAnsi="Calibri"/>
                <w:sz w:val="20"/>
                <w:lang w:eastAsia="en-AU"/>
              </w:rPr>
            </w:pPr>
            <w:r w:rsidRPr="00D84D77">
              <w:rPr>
                <w:rFonts w:ascii="Calibri" w:hAnsi="Calibri"/>
                <w:sz w:val="20"/>
                <w:lang w:eastAsia="en-AU"/>
              </w:rPr>
              <w:t>Greater Shepparton</w:t>
            </w:r>
          </w:p>
        </w:tc>
        <w:tc>
          <w:tcPr>
            <w:tcW w:w="726" w:type="dxa"/>
            <w:tcBorders>
              <w:top w:val="nil"/>
              <w:left w:val="nil"/>
              <w:bottom w:val="single" w:sz="4" w:space="0" w:color="auto"/>
              <w:right w:val="single" w:sz="4" w:space="0" w:color="auto"/>
            </w:tcBorders>
            <w:shd w:val="clear" w:color="000000" w:fill="FDE9D9"/>
            <w:noWrap/>
            <w:vAlign w:val="bottom"/>
            <w:hideMark/>
          </w:tcPr>
          <w:p w14:paraId="5C113867"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18.4%</w:t>
            </w:r>
          </w:p>
        </w:tc>
        <w:tc>
          <w:tcPr>
            <w:tcW w:w="840" w:type="dxa"/>
            <w:tcBorders>
              <w:top w:val="nil"/>
              <w:left w:val="nil"/>
              <w:bottom w:val="single" w:sz="4" w:space="0" w:color="auto"/>
              <w:right w:val="single" w:sz="4" w:space="0" w:color="auto"/>
            </w:tcBorders>
            <w:shd w:val="clear" w:color="000000" w:fill="FDE9D9"/>
            <w:noWrap/>
            <w:vAlign w:val="bottom"/>
            <w:hideMark/>
          </w:tcPr>
          <w:p w14:paraId="1BADC06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13.4%</w:t>
            </w:r>
          </w:p>
        </w:tc>
        <w:tc>
          <w:tcPr>
            <w:tcW w:w="892" w:type="dxa"/>
            <w:tcBorders>
              <w:top w:val="nil"/>
              <w:left w:val="nil"/>
              <w:bottom w:val="single" w:sz="4" w:space="0" w:color="auto"/>
              <w:right w:val="single" w:sz="4" w:space="0" w:color="auto"/>
            </w:tcBorders>
            <w:shd w:val="clear" w:color="000000" w:fill="FDE9D9"/>
            <w:noWrap/>
            <w:vAlign w:val="bottom"/>
          </w:tcPr>
          <w:p w14:paraId="73BBFCD9" w14:textId="2429A34C"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0DDFF637"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21.2%</w:t>
            </w:r>
          </w:p>
        </w:tc>
        <w:tc>
          <w:tcPr>
            <w:tcW w:w="841" w:type="dxa"/>
            <w:tcBorders>
              <w:top w:val="nil"/>
              <w:left w:val="nil"/>
              <w:bottom w:val="single" w:sz="4" w:space="0" w:color="auto"/>
              <w:right w:val="single" w:sz="8" w:space="0" w:color="auto"/>
            </w:tcBorders>
            <w:shd w:val="clear" w:color="000000" w:fill="FDE9D9"/>
            <w:noWrap/>
            <w:vAlign w:val="bottom"/>
            <w:hideMark/>
          </w:tcPr>
          <w:p w14:paraId="63F54650"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14.8%</w:t>
            </w:r>
          </w:p>
        </w:tc>
        <w:tc>
          <w:tcPr>
            <w:tcW w:w="770" w:type="dxa"/>
            <w:tcBorders>
              <w:top w:val="nil"/>
              <w:left w:val="nil"/>
              <w:bottom w:val="single" w:sz="4" w:space="0" w:color="auto"/>
              <w:right w:val="single" w:sz="4" w:space="0" w:color="auto"/>
            </w:tcBorders>
            <w:shd w:val="clear" w:color="000000" w:fill="DAEEF3"/>
            <w:noWrap/>
            <w:vAlign w:val="bottom"/>
            <w:hideMark/>
          </w:tcPr>
          <w:p w14:paraId="53975CF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12.5%</w:t>
            </w:r>
          </w:p>
        </w:tc>
        <w:tc>
          <w:tcPr>
            <w:tcW w:w="841" w:type="dxa"/>
            <w:tcBorders>
              <w:top w:val="nil"/>
              <w:left w:val="nil"/>
              <w:bottom w:val="single" w:sz="4" w:space="0" w:color="auto"/>
              <w:right w:val="single" w:sz="4" w:space="0" w:color="auto"/>
            </w:tcBorders>
            <w:shd w:val="clear" w:color="000000" w:fill="DAEEF3"/>
            <w:noWrap/>
            <w:vAlign w:val="bottom"/>
            <w:hideMark/>
          </w:tcPr>
          <w:p w14:paraId="70D5DA1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9.1%</w:t>
            </w:r>
          </w:p>
        </w:tc>
        <w:tc>
          <w:tcPr>
            <w:tcW w:w="770" w:type="dxa"/>
            <w:tcBorders>
              <w:top w:val="nil"/>
              <w:left w:val="nil"/>
              <w:bottom w:val="single" w:sz="4" w:space="0" w:color="auto"/>
              <w:right w:val="single" w:sz="4" w:space="0" w:color="auto"/>
            </w:tcBorders>
            <w:shd w:val="clear" w:color="000000" w:fill="DAEEF3"/>
            <w:noWrap/>
            <w:vAlign w:val="bottom"/>
            <w:hideMark/>
          </w:tcPr>
          <w:p w14:paraId="571BF82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14.4%</w:t>
            </w:r>
          </w:p>
        </w:tc>
        <w:tc>
          <w:tcPr>
            <w:tcW w:w="841" w:type="dxa"/>
            <w:tcBorders>
              <w:top w:val="nil"/>
              <w:left w:val="nil"/>
              <w:bottom w:val="single" w:sz="4" w:space="0" w:color="auto"/>
              <w:right w:val="single" w:sz="8" w:space="0" w:color="auto"/>
            </w:tcBorders>
            <w:shd w:val="clear" w:color="000000" w:fill="DAEEF3"/>
            <w:noWrap/>
            <w:vAlign w:val="bottom"/>
            <w:hideMark/>
          </w:tcPr>
          <w:p w14:paraId="670B9D3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10.1%</w:t>
            </w:r>
          </w:p>
        </w:tc>
      </w:tr>
      <w:tr w:rsidR="00F20114" w:rsidRPr="00D84D77" w14:paraId="43782AFB"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1B3C47D5" w14:textId="77777777" w:rsidR="00F20114" w:rsidRPr="00D84D77" w:rsidRDefault="00F20114" w:rsidP="00F20114">
            <w:pPr>
              <w:rPr>
                <w:rFonts w:ascii="Calibri" w:hAnsi="Calibri"/>
                <w:sz w:val="20"/>
                <w:lang w:eastAsia="en-AU"/>
              </w:rPr>
            </w:pPr>
            <w:r w:rsidRPr="00D84D77">
              <w:rPr>
                <w:rFonts w:ascii="Calibri" w:hAnsi="Calibri"/>
                <w:sz w:val="20"/>
                <w:lang w:eastAsia="en-AU"/>
              </w:rPr>
              <w:t>Hepburn#</w:t>
            </w:r>
          </w:p>
        </w:tc>
        <w:tc>
          <w:tcPr>
            <w:tcW w:w="726" w:type="dxa"/>
            <w:tcBorders>
              <w:top w:val="nil"/>
              <w:left w:val="nil"/>
              <w:bottom w:val="single" w:sz="4" w:space="0" w:color="auto"/>
              <w:right w:val="single" w:sz="4" w:space="0" w:color="auto"/>
            </w:tcBorders>
            <w:shd w:val="clear" w:color="000000" w:fill="FDE9D9"/>
            <w:noWrap/>
            <w:vAlign w:val="bottom"/>
            <w:hideMark/>
          </w:tcPr>
          <w:p w14:paraId="729C646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6.1%</w:t>
            </w:r>
          </w:p>
        </w:tc>
        <w:tc>
          <w:tcPr>
            <w:tcW w:w="840" w:type="dxa"/>
            <w:tcBorders>
              <w:top w:val="nil"/>
              <w:left w:val="nil"/>
              <w:bottom w:val="single" w:sz="4" w:space="0" w:color="auto"/>
              <w:right w:val="single" w:sz="4" w:space="0" w:color="auto"/>
            </w:tcBorders>
            <w:shd w:val="clear" w:color="000000" w:fill="FDE9D9"/>
            <w:noWrap/>
            <w:vAlign w:val="bottom"/>
            <w:hideMark/>
          </w:tcPr>
          <w:p w14:paraId="74C3F1A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3.8%</w:t>
            </w:r>
          </w:p>
        </w:tc>
        <w:tc>
          <w:tcPr>
            <w:tcW w:w="892" w:type="dxa"/>
            <w:tcBorders>
              <w:top w:val="nil"/>
              <w:left w:val="nil"/>
              <w:bottom w:val="single" w:sz="4" w:space="0" w:color="auto"/>
              <w:right w:val="single" w:sz="4" w:space="0" w:color="auto"/>
            </w:tcBorders>
            <w:shd w:val="clear" w:color="000000" w:fill="FDE9D9"/>
            <w:noWrap/>
            <w:vAlign w:val="bottom"/>
          </w:tcPr>
          <w:p w14:paraId="1C1B26E2" w14:textId="6C6A6F33"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58AF6605"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7.2%</w:t>
            </w:r>
          </w:p>
        </w:tc>
        <w:tc>
          <w:tcPr>
            <w:tcW w:w="841" w:type="dxa"/>
            <w:tcBorders>
              <w:top w:val="nil"/>
              <w:left w:val="nil"/>
              <w:bottom w:val="single" w:sz="4" w:space="0" w:color="auto"/>
              <w:right w:val="single" w:sz="8" w:space="0" w:color="auto"/>
            </w:tcBorders>
            <w:shd w:val="clear" w:color="000000" w:fill="FDE9D9"/>
            <w:noWrap/>
            <w:vAlign w:val="bottom"/>
            <w:hideMark/>
          </w:tcPr>
          <w:p w14:paraId="5BE9B750"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4.2%</w:t>
            </w:r>
          </w:p>
        </w:tc>
        <w:tc>
          <w:tcPr>
            <w:tcW w:w="770" w:type="dxa"/>
            <w:tcBorders>
              <w:top w:val="nil"/>
              <w:left w:val="nil"/>
              <w:bottom w:val="single" w:sz="4" w:space="0" w:color="auto"/>
              <w:right w:val="single" w:sz="4" w:space="0" w:color="auto"/>
            </w:tcBorders>
            <w:shd w:val="clear" w:color="000000" w:fill="DAEEF3"/>
            <w:noWrap/>
            <w:vAlign w:val="bottom"/>
            <w:hideMark/>
          </w:tcPr>
          <w:p w14:paraId="302A6EAD"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6.1%</w:t>
            </w:r>
          </w:p>
        </w:tc>
        <w:tc>
          <w:tcPr>
            <w:tcW w:w="841" w:type="dxa"/>
            <w:tcBorders>
              <w:top w:val="nil"/>
              <w:left w:val="nil"/>
              <w:bottom w:val="single" w:sz="4" w:space="0" w:color="auto"/>
              <w:right w:val="single" w:sz="4" w:space="0" w:color="auto"/>
            </w:tcBorders>
            <w:shd w:val="clear" w:color="000000" w:fill="DAEEF3"/>
            <w:noWrap/>
            <w:vAlign w:val="bottom"/>
            <w:hideMark/>
          </w:tcPr>
          <w:p w14:paraId="66E4AAED"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3.8%</w:t>
            </w:r>
          </w:p>
        </w:tc>
        <w:tc>
          <w:tcPr>
            <w:tcW w:w="770" w:type="dxa"/>
            <w:tcBorders>
              <w:top w:val="nil"/>
              <w:left w:val="nil"/>
              <w:bottom w:val="single" w:sz="4" w:space="0" w:color="auto"/>
              <w:right w:val="single" w:sz="4" w:space="0" w:color="auto"/>
            </w:tcBorders>
            <w:shd w:val="clear" w:color="000000" w:fill="DAEEF3"/>
            <w:noWrap/>
            <w:vAlign w:val="bottom"/>
            <w:hideMark/>
          </w:tcPr>
          <w:p w14:paraId="6D7E3C4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7.2%</w:t>
            </w:r>
          </w:p>
        </w:tc>
        <w:tc>
          <w:tcPr>
            <w:tcW w:w="841" w:type="dxa"/>
            <w:tcBorders>
              <w:top w:val="nil"/>
              <w:left w:val="nil"/>
              <w:bottom w:val="single" w:sz="4" w:space="0" w:color="auto"/>
              <w:right w:val="single" w:sz="8" w:space="0" w:color="auto"/>
            </w:tcBorders>
            <w:shd w:val="clear" w:color="000000" w:fill="DAEEF3"/>
            <w:noWrap/>
            <w:vAlign w:val="bottom"/>
            <w:hideMark/>
          </w:tcPr>
          <w:p w14:paraId="1EDA9AFA"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4.2%</w:t>
            </w:r>
          </w:p>
        </w:tc>
      </w:tr>
      <w:tr w:rsidR="00F20114" w:rsidRPr="00D84D77" w14:paraId="72F9B566"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7415C7EE" w14:textId="77777777" w:rsidR="00F20114" w:rsidRPr="00D84D77" w:rsidRDefault="00F20114" w:rsidP="00F20114">
            <w:pPr>
              <w:rPr>
                <w:rFonts w:ascii="Calibri" w:hAnsi="Calibri"/>
                <w:sz w:val="20"/>
                <w:lang w:eastAsia="en-AU"/>
              </w:rPr>
            </w:pPr>
            <w:r w:rsidRPr="00D84D77">
              <w:rPr>
                <w:rFonts w:ascii="Calibri" w:hAnsi="Calibri"/>
                <w:sz w:val="20"/>
                <w:lang w:eastAsia="en-AU"/>
              </w:rPr>
              <w:t>Hindmarsh</w:t>
            </w:r>
          </w:p>
        </w:tc>
        <w:tc>
          <w:tcPr>
            <w:tcW w:w="726" w:type="dxa"/>
            <w:tcBorders>
              <w:top w:val="nil"/>
              <w:left w:val="nil"/>
              <w:bottom w:val="single" w:sz="4" w:space="0" w:color="auto"/>
              <w:right w:val="single" w:sz="4" w:space="0" w:color="auto"/>
            </w:tcBorders>
            <w:shd w:val="clear" w:color="000000" w:fill="FDE9D9"/>
            <w:noWrap/>
            <w:vAlign w:val="bottom"/>
            <w:hideMark/>
          </w:tcPr>
          <w:p w14:paraId="02A3F31F"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0" w:type="dxa"/>
            <w:tcBorders>
              <w:top w:val="nil"/>
              <w:left w:val="nil"/>
              <w:bottom w:val="single" w:sz="4" w:space="0" w:color="auto"/>
              <w:right w:val="single" w:sz="4" w:space="0" w:color="auto"/>
            </w:tcBorders>
            <w:shd w:val="clear" w:color="000000" w:fill="FDE9D9"/>
            <w:noWrap/>
            <w:vAlign w:val="bottom"/>
            <w:hideMark/>
          </w:tcPr>
          <w:p w14:paraId="66B290E6"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92" w:type="dxa"/>
            <w:tcBorders>
              <w:top w:val="nil"/>
              <w:left w:val="nil"/>
              <w:bottom w:val="single" w:sz="4" w:space="0" w:color="auto"/>
              <w:right w:val="single" w:sz="4" w:space="0" w:color="auto"/>
            </w:tcBorders>
            <w:shd w:val="clear" w:color="000000" w:fill="FDE9D9"/>
            <w:noWrap/>
            <w:vAlign w:val="bottom"/>
          </w:tcPr>
          <w:p w14:paraId="6B6DC0F0" w14:textId="4A38FA80"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6C8FB1EB"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FDE9D9"/>
            <w:noWrap/>
            <w:vAlign w:val="bottom"/>
            <w:hideMark/>
          </w:tcPr>
          <w:p w14:paraId="5FA97270"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02982C7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6.9%</w:t>
            </w:r>
          </w:p>
        </w:tc>
        <w:tc>
          <w:tcPr>
            <w:tcW w:w="841" w:type="dxa"/>
            <w:tcBorders>
              <w:top w:val="nil"/>
              <w:left w:val="nil"/>
              <w:bottom w:val="single" w:sz="4" w:space="0" w:color="auto"/>
              <w:right w:val="single" w:sz="4" w:space="0" w:color="auto"/>
            </w:tcBorders>
            <w:shd w:val="clear" w:color="000000" w:fill="DAEEF3"/>
            <w:noWrap/>
            <w:vAlign w:val="bottom"/>
            <w:hideMark/>
          </w:tcPr>
          <w:p w14:paraId="22EDF1A0"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2.5%</w:t>
            </w:r>
          </w:p>
        </w:tc>
        <w:tc>
          <w:tcPr>
            <w:tcW w:w="770" w:type="dxa"/>
            <w:tcBorders>
              <w:top w:val="nil"/>
              <w:left w:val="nil"/>
              <w:bottom w:val="single" w:sz="4" w:space="0" w:color="auto"/>
              <w:right w:val="single" w:sz="4" w:space="0" w:color="auto"/>
            </w:tcBorders>
            <w:shd w:val="clear" w:color="000000" w:fill="DAEEF3"/>
            <w:noWrap/>
            <w:vAlign w:val="bottom"/>
            <w:hideMark/>
          </w:tcPr>
          <w:p w14:paraId="1D5B434C"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7.6%</w:t>
            </w:r>
          </w:p>
        </w:tc>
        <w:tc>
          <w:tcPr>
            <w:tcW w:w="841" w:type="dxa"/>
            <w:tcBorders>
              <w:top w:val="nil"/>
              <w:left w:val="nil"/>
              <w:bottom w:val="single" w:sz="4" w:space="0" w:color="auto"/>
              <w:right w:val="single" w:sz="8" w:space="0" w:color="auto"/>
            </w:tcBorders>
            <w:shd w:val="clear" w:color="000000" w:fill="DAEEF3"/>
            <w:noWrap/>
            <w:vAlign w:val="bottom"/>
            <w:hideMark/>
          </w:tcPr>
          <w:p w14:paraId="51317F9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2.6%</w:t>
            </w:r>
          </w:p>
        </w:tc>
      </w:tr>
      <w:tr w:rsidR="00F20114" w:rsidRPr="00D84D77" w14:paraId="0373BBEC"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70B1048F" w14:textId="77777777" w:rsidR="00F20114" w:rsidRPr="00D84D77" w:rsidRDefault="00F20114" w:rsidP="00F20114">
            <w:pPr>
              <w:rPr>
                <w:rFonts w:ascii="Calibri" w:hAnsi="Calibri"/>
                <w:sz w:val="20"/>
                <w:lang w:eastAsia="en-AU"/>
              </w:rPr>
            </w:pPr>
            <w:r w:rsidRPr="00D84D77">
              <w:rPr>
                <w:rFonts w:ascii="Calibri" w:hAnsi="Calibri"/>
                <w:sz w:val="20"/>
                <w:lang w:eastAsia="en-AU"/>
              </w:rPr>
              <w:t>Hobson's Bay</w:t>
            </w:r>
          </w:p>
        </w:tc>
        <w:tc>
          <w:tcPr>
            <w:tcW w:w="726" w:type="dxa"/>
            <w:tcBorders>
              <w:top w:val="nil"/>
              <w:left w:val="nil"/>
              <w:bottom w:val="single" w:sz="4" w:space="0" w:color="auto"/>
              <w:right w:val="single" w:sz="4" w:space="0" w:color="auto"/>
            </w:tcBorders>
            <w:shd w:val="clear" w:color="000000" w:fill="FDE9D9"/>
            <w:noWrap/>
            <w:vAlign w:val="bottom"/>
            <w:hideMark/>
          </w:tcPr>
          <w:p w14:paraId="5208E18D"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0" w:type="dxa"/>
            <w:tcBorders>
              <w:top w:val="nil"/>
              <w:left w:val="nil"/>
              <w:bottom w:val="single" w:sz="4" w:space="0" w:color="auto"/>
              <w:right w:val="single" w:sz="4" w:space="0" w:color="auto"/>
            </w:tcBorders>
            <w:shd w:val="clear" w:color="000000" w:fill="FDE9D9"/>
            <w:noWrap/>
            <w:vAlign w:val="bottom"/>
            <w:hideMark/>
          </w:tcPr>
          <w:p w14:paraId="39C1C4F3"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92" w:type="dxa"/>
            <w:tcBorders>
              <w:top w:val="nil"/>
              <w:left w:val="nil"/>
              <w:bottom w:val="single" w:sz="4" w:space="0" w:color="auto"/>
              <w:right w:val="single" w:sz="4" w:space="0" w:color="auto"/>
            </w:tcBorders>
            <w:shd w:val="clear" w:color="000000" w:fill="FDE9D9"/>
            <w:noWrap/>
            <w:vAlign w:val="bottom"/>
          </w:tcPr>
          <w:p w14:paraId="59AD793D" w14:textId="06EEEDD3"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6F1106A1"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FDE9D9"/>
            <w:noWrap/>
            <w:vAlign w:val="bottom"/>
            <w:hideMark/>
          </w:tcPr>
          <w:p w14:paraId="7B3836C9"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369AB73A"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4" w:space="0" w:color="auto"/>
            </w:tcBorders>
            <w:shd w:val="clear" w:color="000000" w:fill="DAEEF3"/>
            <w:noWrap/>
            <w:vAlign w:val="bottom"/>
            <w:hideMark/>
          </w:tcPr>
          <w:p w14:paraId="68740FCC"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478EFC3F"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DAEEF3"/>
            <w:noWrap/>
            <w:vAlign w:val="bottom"/>
            <w:hideMark/>
          </w:tcPr>
          <w:p w14:paraId="536FCF62"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r>
      <w:tr w:rsidR="00F20114" w:rsidRPr="00D84D77" w14:paraId="5CED6976"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09FCEDA2" w14:textId="77777777" w:rsidR="00F20114" w:rsidRPr="00D84D77" w:rsidRDefault="00F20114" w:rsidP="00F20114">
            <w:pPr>
              <w:rPr>
                <w:rFonts w:ascii="Calibri" w:hAnsi="Calibri"/>
                <w:sz w:val="20"/>
                <w:lang w:eastAsia="en-AU"/>
              </w:rPr>
            </w:pPr>
            <w:r w:rsidRPr="00D84D77">
              <w:rPr>
                <w:rFonts w:ascii="Calibri" w:hAnsi="Calibri"/>
                <w:sz w:val="20"/>
                <w:lang w:eastAsia="en-AU"/>
              </w:rPr>
              <w:t>Horsham</w:t>
            </w:r>
          </w:p>
        </w:tc>
        <w:tc>
          <w:tcPr>
            <w:tcW w:w="726" w:type="dxa"/>
            <w:tcBorders>
              <w:top w:val="nil"/>
              <w:left w:val="nil"/>
              <w:bottom w:val="single" w:sz="4" w:space="0" w:color="auto"/>
              <w:right w:val="single" w:sz="4" w:space="0" w:color="auto"/>
            </w:tcBorders>
            <w:shd w:val="clear" w:color="000000" w:fill="FDE9D9"/>
            <w:noWrap/>
            <w:vAlign w:val="bottom"/>
            <w:hideMark/>
          </w:tcPr>
          <w:p w14:paraId="4735095D"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18.3%</w:t>
            </w:r>
          </w:p>
        </w:tc>
        <w:tc>
          <w:tcPr>
            <w:tcW w:w="840" w:type="dxa"/>
            <w:tcBorders>
              <w:top w:val="nil"/>
              <w:left w:val="nil"/>
              <w:bottom w:val="single" w:sz="4" w:space="0" w:color="auto"/>
              <w:right w:val="single" w:sz="4" w:space="0" w:color="auto"/>
            </w:tcBorders>
            <w:shd w:val="clear" w:color="000000" w:fill="FDE9D9"/>
            <w:noWrap/>
            <w:vAlign w:val="bottom"/>
            <w:hideMark/>
          </w:tcPr>
          <w:p w14:paraId="58B5006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9.6%</w:t>
            </w:r>
          </w:p>
        </w:tc>
        <w:tc>
          <w:tcPr>
            <w:tcW w:w="892" w:type="dxa"/>
            <w:tcBorders>
              <w:top w:val="nil"/>
              <w:left w:val="nil"/>
              <w:bottom w:val="single" w:sz="4" w:space="0" w:color="auto"/>
              <w:right w:val="single" w:sz="4" w:space="0" w:color="auto"/>
            </w:tcBorders>
            <w:shd w:val="clear" w:color="000000" w:fill="FDE9D9"/>
            <w:noWrap/>
            <w:vAlign w:val="bottom"/>
          </w:tcPr>
          <w:p w14:paraId="32DCBA5F" w14:textId="17266BA8"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58E6914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20.7%</w:t>
            </w:r>
          </w:p>
        </w:tc>
        <w:tc>
          <w:tcPr>
            <w:tcW w:w="841" w:type="dxa"/>
            <w:tcBorders>
              <w:top w:val="nil"/>
              <w:left w:val="nil"/>
              <w:bottom w:val="single" w:sz="4" w:space="0" w:color="auto"/>
              <w:right w:val="single" w:sz="8" w:space="0" w:color="auto"/>
            </w:tcBorders>
            <w:shd w:val="clear" w:color="000000" w:fill="FDE9D9"/>
            <w:noWrap/>
            <w:vAlign w:val="bottom"/>
            <w:hideMark/>
          </w:tcPr>
          <w:p w14:paraId="205FFE3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10.3%</w:t>
            </w:r>
          </w:p>
        </w:tc>
        <w:tc>
          <w:tcPr>
            <w:tcW w:w="770" w:type="dxa"/>
            <w:tcBorders>
              <w:top w:val="nil"/>
              <w:left w:val="nil"/>
              <w:bottom w:val="single" w:sz="4" w:space="0" w:color="auto"/>
              <w:right w:val="single" w:sz="4" w:space="0" w:color="auto"/>
            </w:tcBorders>
            <w:shd w:val="clear" w:color="000000" w:fill="DAEEF3"/>
            <w:noWrap/>
            <w:vAlign w:val="bottom"/>
            <w:hideMark/>
          </w:tcPr>
          <w:p w14:paraId="1DA7C737"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16.7%</w:t>
            </w:r>
          </w:p>
        </w:tc>
        <w:tc>
          <w:tcPr>
            <w:tcW w:w="841" w:type="dxa"/>
            <w:tcBorders>
              <w:top w:val="nil"/>
              <w:left w:val="nil"/>
              <w:bottom w:val="single" w:sz="4" w:space="0" w:color="auto"/>
              <w:right w:val="single" w:sz="4" w:space="0" w:color="auto"/>
            </w:tcBorders>
            <w:shd w:val="clear" w:color="000000" w:fill="DAEEF3"/>
            <w:noWrap/>
            <w:vAlign w:val="bottom"/>
            <w:hideMark/>
          </w:tcPr>
          <w:p w14:paraId="489256E8"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8.8%</w:t>
            </w:r>
          </w:p>
        </w:tc>
        <w:tc>
          <w:tcPr>
            <w:tcW w:w="770" w:type="dxa"/>
            <w:tcBorders>
              <w:top w:val="nil"/>
              <w:left w:val="nil"/>
              <w:bottom w:val="single" w:sz="4" w:space="0" w:color="auto"/>
              <w:right w:val="single" w:sz="4" w:space="0" w:color="auto"/>
            </w:tcBorders>
            <w:shd w:val="clear" w:color="000000" w:fill="DAEEF3"/>
            <w:noWrap/>
            <w:vAlign w:val="bottom"/>
            <w:hideMark/>
          </w:tcPr>
          <w:p w14:paraId="311CD88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18.9%</w:t>
            </w:r>
          </w:p>
        </w:tc>
        <w:tc>
          <w:tcPr>
            <w:tcW w:w="841" w:type="dxa"/>
            <w:tcBorders>
              <w:top w:val="nil"/>
              <w:left w:val="nil"/>
              <w:bottom w:val="single" w:sz="4" w:space="0" w:color="auto"/>
              <w:right w:val="single" w:sz="8" w:space="0" w:color="auto"/>
            </w:tcBorders>
            <w:shd w:val="clear" w:color="000000" w:fill="DAEEF3"/>
            <w:noWrap/>
            <w:vAlign w:val="bottom"/>
            <w:hideMark/>
          </w:tcPr>
          <w:p w14:paraId="3AAB692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9.4%</w:t>
            </w:r>
          </w:p>
        </w:tc>
      </w:tr>
      <w:tr w:rsidR="00F20114" w:rsidRPr="00D84D77" w14:paraId="247FA6E5"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1AF3B67A" w14:textId="77777777" w:rsidR="00F20114" w:rsidRPr="00D84D77" w:rsidRDefault="00F20114" w:rsidP="00F20114">
            <w:pPr>
              <w:rPr>
                <w:rFonts w:ascii="Calibri" w:hAnsi="Calibri"/>
                <w:sz w:val="20"/>
                <w:lang w:eastAsia="en-AU"/>
              </w:rPr>
            </w:pPr>
            <w:r w:rsidRPr="00D84D77">
              <w:rPr>
                <w:rFonts w:ascii="Calibri" w:hAnsi="Calibri"/>
                <w:sz w:val="20"/>
                <w:lang w:eastAsia="en-AU"/>
              </w:rPr>
              <w:t>Hume</w:t>
            </w:r>
          </w:p>
        </w:tc>
        <w:tc>
          <w:tcPr>
            <w:tcW w:w="726" w:type="dxa"/>
            <w:tcBorders>
              <w:top w:val="nil"/>
              <w:left w:val="nil"/>
              <w:bottom w:val="single" w:sz="4" w:space="0" w:color="auto"/>
              <w:right w:val="single" w:sz="4" w:space="0" w:color="auto"/>
            </w:tcBorders>
            <w:shd w:val="clear" w:color="000000" w:fill="FDE9D9"/>
            <w:noWrap/>
            <w:vAlign w:val="bottom"/>
            <w:hideMark/>
          </w:tcPr>
          <w:p w14:paraId="12AC1B4C"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0" w:type="dxa"/>
            <w:tcBorders>
              <w:top w:val="nil"/>
              <w:left w:val="nil"/>
              <w:bottom w:val="single" w:sz="4" w:space="0" w:color="auto"/>
              <w:right w:val="single" w:sz="4" w:space="0" w:color="auto"/>
            </w:tcBorders>
            <w:shd w:val="clear" w:color="000000" w:fill="FDE9D9"/>
            <w:noWrap/>
            <w:vAlign w:val="bottom"/>
            <w:hideMark/>
          </w:tcPr>
          <w:p w14:paraId="6F9FF631"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92" w:type="dxa"/>
            <w:tcBorders>
              <w:top w:val="nil"/>
              <w:left w:val="nil"/>
              <w:bottom w:val="single" w:sz="4" w:space="0" w:color="auto"/>
              <w:right w:val="single" w:sz="4" w:space="0" w:color="auto"/>
            </w:tcBorders>
            <w:shd w:val="clear" w:color="000000" w:fill="FDE9D9"/>
            <w:noWrap/>
            <w:vAlign w:val="bottom"/>
          </w:tcPr>
          <w:p w14:paraId="66B4AFDB" w14:textId="37FCC1C1"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3CCB60B7"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FDE9D9"/>
            <w:noWrap/>
            <w:vAlign w:val="bottom"/>
            <w:hideMark/>
          </w:tcPr>
          <w:p w14:paraId="614A257E"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748D4AE1"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4" w:space="0" w:color="auto"/>
            </w:tcBorders>
            <w:shd w:val="clear" w:color="000000" w:fill="DAEEF3"/>
            <w:noWrap/>
            <w:vAlign w:val="bottom"/>
            <w:hideMark/>
          </w:tcPr>
          <w:p w14:paraId="6B7EA075"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73DE98F8"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DAEEF3"/>
            <w:noWrap/>
            <w:vAlign w:val="bottom"/>
            <w:hideMark/>
          </w:tcPr>
          <w:p w14:paraId="3D9F54A9"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r>
      <w:tr w:rsidR="00F20114" w:rsidRPr="00D84D77" w14:paraId="545F8F65"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50326E51" w14:textId="77777777" w:rsidR="00F20114" w:rsidRPr="00D84D77" w:rsidRDefault="00F20114" w:rsidP="00F20114">
            <w:pPr>
              <w:rPr>
                <w:rFonts w:ascii="Calibri" w:hAnsi="Calibri"/>
                <w:sz w:val="20"/>
                <w:lang w:eastAsia="en-AU"/>
              </w:rPr>
            </w:pPr>
            <w:r w:rsidRPr="00D84D77">
              <w:rPr>
                <w:rFonts w:ascii="Calibri" w:hAnsi="Calibri"/>
                <w:sz w:val="20"/>
                <w:lang w:eastAsia="en-AU"/>
              </w:rPr>
              <w:t>Indigo</w:t>
            </w:r>
          </w:p>
        </w:tc>
        <w:tc>
          <w:tcPr>
            <w:tcW w:w="726" w:type="dxa"/>
            <w:tcBorders>
              <w:top w:val="nil"/>
              <w:left w:val="nil"/>
              <w:bottom w:val="single" w:sz="4" w:space="0" w:color="auto"/>
              <w:right w:val="single" w:sz="4" w:space="0" w:color="auto"/>
            </w:tcBorders>
            <w:shd w:val="clear" w:color="000000" w:fill="FDE9D9"/>
            <w:noWrap/>
            <w:vAlign w:val="bottom"/>
            <w:hideMark/>
          </w:tcPr>
          <w:p w14:paraId="39BEEC13"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0" w:type="dxa"/>
            <w:tcBorders>
              <w:top w:val="nil"/>
              <w:left w:val="nil"/>
              <w:bottom w:val="single" w:sz="4" w:space="0" w:color="auto"/>
              <w:right w:val="single" w:sz="4" w:space="0" w:color="auto"/>
            </w:tcBorders>
            <w:shd w:val="clear" w:color="000000" w:fill="FDE9D9"/>
            <w:noWrap/>
            <w:vAlign w:val="bottom"/>
            <w:hideMark/>
          </w:tcPr>
          <w:p w14:paraId="6C7355CA"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92" w:type="dxa"/>
            <w:tcBorders>
              <w:top w:val="nil"/>
              <w:left w:val="nil"/>
              <w:bottom w:val="single" w:sz="4" w:space="0" w:color="auto"/>
              <w:right w:val="single" w:sz="4" w:space="0" w:color="auto"/>
            </w:tcBorders>
            <w:shd w:val="clear" w:color="000000" w:fill="FDE9D9"/>
            <w:noWrap/>
            <w:vAlign w:val="bottom"/>
          </w:tcPr>
          <w:p w14:paraId="1FAF0BC3" w14:textId="76A1EC04"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1963088A"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FDE9D9"/>
            <w:noWrap/>
            <w:vAlign w:val="bottom"/>
            <w:hideMark/>
          </w:tcPr>
          <w:p w14:paraId="074B61AA"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71EE6DD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4.4%</w:t>
            </w:r>
          </w:p>
        </w:tc>
        <w:tc>
          <w:tcPr>
            <w:tcW w:w="841" w:type="dxa"/>
            <w:tcBorders>
              <w:top w:val="nil"/>
              <w:left w:val="nil"/>
              <w:bottom w:val="single" w:sz="4" w:space="0" w:color="auto"/>
              <w:right w:val="single" w:sz="4" w:space="0" w:color="auto"/>
            </w:tcBorders>
            <w:shd w:val="clear" w:color="000000" w:fill="DAEEF3"/>
            <w:noWrap/>
            <w:vAlign w:val="bottom"/>
            <w:hideMark/>
          </w:tcPr>
          <w:p w14:paraId="62F84B4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3.1%</w:t>
            </w:r>
          </w:p>
        </w:tc>
        <w:tc>
          <w:tcPr>
            <w:tcW w:w="770" w:type="dxa"/>
            <w:tcBorders>
              <w:top w:val="nil"/>
              <w:left w:val="nil"/>
              <w:bottom w:val="single" w:sz="4" w:space="0" w:color="auto"/>
              <w:right w:val="single" w:sz="4" w:space="0" w:color="auto"/>
            </w:tcBorders>
            <w:shd w:val="clear" w:color="000000" w:fill="DAEEF3"/>
            <w:noWrap/>
            <w:vAlign w:val="bottom"/>
            <w:hideMark/>
          </w:tcPr>
          <w:p w14:paraId="6A6C1CBC"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5.2%</w:t>
            </w:r>
          </w:p>
        </w:tc>
        <w:tc>
          <w:tcPr>
            <w:tcW w:w="841" w:type="dxa"/>
            <w:tcBorders>
              <w:top w:val="nil"/>
              <w:left w:val="nil"/>
              <w:bottom w:val="single" w:sz="4" w:space="0" w:color="auto"/>
              <w:right w:val="single" w:sz="8" w:space="0" w:color="auto"/>
            </w:tcBorders>
            <w:shd w:val="clear" w:color="000000" w:fill="DAEEF3"/>
            <w:noWrap/>
            <w:vAlign w:val="bottom"/>
            <w:hideMark/>
          </w:tcPr>
          <w:p w14:paraId="5097388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3.5%</w:t>
            </w:r>
          </w:p>
        </w:tc>
      </w:tr>
      <w:tr w:rsidR="00F20114" w:rsidRPr="00D84D77" w14:paraId="3EF0D624"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710CEA0F" w14:textId="77777777" w:rsidR="00F20114" w:rsidRPr="00D84D77" w:rsidRDefault="00F20114" w:rsidP="00F20114">
            <w:pPr>
              <w:rPr>
                <w:rFonts w:ascii="Calibri" w:hAnsi="Calibri"/>
                <w:sz w:val="20"/>
                <w:lang w:eastAsia="en-AU"/>
              </w:rPr>
            </w:pPr>
            <w:r w:rsidRPr="00D84D77">
              <w:rPr>
                <w:rFonts w:ascii="Calibri" w:hAnsi="Calibri"/>
                <w:sz w:val="20"/>
                <w:lang w:eastAsia="en-AU"/>
              </w:rPr>
              <w:t>Kingston</w:t>
            </w:r>
          </w:p>
        </w:tc>
        <w:tc>
          <w:tcPr>
            <w:tcW w:w="726" w:type="dxa"/>
            <w:tcBorders>
              <w:top w:val="nil"/>
              <w:left w:val="nil"/>
              <w:bottom w:val="single" w:sz="4" w:space="0" w:color="auto"/>
              <w:right w:val="single" w:sz="4" w:space="0" w:color="auto"/>
            </w:tcBorders>
            <w:shd w:val="clear" w:color="000000" w:fill="FDE9D9"/>
            <w:noWrap/>
            <w:vAlign w:val="bottom"/>
            <w:hideMark/>
          </w:tcPr>
          <w:p w14:paraId="177C2F8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3.3%</w:t>
            </w:r>
          </w:p>
        </w:tc>
        <w:tc>
          <w:tcPr>
            <w:tcW w:w="840" w:type="dxa"/>
            <w:tcBorders>
              <w:top w:val="nil"/>
              <w:left w:val="nil"/>
              <w:bottom w:val="single" w:sz="4" w:space="0" w:color="auto"/>
              <w:right w:val="single" w:sz="4" w:space="0" w:color="auto"/>
            </w:tcBorders>
            <w:shd w:val="clear" w:color="000000" w:fill="FDE9D9"/>
            <w:noWrap/>
            <w:vAlign w:val="bottom"/>
            <w:hideMark/>
          </w:tcPr>
          <w:p w14:paraId="1237D4B7"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2.8%</w:t>
            </w:r>
          </w:p>
        </w:tc>
        <w:tc>
          <w:tcPr>
            <w:tcW w:w="892" w:type="dxa"/>
            <w:tcBorders>
              <w:top w:val="nil"/>
              <w:left w:val="nil"/>
              <w:bottom w:val="single" w:sz="4" w:space="0" w:color="auto"/>
              <w:right w:val="single" w:sz="4" w:space="0" w:color="auto"/>
            </w:tcBorders>
            <w:shd w:val="clear" w:color="000000" w:fill="FDE9D9"/>
            <w:noWrap/>
            <w:vAlign w:val="bottom"/>
          </w:tcPr>
          <w:p w14:paraId="02E82A54" w14:textId="3CE84CAA"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1FAC94A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3.7%</w:t>
            </w:r>
          </w:p>
        </w:tc>
        <w:tc>
          <w:tcPr>
            <w:tcW w:w="841" w:type="dxa"/>
            <w:tcBorders>
              <w:top w:val="nil"/>
              <w:left w:val="nil"/>
              <w:bottom w:val="single" w:sz="4" w:space="0" w:color="auto"/>
              <w:right w:val="single" w:sz="8" w:space="0" w:color="auto"/>
            </w:tcBorders>
            <w:shd w:val="clear" w:color="000000" w:fill="FDE9D9"/>
            <w:noWrap/>
            <w:vAlign w:val="bottom"/>
            <w:hideMark/>
          </w:tcPr>
          <w:p w14:paraId="3AD0D1F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3.1%</w:t>
            </w:r>
          </w:p>
        </w:tc>
        <w:tc>
          <w:tcPr>
            <w:tcW w:w="770" w:type="dxa"/>
            <w:tcBorders>
              <w:top w:val="nil"/>
              <w:left w:val="nil"/>
              <w:bottom w:val="single" w:sz="4" w:space="0" w:color="auto"/>
              <w:right w:val="single" w:sz="4" w:space="0" w:color="auto"/>
            </w:tcBorders>
            <w:shd w:val="clear" w:color="000000" w:fill="DAEEF3"/>
            <w:noWrap/>
            <w:vAlign w:val="bottom"/>
            <w:hideMark/>
          </w:tcPr>
          <w:p w14:paraId="78130F9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5.4%</w:t>
            </w:r>
          </w:p>
        </w:tc>
        <w:tc>
          <w:tcPr>
            <w:tcW w:w="841" w:type="dxa"/>
            <w:tcBorders>
              <w:top w:val="nil"/>
              <w:left w:val="nil"/>
              <w:bottom w:val="single" w:sz="4" w:space="0" w:color="auto"/>
              <w:right w:val="single" w:sz="4" w:space="0" w:color="auto"/>
            </w:tcBorders>
            <w:shd w:val="clear" w:color="000000" w:fill="DAEEF3"/>
            <w:noWrap/>
            <w:vAlign w:val="bottom"/>
            <w:hideMark/>
          </w:tcPr>
          <w:p w14:paraId="0E4B376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4.6%</w:t>
            </w:r>
          </w:p>
        </w:tc>
        <w:tc>
          <w:tcPr>
            <w:tcW w:w="770" w:type="dxa"/>
            <w:tcBorders>
              <w:top w:val="nil"/>
              <w:left w:val="nil"/>
              <w:bottom w:val="single" w:sz="4" w:space="0" w:color="auto"/>
              <w:right w:val="single" w:sz="4" w:space="0" w:color="auto"/>
            </w:tcBorders>
            <w:shd w:val="clear" w:color="000000" w:fill="DAEEF3"/>
            <w:noWrap/>
            <w:vAlign w:val="bottom"/>
            <w:hideMark/>
          </w:tcPr>
          <w:p w14:paraId="76985E60"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6.1%</w:t>
            </w:r>
          </w:p>
        </w:tc>
        <w:tc>
          <w:tcPr>
            <w:tcW w:w="841" w:type="dxa"/>
            <w:tcBorders>
              <w:top w:val="nil"/>
              <w:left w:val="nil"/>
              <w:bottom w:val="single" w:sz="4" w:space="0" w:color="auto"/>
              <w:right w:val="single" w:sz="8" w:space="0" w:color="auto"/>
            </w:tcBorders>
            <w:shd w:val="clear" w:color="000000" w:fill="DAEEF3"/>
            <w:noWrap/>
            <w:vAlign w:val="bottom"/>
            <w:hideMark/>
          </w:tcPr>
          <w:p w14:paraId="4E69766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5.1%</w:t>
            </w:r>
          </w:p>
        </w:tc>
      </w:tr>
      <w:tr w:rsidR="00F20114" w:rsidRPr="00D84D77" w14:paraId="2C9D2865"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3853F2CD" w14:textId="77777777" w:rsidR="00F20114" w:rsidRPr="00D84D77" w:rsidRDefault="00F20114" w:rsidP="00F20114">
            <w:pPr>
              <w:rPr>
                <w:rFonts w:ascii="Calibri" w:hAnsi="Calibri"/>
                <w:sz w:val="20"/>
                <w:lang w:eastAsia="en-AU"/>
              </w:rPr>
            </w:pPr>
            <w:r w:rsidRPr="00D84D77">
              <w:rPr>
                <w:rFonts w:ascii="Calibri" w:hAnsi="Calibri"/>
                <w:sz w:val="20"/>
                <w:lang w:eastAsia="en-AU"/>
              </w:rPr>
              <w:t>Knox</w:t>
            </w:r>
          </w:p>
        </w:tc>
        <w:tc>
          <w:tcPr>
            <w:tcW w:w="726" w:type="dxa"/>
            <w:tcBorders>
              <w:top w:val="nil"/>
              <w:left w:val="nil"/>
              <w:bottom w:val="single" w:sz="4" w:space="0" w:color="auto"/>
              <w:right w:val="single" w:sz="4" w:space="0" w:color="auto"/>
            </w:tcBorders>
            <w:shd w:val="clear" w:color="000000" w:fill="FDE9D9"/>
            <w:noWrap/>
            <w:vAlign w:val="bottom"/>
            <w:hideMark/>
          </w:tcPr>
          <w:p w14:paraId="0796868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8.5%</w:t>
            </w:r>
          </w:p>
        </w:tc>
        <w:tc>
          <w:tcPr>
            <w:tcW w:w="840" w:type="dxa"/>
            <w:tcBorders>
              <w:top w:val="nil"/>
              <w:left w:val="nil"/>
              <w:bottom w:val="single" w:sz="4" w:space="0" w:color="auto"/>
              <w:right w:val="single" w:sz="4" w:space="0" w:color="auto"/>
            </w:tcBorders>
            <w:shd w:val="clear" w:color="000000" w:fill="FDE9D9"/>
            <w:noWrap/>
            <w:vAlign w:val="bottom"/>
            <w:hideMark/>
          </w:tcPr>
          <w:p w14:paraId="34B2C92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6.6%</w:t>
            </w:r>
          </w:p>
        </w:tc>
        <w:tc>
          <w:tcPr>
            <w:tcW w:w="892" w:type="dxa"/>
            <w:tcBorders>
              <w:top w:val="nil"/>
              <w:left w:val="nil"/>
              <w:bottom w:val="single" w:sz="4" w:space="0" w:color="auto"/>
              <w:right w:val="single" w:sz="4" w:space="0" w:color="auto"/>
            </w:tcBorders>
            <w:shd w:val="clear" w:color="000000" w:fill="FDE9D9"/>
            <w:noWrap/>
            <w:vAlign w:val="bottom"/>
          </w:tcPr>
          <w:p w14:paraId="49DB78D1" w14:textId="36D1EF4C"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03B6C4B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9.2%</w:t>
            </w:r>
          </w:p>
        </w:tc>
        <w:tc>
          <w:tcPr>
            <w:tcW w:w="841" w:type="dxa"/>
            <w:tcBorders>
              <w:top w:val="nil"/>
              <w:left w:val="nil"/>
              <w:bottom w:val="single" w:sz="4" w:space="0" w:color="auto"/>
              <w:right w:val="single" w:sz="8" w:space="0" w:color="auto"/>
            </w:tcBorders>
            <w:shd w:val="clear" w:color="000000" w:fill="FDE9D9"/>
            <w:noWrap/>
            <w:vAlign w:val="bottom"/>
            <w:hideMark/>
          </w:tcPr>
          <w:p w14:paraId="15A6663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7.0%</w:t>
            </w:r>
          </w:p>
        </w:tc>
        <w:tc>
          <w:tcPr>
            <w:tcW w:w="770" w:type="dxa"/>
            <w:tcBorders>
              <w:top w:val="nil"/>
              <w:left w:val="nil"/>
              <w:bottom w:val="single" w:sz="4" w:space="0" w:color="auto"/>
              <w:right w:val="single" w:sz="4" w:space="0" w:color="auto"/>
            </w:tcBorders>
            <w:shd w:val="clear" w:color="000000" w:fill="DAEEF3"/>
            <w:noWrap/>
            <w:vAlign w:val="bottom"/>
            <w:hideMark/>
          </w:tcPr>
          <w:p w14:paraId="2BAB5658"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1.0%</w:t>
            </w:r>
          </w:p>
        </w:tc>
        <w:tc>
          <w:tcPr>
            <w:tcW w:w="841" w:type="dxa"/>
            <w:tcBorders>
              <w:top w:val="nil"/>
              <w:left w:val="nil"/>
              <w:bottom w:val="single" w:sz="4" w:space="0" w:color="auto"/>
              <w:right w:val="single" w:sz="4" w:space="0" w:color="auto"/>
            </w:tcBorders>
            <w:shd w:val="clear" w:color="000000" w:fill="DAEEF3"/>
            <w:noWrap/>
            <w:vAlign w:val="bottom"/>
            <w:hideMark/>
          </w:tcPr>
          <w:p w14:paraId="671C4110"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0.8%</w:t>
            </w:r>
          </w:p>
        </w:tc>
        <w:tc>
          <w:tcPr>
            <w:tcW w:w="770" w:type="dxa"/>
            <w:tcBorders>
              <w:top w:val="nil"/>
              <w:left w:val="nil"/>
              <w:bottom w:val="single" w:sz="4" w:space="0" w:color="auto"/>
              <w:right w:val="single" w:sz="4" w:space="0" w:color="auto"/>
            </w:tcBorders>
            <w:shd w:val="clear" w:color="000000" w:fill="DAEEF3"/>
            <w:noWrap/>
            <w:vAlign w:val="bottom"/>
            <w:hideMark/>
          </w:tcPr>
          <w:p w14:paraId="41F8ED8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1.1%</w:t>
            </w:r>
          </w:p>
        </w:tc>
        <w:tc>
          <w:tcPr>
            <w:tcW w:w="841" w:type="dxa"/>
            <w:tcBorders>
              <w:top w:val="nil"/>
              <w:left w:val="nil"/>
              <w:bottom w:val="single" w:sz="4" w:space="0" w:color="auto"/>
              <w:right w:val="single" w:sz="8" w:space="0" w:color="auto"/>
            </w:tcBorders>
            <w:shd w:val="clear" w:color="000000" w:fill="DAEEF3"/>
            <w:noWrap/>
            <w:vAlign w:val="bottom"/>
            <w:hideMark/>
          </w:tcPr>
          <w:p w14:paraId="05BC873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0.8%</w:t>
            </w:r>
          </w:p>
        </w:tc>
      </w:tr>
      <w:tr w:rsidR="00F20114" w:rsidRPr="00D84D77" w14:paraId="1884581A"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2423807C" w14:textId="77777777" w:rsidR="00F20114" w:rsidRPr="00D84D77" w:rsidRDefault="00F20114" w:rsidP="00F20114">
            <w:pPr>
              <w:rPr>
                <w:rFonts w:ascii="Calibri" w:hAnsi="Calibri"/>
                <w:sz w:val="20"/>
                <w:lang w:eastAsia="en-AU"/>
              </w:rPr>
            </w:pPr>
            <w:r w:rsidRPr="00D84D77">
              <w:rPr>
                <w:rFonts w:ascii="Calibri" w:hAnsi="Calibri"/>
                <w:sz w:val="20"/>
                <w:lang w:eastAsia="en-AU"/>
              </w:rPr>
              <w:t>Latrobe</w:t>
            </w:r>
          </w:p>
        </w:tc>
        <w:tc>
          <w:tcPr>
            <w:tcW w:w="726" w:type="dxa"/>
            <w:tcBorders>
              <w:top w:val="nil"/>
              <w:left w:val="nil"/>
              <w:bottom w:val="single" w:sz="4" w:space="0" w:color="auto"/>
              <w:right w:val="single" w:sz="4" w:space="0" w:color="auto"/>
            </w:tcBorders>
            <w:shd w:val="clear" w:color="000000" w:fill="FDE9D9"/>
            <w:noWrap/>
            <w:vAlign w:val="bottom"/>
            <w:hideMark/>
          </w:tcPr>
          <w:p w14:paraId="0104EE11"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0" w:type="dxa"/>
            <w:tcBorders>
              <w:top w:val="nil"/>
              <w:left w:val="nil"/>
              <w:bottom w:val="single" w:sz="4" w:space="0" w:color="auto"/>
              <w:right w:val="single" w:sz="4" w:space="0" w:color="auto"/>
            </w:tcBorders>
            <w:shd w:val="clear" w:color="000000" w:fill="FDE9D9"/>
            <w:noWrap/>
            <w:vAlign w:val="bottom"/>
            <w:hideMark/>
          </w:tcPr>
          <w:p w14:paraId="352DAD8F"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92" w:type="dxa"/>
            <w:tcBorders>
              <w:top w:val="nil"/>
              <w:left w:val="nil"/>
              <w:bottom w:val="single" w:sz="4" w:space="0" w:color="auto"/>
              <w:right w:val="single" w:sz="4" w:space="0" w:color="auto"/>
            </w:tcBorders>
            <w:shd w:val="clear" w:color="000000" w:fill="FDE9D9"/>
            <w:noWrap/>
            <w:vAlign w:val="bottom"/>
          </w:tcPr>
          <w:p w14:paraId="3468274F" w14:textId="2ED612C6"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1AB8D74F"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FDE9D9"/>
            <w:noWrap/>
            <w:vAlign w:val="bottom"/>
            <w:hideMark/>
          </w:tcPr>
          <w:p w14:paraId="4028A61D"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72796F66"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4" w:space="0" w:color="auto"/>
            </w:tcBorders>
            <w:shd w:val="clear" w:color="000000" w:fill="DAEEF3"/>
            <w:noWrap/>
            <w:vAlign w:val="bottom"/>
            <w:hideMark/>
          </w:tcPr>
          <w:p w14:paraId="37B3A1E1"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0155F7F4"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DAEEF3"/>
            <w:noWrap/>
            <w:vAlign w:val="bottom"/>
            <w:hideMark/>
          </w:tcPr>
          <w:p w14:paraId="5A15FC7E"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r>
      <w:tr w:rsidR="00F20114" w:rsidRPr="00D84D77" w14:paraId="18F486B2"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283492B9" w14:textId="77777777" w:rsidR="00F20114" w:rsidRPr="00D84D77" w:rsidRDefault="00F20114" w:rsidP="00F20114">
            <w:pPr>
              <w:rPr>
                <w:rFonts w:ascii="Calibri" w:hAnsi="Calibri"/>
                <w:sz w:val="20"/>
                <w:lang w:eastAsia="en-AU"/>
              </w:rPr>
            </w:pPr>
            <w:r w:rsidRPr="00D84D77">
              <w:rPr>
                <w:rFonts w:ascii="Calibri" w:hAnsi="Calibri"/>
                <w:sz w:val="20"/>
                <w:lang w:eastAsia="en-AU"/>
              </w:rPr>
              <w:t>Loddon</w:t>
            </w:r>
          </w:p>
        </w:tc>
        <w:tc>
          <w:tcPr>
            <w:tcW w:w="726" w:type="dxa"/>
            <w:tcBorders>
              <w:top w:val="nil"/>
              <w:left w:val="nil"/>
              <w:bottom w:val="single" w:sz="4" w:space="0" w:color="auto"/>
              <w:right w:val="single" w:sz="4" w:space="0" w:color="auto"/>
            </w:tcBorders>
            <w:shd w:val="clear" w:color="000000" w:fill="FDE9D9"/>
            <w:noWrap/>
            <w:vAlign w:val="bottom"/>
            <w:hideMark/>
          </w:tcPr>
          <w:p w14:paraId="03ED7C4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13.2%</w:t>
            </w:r>
          </w:p>
        </w:tc>
        <w:tc>
          <w:tcPr>
            <w:tcW w:w="840" w:type="dxa"/>
            <w:tcBorders>
              <w:top w:val="nil"/>
              <w:left w:val="nil"/>
              <w:bottom w:val="single" w:sz="4" w:space="0" w:color="auto"/>
              <w:right w:val="single" w:sz="4" w:space="0" w:color="auto"/>
            </w:tcBorders>
            <w:shd w:val="clear" w:color="000000" w:fill="FDE9D9"/>
            <w:noWrap/>
            <w:vAlign w:val="bottom"/>
            <w:hideMark/>
          </w:tcPr>
          <w:p w14:paraId="48C67F8C"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4.3%</w:t>
            </w:r>
          </w:p>
        </w:tc>
        <w:tc>
          <w:tcPr>
            <w:tcW w:w="892" w:type="dxa"/>
            <w:tcBorders>
              <w:top w:val="nil"/>
              <w:left w:val="nil"/>
              <w:bottom w:val="single" w:sz="4" w:space="0" w:color="auto"/>
              <w:right w:val="single" w:sz="4" w:space="0" w:color="auto"/>
            </w:tcBorders>
            <w:shd w:val="clear" w:color="000000" w:fill="FDE9D9"/>
            <w:noWrap/>
            <w:vAlign w:val="bottom"/>
          </w:tcPr>
          <w:p w14:paraId="0217F514" w14:textId="659AF970"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6C21C43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14.7%</w:t>
            </w:r>
          </w:p>
        </w:tc>
        <w:tc>
          <w:tcPr>
            <w:tcW w:w="841" w:type="dxa"/>
            <w:tcBorders>
              <w:top w:val="nil"/>
              <w:left w:val="nil"/>
              <w:bottom w:val="single" w:sz="4" w:space="0" w:color="auto"/>
              <w:right w:val="single" w:sz="8" w:space="0" w:color="auto"/>
            </w:tcBorders>
            <w:shd w:val="clear" w:color="000000" w:fill="FDE9D9"/>
            <w:noWrap/>
            <w:vAlign w:val="bottom"/>
            <w:hideMark/>
          </w:tcPr>
          <w:p w14:paraId="6671B53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4.4%</w:t>
            </w:r>
          </w:p>
        </w:tc>
        <w:tc>
          <w:tcPr>
            <w:tcW w:w="770" w:type="dxa"/>
            <w:tcBorders>
              <w:top w:val="nil"/>
              <w:left w:val="nil"/>
              <w:bottom w:val="single" w:sz="4" w:space="0" w:color="auto"/>
              <w:right w:val="single" w:sz="4" w:space="0" w:color="auto"/>
            </w:tcBorders>
            <w:shd w:val="clear" w:color="000000" w:fill="DAEEF3"/>
            <w:noWrap/>
            <w:vAlign w:val="bottom"/>
            <w:hideMark/>
          </w:tcPr>
          <w:p w14:paraId="334309E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5.7%</w:t>
            </w:r>
          </w:p>
        </w:tc>
        <w:tc>
          <w:tcPr>
            <w:tcW w:w="841" w:type="dxa"/>
            <w:tcBorders>
              <w:top w:val="nil"/>
              <w:left w:val="nil"/>
              <w:bottom w:val="single" w:sz="4" w:space="0" w:color="auto"/>
              <w:right w:val="single" w:sz="4" w:space="0" w:color="auto"/>
            </w:tcBorders>
            <w:shd w:val="clear" w:color="000000" w:fill="DAEEF3"/>
            <w:noWrap/>
            <w:vAlign w:val="bottom"/>
            <w:hideMark/>
          </w:tcPr>
          <w:p w14:paraId="2DE0B35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1.9%</w:t>
            </w:r>
          </w:p>
        </w:tc>
        <w:tc>
          <w:tcPr>
            <w:tcW w:w="770" w:type="dxa"/>
            <w:tcBorders>
              <w:top w:val="nil"/>
              <w:left w:val="nil"/>
              <w:bottom w:val="single" w:sz="4" w:space="0" w:color="auto"/>
              <w:right w:val="single" w:sz="4" w:space="0" w:color="auto"/>
            </w:tcBorders>
            <w:shd w:val="clear" w:color="000000" w:fill="DAEEF3"/>
            <w:noWrap/>
            <w:vAlign w:val="bottom"/>
            <w:hideMark/>
          </w:tcPr>
          <w:p w14:paraId="204D268A"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6.4%</w:t>
            </w:r>
          </w:p>
        </w:tc>
        <w:tc>
          <w:tcPr>
            <w:tcW w:w="841" w:type="dxa"/>
            <w:tcBorders>
              <w:top w:val="nil"/>
              <w:left w:val="nil"/>
              <w:bottom w:val="single" w:sz="4" w:space="0" w:color="auto"/>
              <w:right w:val="single" w:sz="8" w:space="0" w:color="auto"/>
            </w:tcBorders>
            <w:shd w:val="clear" w:color="000000" w:fill="DAEEF3"/>
            <w:noWrap/>
            <w:vAlign w:val="bottom"/>
            <w:hideMark/>
          </w:tcPr>
          <w:p w14:paraId="4ACC415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1.9%</w:t>
            </w:r>
          </w:p>
        </w:tc>
      </w:tr>
      <w:tr w:rsidR="00F20114" w:rsidRPr="00D84D77" w14:paraId="391D0EFD"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77E02271" w14:textId="77777777" w:rsidR="00F20114" w:rsidRPr="00D84D77" w:rsidRDefault="00F20114" w:rsidP="00F20114">
            <w:pPr>
              <w:rPr>
                <w:rFonts w:ascii="Calibri" w:hAnsi="Calibri"/>
                <w:sz w:val="20"/>
                <w:lang w:eastAsia="en-AU"/>
              </w:rPr>
            </w:pPr>
            <w:r w:rsidRPr="00D84D77">
              <w:rPr>
                <w:rFonts w:ascii="Calibri" w:hAnsi="Calibri"/>
                <w:sz w:val="20"/>
                <w:lang w:eastAsia="en-AU"/>
              </w:rPr>
              <w:t>Macedon Ranges</w:t>
            </w:r>
          </w:p>
        </w:tc>
        <w:tc>
          <w:tcPr>
            <w:tcW w:w="726" w:type="dxa"/>
            <w:tcBorders>
              <w:top w:val="nil"/>
              <w:left w:val="nil"/>
              <w:bottom w:val="single" w:sz="4" w:space="0" w:color="auto"/>
              <w:right w:val="single" w:sz="4" w:space="0" w:color="auto"/>
            </w:tcBorders>
            <w:shd w:val="clear" w:color="000000" w:fill="FDE9D9"/>
            <w:noWrap/>
            <w:vAlign w:val="bottom"/>
            <w:hideMark/>
          </w:tcPr>
          <w:p w14:paraId="6C9649B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12.0%</w:t>
            </w:r>
          </w:p>
        </w:tc>
        <w:tc>
          <w:tcPr>
            <w:tcW w:w="840" w:type="dxa"/>
            <w:tcBorders>
              <w:top w:val="nil"/>
              <w:left w:val="nil"/>
              <w:bottom w:val="single" w:sz="4" w:space="0" w:color="auto"/>
              <w:right w:val="single" w:sz="4" w:space="0" w:color="auto"/>
            </w:tcBorders>
            <w:shd w:val="clear" w:color="000000" w:fill="FDE9D9"/>
            <w:noWrap/>
            <w:vAlign w:val="bottom"/>
            <w:hideMark/>
          </w:tcPr>
          <w:p w14:paraId="5C965395"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8.5%</w:t>
            </w:r>
          </w:p>
        </w:tc>
        <w:tc>
          <w:tcPr>
            <w:tcW w:w="892" w:type="dxa"/>
            <w:tcBorders>
              <w:top w:val="nil"/>
              <w:left w:val="nil"/>
              <w:bottom w:val="single" w:sz="4" w:space="0" w:color="auto"/>
              <w:right w:val="single" w:sz="4" w:space="0" w:color="auto"/>
            </w:tcBorders>
            <w:shd w:val="clear" w:color="000000" w:fill="FDE9D9"/>
            <w:noWrap/>
            <w:vAlign w:val="bottom"/>
          </w:tcPr>
          <w:p w14:paraId="0E116934" w14:textId="056030C8"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4CFD9CD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13.9%</w:t>
            </w:r>
          </w:p>
        </w:tc>
        <w:tc>
          <w:tcPr>
            <w:tcW w:w="841" w:type="dxa"/>
            <w:tcBorders>
              <w:top w:val="nil"/>
              <w:left w:val="nil"/>
              <w:bottom w:val="single" w:sz="4" w:space="0" w:color="auto"/>
              <w:right w:val="single" w:sz="8" w:space="0" w:color="auto"/>
            </w:tcBorders>
            <w:shd w:val="clear" w:color="000000" w:fill="FDE9D9"/>
            <w:noWrap/>
            <w:vAlign w:val="bottom"/>
            <w:hideMark/>
          </w:tcPr>
          <w:p w14:paraId="38770A1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9.5%</w:t>
            </w:r>
          </w:p>
        </w:tc>
        <w:tc>
          <w:tcPr>
            <w:tcW w:w="770" w:type="dxa"/>
            <w:tcBorders>
              <w:top w:val="nil"/>
              <w:left w:val="nil"/>
              <w:bottom w:val="single" w:sz="4" w:space="0" w:color="auto"/>
              <w:right w:val="single" w:sz="4" w:space="0" w:color="auto"/>
            </w:tcBorders>
            <w:shd w:val="clear" w:color="000000" w:fill="DAEEF3"/>
            <w:noWrap/>
            <w:vAlign w:val="bottom"/>
            <w:hideMark/>
          </w:tcPr>
          <w:p w14:paraId="49CA3B3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10.3%</w:t>
            </w:r>
          </w:p>
        </w:tc>
        <w:tc>
          <w:tcPr>
            <w:tcW w:w="841" w:type="dxa"/>
            <w:tcBorders>
              <w:top w:val="nil"/>
              <w:left w:val="nil"/>
              <w:bottom w:val="single" w:sz="4" w:space="0" w:color="auto"/>
              <w:right w:val="single" w:sz="4" w:space="0" w:color="auto"/>
            </w:tcBorders>
            <w:shd w:val="clear" w:color="000000" w:fill="DAEEF3"/>
            <w:noWrap/>
            <w:vAlign w:val="bottom"/>
            <w:hideMark/>
          </w:tcPr>
          <w:p w14:paraId="6E4D9AC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7.3%</w:t>
            </w:r>
          </w:p>
        </w:tc>
        <w:tc>
          <w:tcPr>
            <w:tcW w:w="770" w:type="dxa"/>
            <w:tcBorders>
              <w:top w:val="nil"/>
              <w:left w:val="nil"/>
              <w:bottom w:val="single" w:sz="4" w:space="0" w:color="auto"/>
              <w:right w:val="single" w:sz="4" w:space="0" w:color="auto"/>
            </w:tcBorders>
            <w:shd w:val="clear" w:color="000000" w:fill="DAEEF3"/>
            <w:noWrap/>
            <w:vAlign w:val="bottom"/>
            <w:hideMark/>
          </w:tcPr>
          <w:p w14:paraId="32384F57"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11.9%</w:t>
            </w:r>
          </w:p>
        </w:tc>
        <w:tc>
          <w:tcPr>
            <w:tcW w:w="841" w:type="dxa"/>
            <w:tcBorders>
              <w:top w:val="nil"/>
              <w:left w:val="nil"/>
              <w:bottom w:val="single" w:sz="4" w:space="0" w:color="auto"/>
              <w:right w:val="single" w:sz="8" w:space="0" w:color="auto"/>
            </w:tcBorders>
            <w:shd w:val="clear" w:color="000000" w:fill="DAEEF3"/>
            <w:noWrap/>
            <w:vAlign w:val="bottom"/>
            <w:hideMark/>
          </w:tcPr>
          <w:p w14:paraId="35487E2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8.1%</w:t>
            </w:r>
          </w:p>
        </w:tc>
      </w:tr>
      <w:tr w:rsidR="00F20114" w:rsidRPr="00D84D77" w14:paraId="475EFFEF"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2AD4D1CF" w14:textId="77777777" w:rsidR="00F20114" w:rsidRPr="00D84D77" w:rsidRDefault="00F20114" w:rsidP="00F20114">
            <w:pPr>
              <w:rPr>
                <w:rFonts w:ascii="Calibri" w:hAnsi="Calibri"/>
                <w:sz w:val="20"/>
                <w:lang w:eastAsia="en-AU"/>
              </w:rPr>
            </w:pPr>
            <w:r w:rsidRPr="00D84D77">
              <w:rPr>
                <w:rFonts w:ascii="Calibri" w:hAnsi="Calibri"/>
                <w:sz w:val="20"/>
                <w:lang w:eastAsia="en-AU"/>
              </w:rPr>
              <w:t>Manningham</w:t>
            </w:r>
          </w:p>
        </w:tc>
        <w:tc>
          <w:tcPr>
            <w:tcW w:w="726" w:type="dxa"/>
            <w:tcBorders>
              <w:top w:val="nil"/>
              <w:left w:val="nil"/>
              <w:bottom w:val="single" w:sz="4" w:space="0" w:color="auto"/>
              <w:right w:val="single" w:sz="4" w:space="0" w:color="auto"/>
            </w:tcBorders>
            <w:shd w:val="clear" w:color="000000" w:fill="FDE9D9"/>
            <w:noWrap/>
            <w:vAlign w:val="bottom"/>
            <w:hideMark/>
          </w:tcPr>
          <w:p w14:paraId="4181BA21"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0" w:type="dxa"/>
            <w:tcBorders>
              <w:top w:val="nil"/>
              <w:left w:val="nil"/>
              <w:bottom w:val="single" w:sz="4" w:space="0" w:color="auto"/>
              <w:right w:val="single" w:sz="4" w:space="0" w:color="auto"/>
            </w:tcBorders>
            <w:shd w:val="clear" w:color="000000" w:fill="FDE9D9"/>
            <w:noWrap/>
            <w:vAlign w:val="bottom"/>
            <w:hideMark/>
          </w:tcPr>
          <w:p w14:paraId="28CE6C37"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92" w:type="dxa"/>
            <w:tcBorders>
              <w:top w:val="nil"/>
              <w:left w:val="nil"/>
              <w:bottom w:val="single" w:sz="4" w:space="0" w:color="auto"/>
              <w:right w:val="single" w:sz="4" w:space="0" w:color="auto"/>
            </w:tcBorders>
            <w:shd w:val="clear" w:color="000000" w:fill="FDE9D9"/>
            <w:noWrap/>
            <w:vAlign w:val="bottom"/>
          </w:tcPr>
          <w:p w14:paraId="121A46DC" w14:textId="563C1C22"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151D2756"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FDE9D9"/>
            <w:noWrap/>
            <w:vAlign w:val="bottom"/>
            <w:hideMark/>
          </w:tcPr>
          <w:p w14:paraId="1A7AD7AD"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75B0BB9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0.2%</w:t>
            </w:r>
          </w:p>
        </w:tc>
        <w:tc>
          <w:tcPr>
            <w:tcW w:w="841" w:type="dxa"/>
            <w:tcBorders>
              <w:top w:val="nil"/>
              <w:left w:val="nil"/>
              <w:bottom w:val="single" w:sz="4" w:space="0" w:color="auto"/>
              <w:right w:val="single" w:sz="4" w:space="0" w:color="auto"/>
            </w:tcBorders>
            <w:shd w:val="clear" w:color="000000" w:fill="DAEEF3"/>
            <w:noWrap/>
            <w:vAlign w:val="bottom"/>
            <w:hideMark/>
          </w:tcPr>
          <w:p w14:paraId="181AB04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0.2%</w:t>
            </w:r>
          </w:p>
        </w:tc>
        <w:tc>
          <w:tcPr>
            <w:tcW w:w="770" w:type="dxa"/>
            <w:tcBorders>
              <w:top w:val="nil"/>
              <w:left w:val="nil"/>
              <w:bottom w:val="single" w:sz="4" w:space="0" w:color="auto"/>
              <w:right w:val="single" w:sz="4" w:space="0" w:color="auto"/>
            </w:tcBorders>
            <w:shd w:val="clear" w:color="000000" w:fill="DAEEF3"/>
            <w:noWrap/>
            <w:vAlign w:val="bottom"/>
            <w:hideMark/>
          </w:tcPr>
          <w:p w14:paraId="52EA8F9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0.3%</w:t>
            </w:r>
          </w:p>
        </w:tc>
        <w:tc>
          <w:tcPr>
            <w:tcW w:w="841" w:type="dxa"/>
            <w:tcBorders>
              <w:top w:val="nil"/>
              <w:left w:val="nil"/>
              <w:bottom w:val="single" w:sz="4" w:space="0" w:color="auto"/>
              <w:right w:val="single" w:sz="8" w:space="0" w:color="auto"/>
            </w:tcBorders>
            <w:shd w:val="clear" w:color="000000" w:fill="DAEEF3"/>
            <w:noWrap/>
            <w:vAlign w:val="bottom"/>
            <w:hideMark/>
          </w:tcPr>
          <w:p w14:paraId="0B93FD0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0.2%</w:t>
            </w:r>
          </w:p>
        </w:tc>
      </w:tr>
      <w:tr w:rsidR="00F20114" w:rsidRPr="00D84D77" w14:paraId="3B98C81B"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228D6079" w14:textId="77777777" w:rsidR="00F20114" w:rsidRPr="00D84D77" w:rsidRDefault="00F20114" w:rsidP="00F20114">
            <w:pPr>
              <w:rPr>
                <w:rFonts w:ascii="Calibri" w:hAnsi="Calibri"/>
                <w:sz w:val="20"/>
                <w:lang w:eastAsia="en-AU"/>
              </w:rPr>
            </w:pPr>
            <w:r w:rsidRPr="00D84D77">
              <w:rPr>
                <w:rFonts w:ascii="Calibri" w:hAnsi="Calibri"/>
                <w:sz w:val="20"/>
                <w:lang w:eastAsia="en-AU"/>
              </w:rPr>
              <w:t>Mansfield</w:t>
            </w:r>
          </w:p>
        </w:tc>
        <w:tc>
          <w:tcPr>
            <w:tcW w:w="726" w:type="dxa"/>
            <w:tcBorders>
              <w:top w:val="nil"/>
              <w:left w:val="nil"/>
              <w:bottom w:val="single" w:sz="4" w:space="0" w:color="auto"/>
              <w:right w:val="single" w:sz="4" w:space="0" w:color="auto"/>
            </w:tcBorders>
            <w:shd w:val="clear" w:color="000000" w:fill="FDE9D9"/>
            <w:noWrap/>
            <w:vAlign w:val="bottom"/>
            <w:hideMark/>
          </w:tcPr>
          <w:p w14:paraId="24BAC3F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10.9%</w:t>
            </w:r>
          </w:p>
        </w:tc>
        <w:tc>
          <w:tcPr>
            <w:tcW w:w="840" w:type="dxa"/>
            <w:tcBorders>
              <w:top w:val="nil"/>
              <w:left w:val="nil"/>
              <w:bottom w:val="single" w:sz="4" w:space="0" w:color="auto"/>
              <w:right w:val="single" w:sz="4" w:space="0" w:color="auto"/>
            </w:tcBorders>
            <w:shd w:val="clear" w:color="000000" w:fill="FDE9D9"/>
            <w:noWrap/>
            <w:vAlign w:val="bottom"/>
            <w:hideMark/>
          </w:tcPr>
          <w:p w14:paraId="2BFCDBE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6.1%</w:t>
            </w:r>
          </w:p>
        </w:tc>
        <w:tc>
          <w:tcPr>
            <w:tcW w:w="892" w:type="dxa"/>
            <w:tcBorders>
              <w:top w:val="nil"/>
              <w:left w:val="nil"/>
              <w:bottom w:val="single" w:sz="4" w:space="0" w:color="auto"/>
              <w:right w:val="single" w:sz="4" w:space="0" w:color="auto"/>
            </w:tcBorders>
            <w:shd w:val="clear" w:color="000000" w:fill="FDE9D9"/>
            <w:noWrap/>
            <w:vAlign w:val="bottom"/>
          </w:tcPr>
          <w:p w14:paraId="1E8D32D1" w14:textId="5B101606"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29E3461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14.1%</w:t>
            </w:r>
          </w:p>
        </w:tc>
        <w:tc>
          <w:tcPr>
            <w:tcW w:w="841" w:type="dxa"/>
            <w:tcBorders>
              <w:top w:val="nil"/>
              <w:left w:val="nil"/>
              <w:bottom w:val="single" w:sz="4" w:space="0" w:color="auto"/>
              <w:right w:val="single" w:sz="8" w:space="0" w:color="auto"/>
            </w:tcBorders>
            <w:shd w:val="clear" w:color="000000" w:fill="FDE9D9"/>
            <w:noWrap/>
            <w:vAlign w:val="bottom"/>
            <w:hideMark/>
          </w:tcPr>
          <w:p w14:paraId="0F054CE8"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7.0%</w:t>
            </w:r>
          </w:p>
        </w:tc>
        <w:tc>
          <w:tcPr>
            <w:tcW w:w="770" w:type="dxa"/>
            <w:tcBorders>
              <w:top w:val="nil"/>
              <w:left w:val="nil"/>
              <w:bottom w:val="single" w:sz="4" w:space="0" w:color="auto"/>
              <w:right w:val="single" w:sz="4" w:space="0" w:color="auto"/>
            </w:tcBorders>
            <w:shd w:val="clear" w:color="000000" w:fill="DAEEF3"/>
            <w:noWrap/>
            <w:vAlign w:val="bottom"/>
            <w:hideMark/>
          </w:tcPr>
          <w:p w14:paraId="5964249D"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10.9%</w:t>
            </w:r>
          </w:p>
        </w:tc>
        <w:tc>
          <w:tcPr>
            <w:tcW w:w="841" w:type="dxa"/>
            <w:tcBorders>
              <w:top w:val="nil"/>
              <w:left w:val="nil"/>
              <w:bottom w:val="single" w:sz="4" w:space="0" w:color="auto"/>
              <w:right w:val="single" w:sz="4" w:space="0" w:color="auto"/>
            </w:tcBorders>
            <w:shd w:val="clear" w:color="000000" w:fill="DAEEF3"/>
            <w:noWrap/>
            <w:vAlign w:val="bottom"/>
            <w:hideMark/>
          </w:tcPr>
          <w:p w14:paraId="71DD8E0C"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6.1%</w:t>
            </w:r>
          </w:p>
        </w:tc>
        <w:tc>
          <w:tcPr>
            <w:tcW w:w="770" w:type="dxa"/>
            <w:tcBorders>
              <w:top w:val="nil"/>
              <w:left w:val="nil"/>
              <w:bottom w:val="single" w:sz="4" w:space="0" w:color="auto"/>
              <w:right w:val="single" w:sz="4" w:space="0" w:color="auto"/>
            </w:tcBorders>
            <w:shd w:val="clear" w:color="000000" w:fill="DAEEF3"/>
            <w:noWrap/>
            <w:vAlign w:val="bottom"/>
            <w:hideMark/>
          </w:tcPr>
          <w:p w14:paraId="5B9F5B98"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14.1%</w:t>
            </w:r>
          </w:p>
        </w:tc>
        <w:tc>
          <w:tcPr>
            <w:tcW w:w="841" w:type="dxa"/>
            <w:tcBorders>
              <w:top w:val="nil"/>
              <w:left w:val="nil"/>
              <w:bottom w:val="single" w:sz="4" w:space="0" w:color="auto"/>
              <w:right w:val="single" w:sz="8" w:space="0" w:color="auto"/>
            </w:tcBorders>
            <w:shd w:val="clear" w:color="000000" w:fill="DAEEF3"/>
            <w:noWrap/>
            <w:vAlign w:val="bottom"/>
            <w:hideMark/>
          </w:tcPr>
          <w:p w14:paraId="0B89AC0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7.0%</w:t>
            </w:r>
          </w:p>
        </w:tc>
      </w:tr>
      <w:tr w:rsidR="00F20114" w:rsidRPr="00D84D77" w14:paraId="72E44921"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6F41858E" w14:textId="77777777" w:rsidR="00F20114" w:rsidRPr="00D84D77" w:rsidRDefault="00F20114" w:rsidP="00F20114">
            <w:pPr>
              <w:rPr>
                <w:rFonts w:ascii="Calibri" w:hAnsi="Calibri"/>
                <w:sz w:val="20"/>
                <w:lang w:eastAsia="en-AU"/>
              </w:rPr>
            </w:pPr>
            <w:r w:rsidRPr="00D84D77">
              <w:rPr>
                <w:rFonts w:ascii="Calibri" w:hAnsi="Calibri"/>
                <w:sz w:val="20"/>
                <w:lang w:eastAsia="en-AU"/>
              </w:rPr>
              <w:lastRenderedPageBreak/>
              <w:t>Maribyrnong</w:t>
            </w:r>
          </w:p>
        </w:tc>
        <w:tc>
          <w:tcPr>
            <w:tcW w:w="726" w:type="dxa"/>
            <w:tcBorders>
              <w:top w:val="nil"/>
              <w:left w:val="nil"/>
              <w:bottom w:val="single" w:sz="4" w:space="0" w:color="auto"/>
              <w:right w:val="single" w:sz="4" w:space="0" w:color="auto"/>
            </w:tcBorders>
            <w:shd w:val="clear" w:color="000000" w:fill="FDE9D9"/>
            <w:noWrap/>
            <w:vAlign w:val="bottom"/>
            <w:hideMark/>
          </w:tcPr>
          <w:p w14:paraId="3FAD78F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16.7%</w:t>
            </w:r>
          </w:p>
        </w:tc>
        <w:tc>
          <w:tcPr>
            <w:tcW w:w="840" w:type="dxa"/>
            <w:tcBorders>
              <w:top w:val="nil"/>
              <w:left w:val="nil"/>
              <w:bottom w:val="single" w:sz="4" w:space="0" w:color="auto"/>
              <w:right w:val="single" w:sz="4" w:space="0" w:color="auto"/>
            </w:tcBorders>
            <w:shd w:val="clear" w:color="000000" w:fill="FDE9D9"/>
            <w:noWrap/>
            <w:vAlign w:val="bottom"/>
            <w:hideMark/>
          </w:tcPr>
          <w:p w14:paraId="7D05A60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11.9%</w:t>
            </w:r>
          </w:p>
        </w:tc>
        <w:tc>
          <w:tcPr>
            <w:tcW w:w="892" w:type="dxa"/>
            <w:tcBorders>
              <w:top w:val="nil"/>
              <w:left w:val="nil"/>
              <w:bottom w:val="single" w:sz="4" w:space="0" w:color="auto"/>
              <w:right w:val="single" w:sz="4" w:space="0" w:color="auto"/>
            </w:tcBorders>
            <w:shd w:val="clear" w:color="000000" w:fill="FDE9D9"/>
            <w:noWrap/>
            <w:vAlign w:val="bottom"/>
          </w:tcPr>
          <w:p w14:paraId="5CBED9F1" w14:textId="1329BD92"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20BBE15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17.0%</w:t>
            </w:r>
          </w:p>
        </w:tc>
        <w:tc>
          <w:tcPr>
            <w:tcW w:w="841" w:type="dxa"/>
            <w:tcBorders>
              <w:top w:val="nil"/>
              <w:left w:val="nil"/>
              <w:bottom w:val="single" w:sz="4" w:space="0" w:color="auto"/>
              <w:right w:val="single" w:sz="8" w:space="0" w:color="auto"/>
            </w:tcBorders>
            <w:shd w:val="clear" w:color="000000" w:fill="FDE9D9"/>
            <w:noWrap/>
            <w:vAlign w:val="bottom"/>
            <w:hideMark/>
          </w:tcPr>
          <w:p w14:paraId="62C1C5C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12.0%</w:t>
            </w:r>
          </w:p>
        </w:tc>
        <w:tc>
          <w:tcPr>
            <w:tcW w:w="770" w:type="dxa"/>
            <w:tcBorders>
              <w:top w:val="nil"/>
              <w:left w:val="nil"/>
              <w:bottom w:val="single" w:sz="4" w:space="0" w:color="auto"/>
              <w:right w:val="single" w:sz="4" w:space="0" w:color="auto"/>
            </w:tcBorders>
            <w:shd w:val="clear" w:color="000000" w:fill="DAEEF3"/>
            <w:noWrap/>
            <w:vAlign w:val="bottom"/>
            <w:hideMark/>
          </w:tcPr>
          <w:p w14:paraId="3ECDACC7"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12.2%</w:t>
            </w:r>
          </w:p>
        </w:tc>
        <w:tc>
          <w:tcPr>
            <w:tcW w:w="841" w:type="dxa"/>
            <w:tcBorders>
              <w:top w:val="nil"/>
              <w:left w:val="nil"/>
              <w:bottom w:val="single" w:sz="4" w:space="0" w:color="auto"/>
              <w:right w:val="single" w:sz="4" w:space="0" w:color="auto"/>
            </w:tcBorders>
            <w:shd w:val="clear" w:color="000000" w:fill="DAEEF3"/>
            <w:noWrap/>
            <w:vAlign w:val="bottom"/>
            <w:hideMark/>
          </w:tcPr>
          <w:p w14:paraId="736A125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8.7%</w:t>
            </w:r>
          </w:p>
        </w:tc>
        <w:tc>
          <w:tcPr>
            <w:tcW w:w="770" w:type="dxa"/>
            <w:tcBorders>
              <w:top w:val="nil"/>
              <w:left w:val="nil"/>
              <w:bottom w:val="single" w:sz="4" w:space="0" w:color="auto"/>
              <w:right w:val="single" w:sz="4" w:space="0" w:color="auto"/>
            </w:tcBorders>
            <w:shd w:val="clear" w:color="000000" w:fill="DAEEF3"/>
            <w:noWrap/>
            <w:vAlign w:val="bottom"/>
            <w:hideMark/>
          </w:tcPr>
          <w:p w14:paraId="474DF7A8"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12.4%</w:t>
            </w:r>
          </w:p>
        </w:tc>
        <w:tc>
          <w:tcPr>
            <w:tcW w:w="841" w:type="dxa"/>
            <w:tcBorders>
              <w:top w:val="nil"/>
              <w:left w:val="nil"/>
              <w:bottom w:val="single" w:sz="4" w:space="0" w:color="auto"/>
              <w:right w:val="single" w:sz="8" w:space="0" w:color="auto"/>
            </w:tcBorders>
            <w:shd w:val="clear" w:color="000000" w:fill="DAEEF3"/>
            <w:noWrap/>
            <w:vAlign w:val="bottom"/>
            <w:hideMark/>
          </w:tcPr>
          <w:p w14:paraId="1522CB77"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8.7%</w:t>
            </w:r>
          </w:p>
        </w:tc>
      </w:tr>
      <w:tr w:rsidR="00F20114" w:rsidRPr="00D84D77" w14:paraId="501B9C41"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3AD659F8" w14:textId="77777777" w:rsidR="00F20114" w:rsidRPr="00D84D77" w:rsidRDefault="00F20114" w:rsidP="00F20114">
            <w:pPr>
              <w:rPr>
                <w:rFonts w:ascii="Calibri" w:hAnsi="Calibri"/>
                <w:sz w:val="20"/>
                <w:lang w:eastAsia="en-AU"/>
              </w:rPr>
            </w:pPr>
            <w:r w:rsidRPr="00D84D77">
              <w:rPr>
                <w:rFonts w:ascii="Calibri" w:hAnsi="Calibri"/>
                <w:sz w:val="20"/>
                <w:lang w:eastAsia="en-AU"/>
              </w:rPr>
              <w:t>Maroondah</w:t>
            </w:r>
          </w:p>
        </w:tc>
        <w:tc>
          <w:tcPr>
            <w:tcW w:w="726" w:type="dxa"/>
            <w:tcBorders>
              <w:top w:val="nil"/>
              <w:left w:val="nil"/>
              <w:bottom w:val="single" w:sz="4" w:space="0" w:color="auto"/>
              <w:right w:val="single" w:sz="4" w:space="0" w:color="auto"/>
            </w:tcBorders>
            <w:shd w:val="clear" w:color="000000" w:fill="FDE9D9"/>
            <w:noWrap/>
            <w:vAlign w:val="bottom"/>
            <w:hideMark/>
          </w:tcPr>
          <w:p w14:paraId="4C4656FC"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11.1%</w:t>
            </w:r>
          </w:p>
        </w:tc>
        <w:tc>
          <w:tcPr>
            <w:tcW w:w="840" w:type="dxa"/>
            <w:tcBorders>
              <w:top w:val="nil"/>
              <w:left w:val="nil"/>
              <w:bottom w:val="single" w:sz="4" w:space="0" w:color="auto"/>
              <w:right w:val="single" w:sz="4" w:space="0" w:color="auto"/>
            </w:tcBorders>
            <w:shd w:val="clear" w:color="000000" w:fill="FDE9D9"/>
            <w:noWrap/>
            <w:vAlign w:val="bottom"/>
            <w:hideMark/>
          </w:tcPr>
          <w:p w14:paraId="4183DDDC"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7.4%</w:t>
            </w:r>
          </w:p>
        </w:tc>
        <w:tc>
          <w:tcPr>
            <w:tcW w:w="892" w:type="dxa"/>
            <w:tcBorders>
              <w:top w:val="nil"/>
              <w:left w:val="nil"/>
              <w:bottom w:val="single" w:sz="4" w:space="0" w:color="auto"/>
              <w:right w:val="single" w:sz="4" w:space="0" w:color="auto"/>
            </w:tcBorders>
            <w:shd w:val="clear" w:color="000000" w:fill="FDE9D9"/>
            <w:noWrap/>
            <w:vAlign w:val="bottom"/>
          </w:tcPr>
          <w:p w14:paraId="7AE3125E" w14:textId="435A5844"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74448AF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13.0%</w:t>
            </w:r>
          </w:p>
        </w:tc>
        <w:tc>
          <w:tcPr>
            <w:tcW w:w="841" w:type="dxa"/>
            <w:tcBorders>
              <w:top w:val="nil"/>
              <w:left w:val="nil"/>
              <w:bottom w:val="single" w:sz="4" w:space="0" w:color="auto"/>
              <w:right w:val="single" w:sz="8" w:space="0" w:color="auto"/>
            </w:tcBorders>
            <w:shd w:val="clear" w:color="000000" w:fill="FDE9D9"/>
            <w:noWrap/>
            <w:vAlign w:val="bottom"/>
            <w:hideMark/>
          </w:tcPr>
          <w:p w14:paraId="0495333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8.3%</w:t>
            </w:r>
          </w:p>
        </w:tc>
        <w:tc>
          <w:tcPr>
            <w:tcW w:w="770" w:type="dxa"/>
            <w:tcBorders>
              <w:top w:val="nil"/>
              <w:left w:val="nil"/>
              <w:bottom w:val="single" w:sz="4" w:space="0" w:color="auto"/>
              <w:right w:val="single" w:sz="4" w:space="0" w:color="auto"/>
            </w:tcBorders>
            <w:shd w:val="clear" w:color="000000" w:fill="DAEEF3"/>
            <w:noWrap/>
            <w:vAlign w:val="bottom"/>
            <w:hideMark/>
          </w:tcPr>
          <w:p w14:paraId="6ADB02C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11.1%</w:t>
            </w:r>
          </w:p>
        </w:tc>
        <w:tc>
          <w:tcPr>
            <w:tcW w:w="841" w:type="dxa"/>
            <w:tcBorders>
              <w:top w:val="nil"/>
              <w:left w:val="nil"/>
              <w:bottom w:val="single" w:sz="4" w:space="0" w:color="auto"/>
              <w:right w:val="single" w:sz="4" w:space="0" w:color="auto"/>
            </w:tcBorders>
            <w:shd w:val="clear" w:color="000000" w:fill="DAEEF3"/>
            <w:noWrap/>
            <w:vAlign w:val="bottom"/>
            <w:hideMark/>
          </w:tcPr>
          <w:p w14:paraId="6F064370"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7.4%</w:t>
            </w:r>
          </w:p>
        </w:tc>
        <w:tc>
          <w:tcPr>
            <w:tcW w:w="770" w:type="dxa"/>
            <w:tcBorders>
              <w:top w:val="nil"/>
              <w:left w:val="nil"/>
              <w:bottom w:val="single" w:sz="4" w:space="0" w:color="auto"/>
              <w:right w:val="single" w:sz="4" w:space="0" w:color="auto"/>
            </w:tcBorders>
            <w:shd w:val="clear" w:color="000000" w:fill="DAEEF3"/>
            <w:noWrap/>
            <w:vAlign w:val="bottom"/>
            <w:hideMark/>
          </w:tcPr>
          <w:p w14:paraId="5E5613E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13.0%</w:t>
            </w:r>
          </w:p>
        </w:tc>
        <w:tc>
          <w:tcPr>
            <w:tcW w:w="841" w:type="dxa"/>
            <w:tcBorders>
              <w:top w:val="nil"/>
              <w:left w:val="nil"/>
              <w:bottom w:val="single" w:sz="4" w:space="0" w:color="auto"/>
              <w:right w:val="single" w:sz="8" w:space="0" w:color="auto"/>
            </w:tcBorders>
            <w:shd w:val="clear" w:color="000000" w:fill="DAEEF3"/>
            <w:noWrap/>
            <w:vAlign w:val="bottom"/>
            <w:hideMark/>
          </w:tcPr>
          <w:p w14:paraId="27465445"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8.3%</w:t>
            </w:r>
          </w:p>
        </w:tc>
      </w:tr>
      <w:tr w:rsidR="00F20114" w:rsidRPr="00D84D77" w14:paraId="123A9C6D"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4E464480" w14:textId="77777777" w:rsidR="00F20114" w:rsidRPr="00D84D77" w:rsidRDefault="00F20114" w:rsidP="00F20114">
            <w:pPr>
              <w:rPr>
                <w:rFonts w:ascii="Calibri" w:hAnsi="Calibri"/>
                <w:sz w:val="20"/>
                <w:lang w:eastAsia="en-AU"/>
              </w:rPr>
            </w:pPr>
            <w:r w:rsidRPr="00D84D77">
              <w:rPr>
                <w:rFonts w:ascii="Calibri" w:hAnsi="Calibri"/>
                <w:sz w:val="20"/>
                <w:lang w:eastAsia="en-AU"/>
              </w:rPr>
              <w:t>Melbourne</w:t>
            </w:r>
          </w:p>
        </w:tc>
        <w:tc>
          <w:tcPr>
            <w:tcW w:w="726" w:type="dxa"/>
            <w:tcBorders>
              <w:top w:val="nil"/>
              <w:left w:val="nil"/>
              <w:bottom w:val="single" w:sz="4" w:space="0" w:color="auto"/>
              <w:right w:val="single" w:sz="4" w:space="0" w:color="auto"/>
            </w:tcBorders>
            <w:shd w:val="clear" w:color="000000" w:fill="FDE9D9"/>
            <w:noWrap/>
            <w:vAlign w:val="bottom"/>
            <w:hideMark/>
          </w:tcPr>
          <w:p w14:paraId="78BEC900"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0" w:type="dxa"/>
            <w:tcBorders>
              <w:top w:val="nil"/>
              <w:left w:val="nil"/>
              <w:bottom w:val="single" w:sz="4" w:space="0" w:color="auto"/>
              <w:right w:val="single" w:sz="4" w:space="0" w:color="auto"/>
            </w:tcBorders>
            <w:shd w:val="clear" w:color="000000" w:fill="FDE9D9"/>
            <w:noWrap/>
            <w:vAlign w:val="bottom"/>
            <w:hideMark/>
          </w:tcPr>
          <w:p w14:paraId="4A31F16C"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92" w:type="dxa"/>
            <w:tcBorders>
              <w:top w:val="nil"/>
              <w:left w:val="nil"/>
              <w:bottom w:val="single" w:sz="4" w:space="0" w:color="auto"/>
              <w:right w:val="single" w:sz="4" w:space="0" w:color="auto"/>
            </w:tcBorders>
            <w:shd w:val="clear" w:color="000000" w:fill="FDE9D9"/>
            <w:noWrap/>
            <w:vAlign w:val="bottom"/>
          </w:tcPr>
          <w:p w14:paraId="79078FC7" w14:textId="7BF8F474"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3223B370"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FDE9D9"/>
            <w:noWrap/>
            <w:vAlign w:val="bottom"/>
            <w:hideMark/>
          </w:tcPr>
          <w:p w14:paraId="1EA7A9FA"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2130B0F1"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4" w:space="0" w:color="auto"/>
            </w:tcBorders>
            <w:shd w:val="clear" w:color="000000" w:fill="DAEEF3"/>
            <w:noWrap/>
            <w:vAlign w:val="bottom"/>
            <w:hideMark/>
          </w:tcPr>
          <w:p w14:paraId="6400CE36"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0DF3E475"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DAEEF3"/>
            <w:noWrap/>
            <w:vAlign w:val="bottom"/>
            <w:hideMark/>
          </w:tcPr>
          <w:p w14:paraId="60901320"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r>
      <w:tr w:rsidR="00F20114" w:rsidRPr="00D84D77" w14:paraId="2AAE6E21"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6D8FC75A" w14:textId="77777777" w:rsidR="00F20114" w:rsidRPr="00D84D77" w:rsidRDefault="00F20114" w:rsidP="00F20114">
            <w:pPr>
              <w:rPr>
                <w:rFonts w:ascii="Calibri" w:hAnsi="Calibri"/>
                <w:sz w:val="20"/>
                <w:lang w:eastAsia="en-AU"/>
              </w:rPr>
            </w:pPr>
            <w:r w:rsidRPr="00D84D77">
              <w:rPr>
                <w:rFonts w:ascii="Calibri" w:hAnsi="Calibri"/>
                <w:sz w:val="20"/>
                <w:lang w:eastAsia="en-AU"/>
              </w:rPr>
              <w:t>Melton</w:t>
            </w:r>
          </w:p>
        </w:tc>
        <w:tc>
          <w:tcPr>
            <w:tcW w:w="726" w:type="dxa"/>
            <w:tcBorders>
              <w:top w:val="nil"/>
              <w:left w:val="nil"/>
              <w:bottom w:val="single" w:sz="4" w:space="0" w:color="auto"/>
              <w:right w:val="single" w:sz="4" w:space="0" w:color="auto"/>
            </w:tcBorders>
            <w:shd w:val="clear" w:color="000000" w:fill="FDE9D9"/>
            <w:noWrap/>
            <w:vAlign w:val="bottom"/>
            <w:hideMark/>
          </w:tcPr>
          <w:p w14:paraId="3FDFCC05"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3.0%</w:t>
            </w:r>
          </w:p>
        </w:tc>
        <w:tc>
          <w:tcPr>
            <w:tcW w:w="840" w:type="dxa"/>
            <w:tcBorders>
              <w:top w:val="nil"/>
              <w:left w:val="nil"/>
              <w:bottom w:val="single" w:sz="4" w:space="0" w:color="auto"/>
              <w:right w:val="single" w:sz="4" w:space="0" w:color="auto"/>
            </w:tcBorders>
            <w:shd w:val="clear" w:color="000000" w:fill="FDE9D9"/>
            <w:noWrap/>
            <w:vAlign w:val="bottom"/>
            <w:hideMark/>
          </w:tcPr>
          <w:p w14:paraId="07A2AD1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2.4%</w:t>
            </w:r>
          </w:p>
        </w:tc>
        <w:tc>
          <w:tcPr>
            <w:tcW w:w="892" w:type="dxa"/>
            <w:tcBorders>
              <w:top w:val="nil"/>
              <w:left w:val="nil"/>
              <w:bottom w:val="single" w:sz="4" w:space="0" w:color="auto"/>
              <w:right w:val="single" w:sz="4" w:space="0" w:color="auto"/>
            </w:tcBorders>
            <w:shd w:val="clear" w:color="000000" w:fill="FDE9D9"/>
            <w:noWrap/>
            <w:vAlign w:val="bottom"/>
          </w:tcPr>
          <w:p w14:paraId="06D80E73" w14:textId="18C6F87C"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29AF0E3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3.4%</w:t>
            </w:r>
          </w:p>
        </w:tc>
        <w:tc>
          <w:tcPr>
            <w:tcW w:w="841" w:type="dxa"/>
            <w:tcBorders>
              <w:top w:val="nil"/>
              <w:left w:val="nil"/>
              <w:bottom w:val="single" w:sz="4" w:space="0" w:color="auto"/>
              <w:right w:val="single" w:sz="8" w:space="0" w:color="auto"/>
            </w:tcBorders>
            <w:shd w:val="clear" w:color="000000" w:fill="FDE9D9"/>
            <w:noWrap/>
            <w:vAlign w:val="bottom"/>
            <w:hideMark/>
          </w:tcPr>
          <w:p w14:paraId="3BC250C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2.7%</w:t>
            </w:r>
          </w:p>
        </w:tc>
        <w:tc>
          <w:tcPr>
            <w:tcW w:w="770" w:type="dxa"/>
            <w:tcBorders>
              <w:top w:val="nil"/>
              <w:left w:val="nil"/>
              <w:bottom w:val="single" w:sz="4" w:space="0" w:color="auto"/>
              <w:right w:val="single" w:sz="4" w:space="0" w:color="auto"/>
            </w:tcBorders>
            <w:shd w:val="clear" w:color="000000" w:fill="DAEEF3"/>
            <w:noWrap/>
            <w:vAlign w:val="bottom"/>
            <w:hideMark/>
          </w:tcPr>
          <w:p w14:paraId="28A14CCA"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3.0%</w:t>
            </w:r>
          </w:p>
        </w:tc>
        <w:tc>
          <w:tcPr>
            <w:tcW w:w="841" w:type="dxa"/>
            <w:tcBorders>
              <w:top w:val="nil"/>
              <w:left w:val="nil"/>
              <w:bottom w:val="single" w:sz="4" w:space="0" w:color="auto"/>
              <w:right w:val="single" w:sz="4" w:space="0" w:color="auto"/>
            </w:tcBorders>
            <w:shd w:val="clear" w:color="000000" w:fill="DAEEF3"/>
            <w:noWrap/>
            <w:vAlign w:val="bottom"/>
            <w:hideMark/>
          </w:tcPr>
          <w:p w14:paraId="4F0BB63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2.4%</w:t>
            </w:r>
          </w:p>
        </w:tc>
        <w:tc>
          <w:tcPr>
            <w:tcW w:w="770" w:type="dxa"/>
            <w:tcBorders>
              <w:top w:val="nil"/>
              <w:left w:val="nil"/>
              <w:bottom w:val="single" w:sz="4" w:space="0" w:color="auto"/>
              <w:right w:val="single" w:sz="4" w:space="0" w:color="auto"/>
            </w:tcBorders>
            <w:shd w:val="clear" w:color="000000" w:fill="DAEEF3"/>
            <w:noWrap/>
            <w:vAlign w:val="bottom"/>
            <w:hideMark/>
          </w:tcPr>
          <w:p w14:paraId="0F59B40C"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3.4%</w:t>
            </w:r>
          </w:p>
        </w:tc>
        <w:tc>
          <w:tcPr>
            <w:tcW w:w="841" w:type="dxa"/>
            <w:tcBorders>
              <w:top w:val="nil"/>
              <w:left w:val="nil"/>
              <w:bottom w:val="single" w:sz="4" w:space="0" w:color="auto"/>
              <w:right w:val="single" w:sz="8" w:space="0" w:color="auto"/>
            </w:tcBorders>
            <w:shd w:val="clear" w:color="000000" w:fill="DAEEF3"/>
            <w:noWrap/>
            <w:vAlign w:val="bottom"/>
            <w:hideMark/>
          </w:tcPr>
          <w:p w14:paraId="7F5CEAF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2.7%</w:t>
            </w:r>
          </w:p>
        </w:tc>
      </w:tr>
      <w:tr w:rsidR="00F20114" w:rsidRPr="00D84D77" w14:paraId="2418216D"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00C3B997" w14:textId="77777777" w:rsidR="00F20114" w:rsidRPr="00D84D77" w:rsidRDefault="00F20114" w:rsidP="00F20114">
            <w:pPr>
              <w:rPr>
                <w:rFonts w:ascii="Calibri" w:hAnsi="Calibri"/>
                <w:sz w:val="20"/>
                <w:lang w:eastAsia="en-AU"/>
              </w:rPr>
            </w:pPr>
            <w:r w:rsidRPr="00D84D77">
              <w:rPr>
                <w:rFonts w:ascii="Calibri" w:hAnsi="Calibri"/>
                <w:sz w:val="20"/>
                <w:lang w:eastAsia="en-AU"/>
              </w:rPr>
              <w:t>Mildura</w:t>
            </w:r>
          </w:p>
        </w:tc>
        <w:tc>
          <w:tcPr>
            <w:tcW w:w="726" w:type="dxa"/>
            <w:tcBorders>
              <w:top w:val="nil"/>
              <w:left w:val="nil"/>
              <w:bottom w:val="single" w:sz="4" w:space="0" w:color="auto"/>
              <w:right w:val="single" w:sz="4" w:space="0" w:color="auto"/>
            </w:tcBorders>
            <w:shd w:val="clear" w:color="000000" w:fill="FDE9D9"/>
            <w:noWrap/>
            <w:vAlign w:val="bottom"/>
            <w:hideMark/>
          </w:tcPr>
          <w:p w14:paraId="6FB381E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9.5%</w:t>
            </w:r>
          </w:p>
        </w:tc>
        <w:tc>
          <w:tcPr>
            <w:tcW w:w="840" w:type="dxa"/>
            <w:tcBorders>
              <w:top w:val="nil"/>
              <w:left w:val="nil"/>
              <w:bottom w:val="single" w:sz="4" w:space="0" w:color="auto"/>
              <w:right w:val="single" w:sz="4" w:space="0" w:color="auto"/>
            </w:tcBorders>
            <w:shd w:val="clear" w:color="000000" w:fill="FDE9D9"/>
            <w:noWrap/>
            <w:vAlign w:val="bottom"/>
            <w:hideMark/>
          </w:tcPr>
          <w:p w14:paraId="548BC05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7.9%</w:t>
            </w:r>
          </w:p>
        </w:tc>
        <w:tc>
          <w:tcPr>
            <w:tcW w:w="892" w:type="dxa"/>
            <w:tcBorders>
              <w:top w:val="nil"/>
              <w:left w:val="nil"/>
              <w:bottom w:val="single" w:sz="4" w:space="0" w:color="auto"/>
              <w:right w:val="single" w:sz="4" w:space="0" w:color="auto"/>
            </w:tcBorders>
            <w:shd w:val="clear" w:color="000000" w:fill="FDE9D9"/>
            <w:noWrap/>
            <w:vAlign w:val="bottom"/>
          </w:tcPr>
          <w:p w14:paraId="105F39E7" w14:textId="24376791"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303D1A67"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11.1%</w:t>
            </w:r>
          </w:p>
        </w:tc>
        <w:tc>
          <w:tcPr>
            <w:tcW w:w="841" w:type="dxa"/>
            <w:tcBorders>
              <w:top w:val="nil"/>
              <w:left w:val="nil"/>
              <w:bottom w:val="single" w:sz="4" w:space="0" w:color="auto"/>
              <w:right w:val="single" w:sz="8" w:space="0" w:color="auto"/>
            </w:tcBorders>
            <w:shd w:val="clear" w:color="000000" w:fill="FDE9D9"/>
            <w:noWrap/>
            <w:vAlign w:val="bottom"/>
            <w:hideMark/>
          </w:tcPr>
          <w:p w14:paraId="332A9FD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8.9%</w:t>
            </w:r>
          </w:p>
        </w:tc>
        <w:tc>
          <w:tcPr>
            <w:tcW w:w="770" w:type="dxa"/>
            <w:tcBorders>
              <w:top w:val="nil"/>
              <w:left w:val="nil"/>
              <w:bottom w:val="single" w:sz="4" w:space="0" w:color="auto"/>
              <w:right w:val="single" w:sz="4" w:space="0" w:color="auto"/>
            </w:tcBorders>
            <w:shd w:val="clear" w:color="000000" w:fill="DAEEF3"/>
            <w:noWrap/>
            <w:vAlign w:val="bottom"/>
            <w:hideMark/>
          </w:tcPr>
          <w:p w14:paraId="054293FC"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9.5%</w:t>
            </w:r>
          </w:p>
        </w:tc>
        <w:tc>
          <w:tcPr>
            <w:tcW w:w="841" w:type="dxa"/>
            <w:tcBorders>
              <w:top w:val="nil"/>
              <w:left w:val="nil"/>
              <w:bottom w:val="single" w:sz="4" w:space="0" w:color="auto"/>
              <w:right w:val="single" w:sz="4" w:space="0" w:color="auto"/>
            </w:tcBorders>
            <w:shd w:val="clear" w:color="000000" w:fill="DAEEF3"/>
            <w:noWrap/>
            <w:vAlign w:val="bottom"/>
            <w:hideMark/>
          </w:tcPr>
          <w:p w14:paraId="6633E9B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7.9%</w:t>
            </w:r>
          </w:p>
        </w:tc>
        <w:tc>
          <w:tcPr>
            <w:tcW w:w="770" w:type="dxa"/>
            <w:tcBorders>
              <w:top w:val="nil"/>
              <w:left w:val="nil"/>
              <w:bottom w:val="single" w:sz="4" w:space="0" w:color="auto"/>
              <w:right w:val="single" w:sz="4" w:space="0" w:color="auto"/>
            </w:tcBorders>
            <w:shd w:val="clear" w:color="000000" w:fill="DAEEF3"/>
            <w:noWrap/>
            <w:vAlign w:val="bottom"/>
            <w:hideMark/>
          </w:tcPr>
          <w:p w14:paraId="7099C9AD"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11.1%</w:t>
            </w:r>
          </w:p>
        </w:tc>
        <w:tc>
          <w:tcPr>
            <w:tcW w:w="841" w:type="dxa"/>
            <w:tcBorders>
              <w:top w:val="nil"/>
              <w:left w:val="nil"/>
              <w:bottom w:val="single" w:sz="4" w:space="0" w:color="auto"/>
              <w:right w:val="single" w:sz="8" w:space="0" w:color="auto"/>
            </w:tcBorders>
            <w:shd w:val="clear" w:color="000000" w:fill="DAEEF3"/>
            <w:noWrap/>
            <w:vAlign w:val="bottom"/>
            <w:hideMark/>
          </w:tcPr>
          <w:p w14:paraId="56DAD487"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8.9%</w:t>
            </w:r>
          </w:p>
        </w:tc>
      </w:tr>
      <w:tr w:rsidR="00F20114" w:rsidRPr="00D84D77" w14:paraId="6B0EF97E"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4CC71908" w14:textId="77777777" w:rsidR="00F20114" w:rsidRPr="00D84D77" w:rsidRDefault="00F20114" w:rsidP="00F20114">
            <w:pPr>
              <w:rPr>
                <w:rFonts w:ascii="Calibri" w:hAnsi="Calibri"/>
                <w:sz w:val="20"/>
                <w:lang w:eastAsia="en-AU"/>
              </w:rPr>
            </w:pPr>
            <w:r w:rsidRPr="00D84D77">
              <w:rPr>
                <w:rFonts w:ascii="Calibri" w:hAnsi="Calibri"/>
                <w:sz w:val="20"/>
                <w:lang w:eastAsia="en-AU"/>
              </w:rPr>
              <w:t>Mitchell</w:t>
            </w:r>
          </w:p>
        </w:tc>
        <w:tc>
          <w:tcPr>
            <w:tcW w:w="726" w:type="dxa"/>
            <w:tcBorders>
              <w:top w:val="nil"/>
              <w:left w:val="nil"/>
              <w:bottom w:val="single" w:sz="4" w:space="0" w:color="auto"/>
              <w:right w:val="single" w:sz="4" w:space="0" w:color="auto"/>
            </w:tcBorders>
            <w:shd w:val="clear" w:color="000000" w:fill="FDE9D9"/>
            <w:noWrap/>
            <w:vAlign w:val="bottom"/>
            <w:hideMark/>
          </w:tcPr>
          <w:p w14:paraId="0D1817DC"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27.4%</w:t>
            </w:r>
          </w:p>
        </w:tc>
        <w:tc>
          <w:tcPr>
            <w:tcW w:w="840" w:type="dxa"/>
            <w:tcBorders>
              <w:top w:val="nil"/>
              <w:left w:val="nil"/>
              <w:bottom w:val="single" w:sz="4" w:space="0" w:color="auto"/>
              <w:right w:val="single" w:sz="4" w:space="0" w:color="auto"/>
            </w:tcBorders>
            <w:shd w:val="clear" w:color="000000" w:fill="FDE9D9"/>
            <w:noWrap/>
            <w:vAlign w:val="bottom"/>
            <w:hideMark/>
          </w:tcPr>
          <w:p w14:paraId="7057FF20"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18.6%</w:t>
            </w:r>
          </w:p>
        </w:tc>
        <w:tc>
          <w:tcPr>
            <w:tcW w:w="892" w:type="dxa"/>
            <w:tcBorders>
              <w:top w:val="nil"/>
              <w:left w:val="nil"/>
              <w:bottom w:val="single" w:sz="4" w:space="0" w:color="auto"/>
              <w:right w:val="single" w:sz="4" w:space="0" w:color="auto"/>
            </w:tcBorders>
            <w:shd w:val="clear" w:color="000000" w:fill="FDE9D9"/>
            <w:noWrap/>
            <w:vAlign w:val="bottom"/>
          </w:tcPr>
          <w:p w14:paraId="7AE37545" w14:textId="7C8CFA31"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0316C1A5"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33.0%</w:t>
            </w:r>
          </w:p>
        </w:tc>
        <w:tc>
          <w:tcPr>
            <w:tcW w:w="841" w:type="dxa"/>
            <w:tcBorders>
              <w:top w:val="nil"/>
              <w:left w:val="nil"/>
              <w:bottom w:val="single" w:sz="4" w:space="0" w:color="auto"/>
              <w:right w:val="single" w:sz="8" w:space="0" w:color="auto"/>
            </w:tcBorders>
            <w:shd w:val="clear" w:color="000000" w:fill="FDE9D9"/>
            <w:noWrap/>
            <w:vAlign w:val="bottom"/>
            <w:hideMark/>
          </w:tcPr>
          <w:p w14:paraId="1B0F87D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21.0%</w:t>
            </w:r>
          </w:p>
        </w:tc>
        <w:tc>
          <w:tcPr>
            <w:tcW w:w="770" w:type="dxa"/>
            <w:tcBorders>
              <w:top w:val="nil"/>
              <w:left w:val="nil"/>
              <w:bottom w:val="single" w:sz="4" w:space="0" w:color="auto"/>
              <w:right w:val="single" w:sz="4" w:space="0" w:color="auto"/>
            </w:tcBorders>
            <w:shd w:val="clear" w:color="000000" w:fill="DAEEF3"/>
            <w:noWrap/>
            <w:vAlign w:val="bottom"/>
            <w:hideMark/>
          </w:tcPr>
          <w:p w14:paraId="3DDC40F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19.1%</w:t>
            </w:r>
          </w:p>
        </w:tc>
        <w:tc>
          <w:tcPr>
            <w:tcW w:w="841" w:type="dxa"/>
            <w:tcBorders>
              <w:top w:val="nil"/>
              <w:left w:val="nil"/>
              <w:bottom w:val="single" w:sz="4" w:space="0" w:color="auto"/>
              <w:right w:val="single" w:sz="4" w:space="0" w:color="auto"/>
            </w:tcBorders>
            <w:shd w:val="clear" w:color="000000" w:fill="DAEEF3"/>
            <w:noWrap/>
            <w:vAlign w:val="bottom"/>
            <w:hideMark/>
          </w:tcPr>
          <w:p w14:paraId="45B4409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13.0%</w:t>
            </w:r>
          </w:p>
        </w:tc>
        <w:tc>
          <w:tcPr>
            <w:tcW w:w="770" w:type="dxa"/>
            <w:tcBorders>
              <w:top w:val="nil"/>
              <w:left w:val="nil"/>
              <w:bottom w:val="single" w:sz="4" w:space="0" w:color="auto"/>
              <w:right w:val="single" w:sz="4" w:space="0" w:color="auto"/>
            </w:tcBorders>
            <w:shd w:val="clear" w:color="000000" w:fill="DAEEF3"/>
            <w:noWrap/>
            <w:vAlign w:val="bottom"/>
            <w:hideMark/>
          </w:tcPr>
          <w:p w14:paraId="2F1F5918"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23.1%</w:t>
            </w:r>
          </w:p>
        </w:tc>
        <w:tc>
          <w:tcPr>
            <w:tcW w:w="841" w:type="dxa"/>
            <w:tcBorders>
              <w:top w:val="nil"/>
              <w:left w:val="nil"/>
              <w:bottom w:val="single" w:sz="4" w:space="0" w:color="auto"/>
              <w:right w:val="single" w:sz="8" w:space="0" w:color="auto"/>
            </w:tcBorders>
            <w:shd w:val="clear" w:color="000000" w:fill="DAEEF3"/>
            <w:noWrap/>
            <w:vAlign w:val="bottom"/>
            <w:hideMark/>
          </w:tcPr>
          <w:p w14:paraId="60A9BEF0"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14.6%</w:t>
            </w:r>
          </w:p>
        </w:tc>
      </w:tr>
      <w:tr w:rsidR="00F20114" w:rsidRPr="00D84D77" w14:paraId="5DA859E5"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38863DBA" w14:textId="77777777" w:rsidR="00F20114" w:rsidRPr="00D84D77" w:rsidRDefault="00F20114" w:rsidP="00F20114">
            <w:pPr>
              <w:rPr>
                <w:rFonts w:ascii="Calibri" w:hAnsi="Calibri"/>
                <w:sz w:val="20"/>
                <w:lang w:eastAsia="en-AU"/>
              </w:rPr>
            </w:pPr>
            <w:r w:rsidRPr="00D84D77">
              <w:rPr>
                <w:rFonts w:ascii="Calibri" w:hAnsi="Calibri"/>
                <w:sz w:val="20"/>
                <w:lang w:eastAsia="en-AU"/>
              </w:rPr>
              <w:t>Moira</w:t>
            </w:r>
          </w:p>
        </w:tc>
        <w:tc>
          <w:tcPr>
            <w:tcW w:w="726" w:type="dxa"/>
            <w:tcBorders>
              <w:top w:val="nil"/>
              <w:left w:val="nil"/>
              <w:bottom w:val="single" w:sz="4" w:space="0" w:color="auto"/>
              <w:right w:val="single" w:sz="4" w:space="0" w:color="auto"/>
            </w:tcBorders>
            <w:shd w:val="clear" w:color="000000" w:fill="FDE9D9"/>
            <w:noWrap/>
            <w:vAlign w:val="bottom"/>
            <w:hideMark/>
          </w:tcPr>
          <w:p w14:paraId="10FAD21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43.8%</w:t>
            </w:r>
          </w:p>
        </w:tc>
        <w:tc>
          <w:tcPr>
            <w:tcW w:w="840" w:type="dxa"/>
            <w:tcBorders>
              <w:top w:val="nil"/>
              <w:left w:val="nil"/>
              <w:bottom w:val="single" w:sz="4" w:space="0" w:color="auto"/>
              <w:right w:val="single" w:sz="4" w:space="0" w:color="auto"/>
            </w:tcBorders>
            <w:shd w:val="clear" w:color="000000" w:fill="FDE9D9"/>
            <w:noWrap/>
            <w:vAlign w:val="bottom"/>
            <w:hideMark/>
          </w:tcPr>
          <w:p w14:paraId="015A040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30.8%</w:t>
            </w:r>
          </w:p>
        </w:tc>
        <w:tc>
          <w:tcPr>
            <w:tcW w:w="892" w:type="dxa"/>
            <w:tcBorders>
              <w:top w:val="nil"/>
              <w:left w:val="nil"/>
              <w:bottom w:val="single" w:sz="4" w:space="0" w:color="auto"/>
              <w:right w:val="single" w:sz="4" w:space="0" w:color="auto"/>
            </w:tcBorders>
            <w:shd w:val="clear" w:color="000000" w:fill="FDE9D9"/>
            <w:noWrap/>
            <w:vAlign w:val="bottom"/>
          </w:tcPr>
          <w:p w14:paraId="7558AA26" w14:textId="476725CF"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6584637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54.0%</w:t>
            </w:r>
          </w:p>
        </w:tc>
        <w:tc>
          <w:tcPr>
            <w:tcW w:w="841" w:type="dxa"/>
            <w:tcBorders>
              <w:top w:val="nil"/>
              <w:left w:val="nil"/>
              <w:bottom w:val="single" w:sz="4" w:space="0" w:color="auto"/>
              <w:right w:val="single" w:sz="8" w:space="0" w:color="auto"/>
            </w:tcBorders>
            <w:shd w:val="clear" w:color="000000" w:fill="FDE9D9"/>
            <w:noWrap/>
            <w:vAlign w:val="bottom"/>
            <w:hideMark/>
          </w:tcPr>
          <w:p w14:paraId="22E80A85"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35.6%</w:t>
            </w:r>
          </w:p>
        </w:tc>
        <w:tc>
          <w:tcPr>
            <w:tcW w:w="770" w:type="dxa"/>
            <w:tcBorders>
              <w:top w:val="nil"/>
              <w:left w:val="nil"/>
              <w:bottom w:val="single" w:sz="4" w:space="0" w:color="auto"/>
              <w:right w:val="single" w:sz="4" w:space="0" w:color="auto"/>
            </w:tcBorders>
            <w:shd w:val="clear" w:color="000000" w:fill="DAEEF3"/>
            <w:noWrap/>
            <w:vAlign w:val="bottom"/>
            <w:hideMark/>
          </w:tcPr>
          <w:p w14:paraId="3AE85EB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36.5%</w:t>
            </w:r>
          </w:p>
        </w:tc>
        <w:tc>
          <w:tcPr>
            <w:tcW w:w="841" w:type="dxa"/>
            <w:tcBorders>
              <w:top w:val="nil"/>
              <w:left w:val="nil"/>
              <w:bottom w:val="single" w:sz="4" w:space="0" w:color="auto"/>
              <w:right w:val="single" w:sz="4" w:space="0" w:color="auto"/>
            </w:tcBorders>
            <w:shd w:val="clear" w:color="000000" w:fill="DAEEF3"/>
            <w:noWrap/>
            <w:vAlign w:val="bottom"/>
            <w:hideMark/>
          </w:tcPr>
          <w:p w14:paraId="7F8585FD"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25.7%</w:t>
            </w:r>
          </w:p>
        </w:tc>
        <w:tc>
          <w:tcPr>
            <w:tcW w:w="770" w:type="dxa"/>
            <w:tcBorders>
              <w:top w:val="nil"/>
              <w:left w:val="nil"/>
              <w:bottom w:val="single" w:sz="4" w:space="0" w:color="auto"/>
              <w:right w:val="single" w:sz="4" w:space="0" w:color="auto"/>
            </w:tcBorders>
            <w:shd w:val="clear" w:color="000000" w:fill="DAEEF3"/>
            <w:noWrap/>
            <w:vAlign w:val="bottom"/>
            <w:hideMark/>
          </w:tcPr>
          <w:p w14:paraId="4072250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45.1%</w:t>
            </w:r>
          </w:p>
        </w:tc>
        <w:tc>
          <w:tcPr>
            <w:tcW w:w="841" w:type="dxa"/>
            <w:tcBorders>
              <w:top w:val="nil"/>
              <w:left w:val="nil"/>
              <w:bottom w:val="single" w:sz="4" w:space="0" w:color="auto"/>
              <w:right w:val="single" w:sz="8" w:space="0" w:color="auto"/>
            </w:tcBorders>
            <w:shd w:val="clear" w:color="000000" w:fill="DAEEF3"/>
            <w:noWrap/>
            <w:vAlign w:val="bottom"/>
            <w:hideMark/>
          </w:tcPr>
          <w:p w14:paraId="76029F5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29.7%</w:t>
            </w:r>
          </w:p>
        </w:tc>
      </w:tr>
      <w:tr w:rsidR="00F20114" w:rsidRPr="00D84D77" w14:paraId="73CBBAAF"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1E8D9F5A" w14:textId="77777777" w:rsidR="00F20114" w:rsidRPr="00D84D77" w:rsidRDefault="00F20114" w:rsidP="00F20114">
            <w:pPr>
              <w:rPr>
                <w:rFonts w:ascii="Calibri" w:hAnsi="Calibri"/>
                <w:sz w:val="20"/>
                <w:lang w:eastAsia="en-AU"/>
              </w:rPr>
            </w:pPr>
            <w:r w:rsidRPr="00D84D77">
              <w:rPr>
                <w:rFonts w:ascii="Calibri" w:hAnsi="Calibri"/>
                <w:sz w:val="20"/>
                <w:lang w:eastAsia="en-AU"/>
              </w:rPr>
              <w:t>Monash</w:t>
            </w:r>
          </w:p>
        </w:tc>
        <w:tc>
          <w:tcPr>
            <w:tcW w:w="726" w:type="dxa"/>
            <w:tcBorders>
              <w:top w:val="nil"/>
              <w:left w:val="nil"/>
              <w:bottom w:val="single" w:sz="4" w:space="0" w:color="auto"/>
              <w:right w:val="single" w:sz="4" w:space="0" w:color="auto"/>
            </w:tcBorders>
            <w:shd w:val="clear" w:color="000000" w:fill="FDE9D9"/>
            <w:noWrap/>
            <w:vAlign w:val="bottom"/>
            <w:hideMark/>
          </w:tcPr>
          <w:p w14:paraId="3A270E85"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0" w:type="dxa"/>
            <w:tcBorders>
              <w:top w:val="nil"/>
              <w:left w:val="nil"/>
              <w:bottom w:val="single" w:sz="4" w:space="0" w:color="auto"/>
              <w:right w:val="single" w:sz="4" w:space="0" w:color="auto"/>
            </w:tcBorders>
            <w:shd w:val="clear" w:color="000000" w:fill="FDE9D9"/>
            <w:noWrap/>
            <w:vAlign w:val="bottom"/>
            <w:hideMark/>
          </w:tcPr>
          <w:p w14:paraId="0764E175"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92" w:type="dxa"/>
            <w:tcBorders>
              <w:top w:val="nil"/>
              <w:left w:val="nil"/>
              <w:bottom w:val="single" w:sz="4" w:space="0" w:color="auto"/>
              <w:right w:val="single" w:sz="4" w:space="0" w:color="auto"/>
            </w:tcBorders>
            <w:shd w:val="clear" w:color="000000" w:fill="FDE9D9"/>
            <w:noWrap/>
            <w:vAlign w:val="bottom"/>
          </w:tcPr>
          <w:p w14:paraId="4429F083" w14:textId="5B22415A"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17FCB579"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FDE9D9"/>
            <w:noWrap/>
            <w:vAlign w:val="bottom"/>
            <w:hideMark/>
          </w:tcPr>
          <w:p w14:paraId="54CA9B4D"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7BB4C996"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4" w:space="0" w:color="auto"/>
            </w:tcBorders>
            <w:shd w:val="clear" w:color="000000" w:fill="DAEEF3"/>
            <w:noWrap/>
            <w:vAlign w:val="bottom"/>
            <w:hideMark/>
          </w:tcPr>
          <w:p w14:paraId="61A67FEB"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4B8640F3"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DAEEF3"/>
            <w:noWrap/>
            <w:vAlign w:val="bottom"/>
            <w:hideMark/>
          </w:tcPr>
          <w:p w14:paraId="7876774D"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r>
      <w:tr w:rsidR="00F20114" w:rsidRPr="00D84D77" w14:paraId="286B86EC"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69C5B333" w14:textId="77777777" w:rsidR="00F20114" w:rsidRPr="00D84D77" w:rsidRDefault="00F20114" w:rsidP="00F20114">
            <w:pPr>
              <w:rPr>
                <w:rFonts w:ascii="Calibri" w:hAnsi="Calibri"/>
                <w:sz w:val="20"/>
                <w:lang w:eastAsia="en-AU"/>
              </w:rPr>
            </w:pPr>
            <w:r w:rsidRPr="00D84D77">
              <w:rPr>
                <w:rFonts w:ascii="Calibri" w:hAnsi="Calibri"/>
                <w:sz w:val="20"/>
                <w:lang w:eastAsia="en-AU"/>
              </w:rPr>
              <w:t>Moonee Valley</w:t>
            </w:r>
          </w:p>
        </w:tc>
        <w:tc>
          <w:tcPr>
            <w:tcW w:w="726" w:type="dxa"/>
            <w:tcBorders>
              <w:top w:val="nil"/>
              <w:left w:val="nil"/>
              <w:bottom w:val="single" w:sz="4" w:space="0" w:color="auto"/>
              <w:right w:val="single" w:sz="4" w:space="0" w:color="auto"/>
            </w:tcBorders>
            <w:shd w:val="clear" w:color="000000" w:fill="FDE9D9"/>
            <w:noWrap/>
            <w:vAlign w:val="bottom"/>
            <w:hideMark/>
          </w:tcPr>
          <w:p w14:paraId="60788D75"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7.7%</w:t>
            </w:r>
          </w:p>
        </w:tc>
        <w:tc>
          <w:tcPr>
            <w:tcW w:w="840" w:type="dxa"/>
            <w:tcBorders>
              <w:top w:val="nil"/>
              <w:left w:val="nil"/>
              <w:bottom w:val="single" w:sz="4" w:space="0" w:color="auto"/>
              <w:right w:val="single" w:sz="4" w:space="0" w:color="auto"/>
            </w:tcBorders>
            <w:shd w:val="clear" w:color="000000" w:fill="FDE9D9"/>
            <w:noWrap/>
            <w:vAlign w:val="bottom"/>
            <w:hideMark/>
          </w:tcPr>
          <w:p w14:paraId="0BD7AAD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7.0%</w:t>
            </w:r>
          </w:p>
        </w:tc>
        <w:tc>
          <w:tcPr>
            <w:tcW w:w="892" w:type="dxa"/>
            <w:tcBorders>
              <w:top w:val="nil"/>
              <w:left w:val="nil"/>
              <w:bottom w:val="single" w:sz="4" w:space="0" w:color="auto"/>
              <w:right w:val="single" w:sz="4" w:space="0" w:color="auto"/>
            </w:tcBorders>
            <w:shd w:val="clear" w:color="000000" w:fill="FDE9D9"/>
            <w:noWrap/>
            <w:vAlign w:val="bottom"/>
          </w:tcPr>
          <w:p w14:paraId="6BC255DE" w14:textId="4C31FAA7"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19651C5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9.0%</w:t>
            </w:r>
          </w:p>
        </w:tc>
        <w:tc>
          <w:tcPr>
            <w:tcW w:w="841" w:type="dxa"/>
            <w:tcBorders>
              <w:top w:val="nil"/>
              <w:left w:val="nil"/>
              <w:bottom w:val="single" w:sz="4" w:space="0" w:color="auto"/>
              <w:right w:val="single" w:sz="8" w:space="0" w:color="auto"/>
            </w:tcBorders>
            <w:shd w:val="clear" w:color="000000" w:fill="FDE9D9"/>
            <w:noWrap/>
            <w:vAlign w:val="bottom"/>
            <w:hideMark/>
          </w:tcPr>
          <w:p w14:paraId="56FCDE4A"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8.0%</w:t>
            </w:r>
          </w:p>
        </w:tc>
        <w:tc>
          <w:tcPr>
            <w:tcW w:w="770" w:type="dxa"/>
            <w:tcBorders>
              <w:top w:val="nil"/>
              <w:left w:val="nil"/>
              <w:bottom w:val="single" w:sz="4" w:space="0" w:color="auto"/>
              <w:right w:val="single" w:sz="4" w:space="0" w:color="auto"/>
            </w:tcBorders>
            <w:shd w:val="clear" w:color="000000" w:fill="DAEEF3"/>
            <w:noWrap/>
            <w:vAlign w:val="bottom"/>
            <w:hideMark/>
          </w:tcPr>
          <w:p w14:paraId="3DE8AEED"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7.7%</w:t>
            </w:r>
          </w:p>
        </w:tc>
        <w:tc>
          <w:tcPr>
            <w:tcW w:w="841" w:type="dxa"/>
            <w:tcBorders>
              <w:top w:val="nil"/>
              <w:left w:val="nil"/>
              <w:bottom w:val="single" w:sz="4" w:space="0" w:color="auto"/>
              <w:right w:val="single" w:sz="4" w:space="0" w:color="auto"/>
            </w:tcBorders>
            <w:shd w:val="clear" w:color="000000" w:fill="DAEEF3"/>
            <w:noWrap/>
            <w:vAlign w:val="bottom"/>
            <w:hideMark/>
          </w:tcPr>
          <w:p w14:paraId="228B7F1C"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7.0%</w:t>
            </w:r>
          </w:p>
        </w:tc>
        <w:tc>
          <w:tcPr>
            <w:tcW w:w="770" w:type="dxa"/>
            <w:tcBorders>
              <w:top w:val="nil"/>
              <w:left w:val="nil"/>
              <w:bottom w:val="single" w:sz="4" w:space="0" w:color="auto"/>
              <w:right w:val="single" w:sz="4" w:space="0" w:color="auto"/>
            </w:tcBorders>
            <w:shd w:val="clear" w:color="000000" w:fill="DAEEF3"/>
            <w:noWrap/>
            <w:vAlign w:val="bottom"/>
            <w:hideMark/>
          </w:tcPr>
          <w:p w14:paraId="5C9813C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9.0%</w:t>
            </w:r>
          </w:p>
        </w:tc>
        <w:tc>
          <w:tcPr>
            <w:tcW w:w="841" w:type="dxa"/>
            <w:tcBorders>
              <w:top w:val="nil"/>
              <w:left w:val="nil"/>
              <w:bottom w:val="single" w:sz="4" w:space="0" w:color="auto"/>
              <w:right w:val="single" w:sz="8" w:space="0" w:color="auto"/>
            </w:tcBorders>
            <w:shd w:val="clear" w:color="000000" w:fill="DAEEF3"/>
            <w:noWrap/>
            <w:vAlign w:val="bottom"/>
            <w:hideMark/>
          </w:tcPr>
          <w:p w14:paraId="513CE6B5"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8.0%</w:t>
            </w:r>
          </w:p>
        </w:tc>
      </w:tr>
      <w:tr w:rsidR="00F20114" w:rsidRPr="00D84D77" w14:paraId="2D821877"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4023C50E" w14:textId="77777777" w:rsidR="00F20114" w:rsidRPr="00D84D77" w:rsidRDefault="00F20114" w:rsidP="00F20114">
            <w:pPr>
              <w:rPr>
                <w:rFonts w:ascii="Calibri" w:hAnsi="Calibri"/>
                <w:sz w:val="20"/>
                <w:lang w:eastAsia="en-AU"/>
              </w:rPr>
            </w:pPr>
            <w:r w:rsidRPr="00D84D77">
              <w:rPr>
                <w:rFonts w:ascii="Calibri" w:hAnsi="Calibri"/>
                <w:sz w:val="20"/>
                <w:lang w:eastAsia="en-AU"/>
              </w:rPr>
              <w:t>Moorabool</w:t>
            </w:r>
          </w:p>
        </w:tc>
        <w:tc>
          <w:tcPr>
            <w:tcW w:w="726" w:type="dxa"/>
            <w:tcBorders>
              <w:top w:val="nil"/>
              <w:left w:val="nil"/>
              <w:bottom w:val="single" w:sz="4" w:space="0" w:color="auto"/>
              <w:right w:val="single" w:sz="4" w:space="0" w:color="auto"/>
            </w:tcBorders>
            <w:shd w:val="clear" w:color="000000" w:fill="FDE9D9"/>
            <w:noWrap/>
            <w:vAlign w:val="bottom"/>
            <w:hideMark/>
          </w:tcPr>
          <w:p w14:paraId="374B823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30.5%</w:t>
            </w:r>
          </w:p>
        </w:tc>
        <w:tc>
          <w:tcPr>
            <w:tcW w:w="840" w:type="dxa"/>
            <w:tcBorders>
              <w:top w:val="nil"/>
              <w:left w:val="nil"/>
              <w:bottom w:val="single" w:sz="4" w:space="0" w:color="auto"/>
              <w:right w:val="single" w:sz="4" w:space="0" w:color="auto"/>
            </w:tcBorders>
            <w:shd w:val="clear" w:color="000000" w:fill="FDE9D9"/>
            <w:noWrap/>
            <w:vAlign w:val="bottom"/>
            <w:hideMark/>
          </w:tcPr>
          <w:p w14:paraId="66CECFB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21.3%</w:t>
            </w:r>
          </w:p>
        </w:tc>
        <w:tc>
          <w:tcPr>
            <w:tcW w:w="892" w:type="dxa"/>
            <w:tcBorders>
              <w:top w:val="nil"/>
              <w:left w:val="nil"/>
              <w:bottom w:val="single" w:sz="4" w:space="0" w:color="auto"/>
              <w:right w:val="single" w:sz="4" w:space="0" w:color="auto"/>
            </w:tcBorders>
            <w:shd w:val="clear" w:color="000000" w:fill="FDE9D9"/>
            <w:noWrap/>
            <w:vAlign w:val="bottom"/>
          </w:tcPr>
          <w:p w14:paraId="27049779" w14:textId="3469B428"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7633C290"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36.0%</w:t>
            </w:r>
          </w:p>
        </w:tc>
        <w:tc>
          <w:tcPr>
            <w:tcW w:w="841" w:type="dxa"/>
            <w:tcBorders>
              <w:top w:val="nil"/>
              <w:left w:val="nil"/>
              <w:bottom w:val="single" w:sz="4" w:space="0" w:color="auto"/>
              <w:right w:val="single" w:sz="8" w:space="0" w:color="auto"/>
            </w:tcBorders>
            <w:shd w:val="clear" w:color="000000" w:fill="FDE9D9"/>
            <w:noWrap/>
            <w:vAlign w:val="bottom"/>
            <w:hideMark/>
          </w:tcPr>
          <w:p w14:paraId="3ABC04B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23.9%</w:t>
            </w:r>
          </w:p>
        </w:tc>
        <w:tc>
          <w:tcPr>
            <w:tcW w:w="770" w:type="dxa"/>
            <w:tcBorders>
              <w:top w:val="nil"/>
              <w:left w:val="nil"/>
              <w:bottom w:val="single" w:sz="4" w:space="0" w:color="auto"/>
              <w:right w:val="single" w:sz="4" w:space="0" w:color="auto"/>
            </w:tcBorders>
            <w:shd w:val="clear" w:color="000000" w:fill="DAEEF3"/>
            <w:noWrap/>
            <w:vAlign w:val="bottom"/>
            <w:hideMark/>
          </w:tcPr>
          <w:p w14:paraId="5A0D209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21.3%</w:t>
            </w:r>
          </w:p>
        </w:tc>
        <w:tc>
          <w:tcPr>
            <w:tcW w:w="841" w:type="dxa"/>
            <w:tcBorders>
              <w:top w:val="nil"/>
              <w:left w:val="nil"/>
              <w:bottom w:val="single" w:sz="4" w:space="0" w:color="auto"/>
              <w:right w:val="single" w:sz="4" w:space="0" w:color="auto"/>
            </w:tcBorders>
            <w:shd w:val="clear" w:color="000000" w:fill="DAEEF3"/>
            <w:noWrap/>
            <w:vAlign w:val="bottom"/>
            <w:hideMark/>
          </w:tcPr>
          <w:p w14:paraId="44A736D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14.9%</w:t>
            </w:r>
          </w:p>
        </w:tc>
        <w:tc>
          <w:tcPr>
            <w:tcW w:w="770" w:type="dxa"/>
            <w:tcBorders>
              <w:top w:val="nil"/>
              <w:left w:val="nil"/>
              <w:bottom w:val="single" w:sz="4" w:space="0" w:color="auto"/>
              <w:right w:val="single" w:sz="4" w:space="0" w:color="auto"/>
            </w:tcBorders>
            <w:shd w:val="clear" w:color="000000" w:fill="DAEEF3"/>
            <w:noWrap/>
            <w:vAlign w:val="bottom"/>
            <w:hideMark/>
          </w:tcPr>
          <w:p w14:paraId="5DEF999D"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25.1%</w:t>
            </w:r>
          </w:p>
        </w:tc>
        <w:tc>
          <w:tcPr>
            <w:tcW w:w="841" w:type="dxa"/>
            <w:tcBorders>
              <w:top w:val="nil"/>
              <w:left w:val="nil"/>
              <w:bottom w:val="single" w:sz="4" w:space="0" w:color="auto"/>
              <w:right w:val="single" w:sz="8" w:space="0" w:color="auto"/>
            </w:tcBorders>
            <w:shd w:val="clear" w:color="000000" w:fill="DAEEF3"/>
            <w:noWrap/>
            <w:vAlign w:val="bottom"/>
            <w:hideMark/>
          </w:tcPr>
          <w:p w14:paraId="4BE50F20"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16.7%</w:t>
            </w:r>
          </w:p>
        </w:tc>
      </w:tr>
      <w:tr w:rsidR="00F20114" w:rsidRPr="00D84D77" w14:paraId="1EACA75A"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72F15EE6" w14:textId="77777777" w:rsidR="00F20114" w:rsidRPr="00D84D77" w:rsidRDefault="00F20114" w:rsidP="00F20114">
            <w:pPr>
              <w:rPr>
                <w:rFonts w:ascii="Calibri" w:hAnsi="Calibri"/>
                <w:sz w:val="20"/>
                <w:lang w:eastAsia="en-AU"/>
              </w:rPr>
            </w:pPr>
            <w:r w:rsidRPr="00D84D77">
              <w:rPr>
                <w:rFonts w:ascii="Calibri" w:hAnsi="Calibri"/>
                <w:sz w:val="20"/>
                <w:lang w:eastAsia="en-AU"/>
              </w:rPr>
              <w:t>Moreland</w:t>
            </w:r>
          </w:p>
        </w:tc>
        <w:tc>
          <w:tcPr>
            <w:tcW w:w="726" w:type="dxa"/>
            <w:tcBorders>
              <w:top w:val="nil"/>
              <w:left w:val="nil"/>
              <w:bottom w:val="single" w:sz="4" w:space="0" w:color="auto"/>
              <w:right w:val="single" w:sz="4" w:space="0" w:color="auto"/>
            </w:tcBorders>
            <w:shd w:val="clear" w:color="000000" w:fill="FDE9D9"/>
            <w:noWrap/>
            <w:vAlign w:val="bottom"/>
            <w:hideMark/>
          </w:tcPr>
          <w:p w14:paraId="30D29D4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32.2%</w:t>
            </w:r>
          </w:p>
        </w:tc>
        <w:tc>
          <w:tcPr>
            <w:tcW w:w="840" w:type="dxa"/>
            <w:tcBorders>
              <w:top w:val="nil"/>
              <w:left w:val="nil"/>
              <w:bottom w:val="single" w:sz="4" w:space="0" w:color="auto"/>
              <w:right w:val="single" w:sz="4" w:space="0" w:color="auto"/>
            </w:tcBorders>
            <w:shd w:val="clear" w:color="000000" w:fill="FDE9D9"/>
            <w:noWrap/>
            <w:vAlign w:val="bottom"/>
            <w:hideMark/>
          </w:tcPr>
          <w:p w14:paraId="1AE9AE00"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26.1%</w:t>
            </w:r>
          </w:p>
        </w:tc>
        <w:tc>
          <w:tcPr>
            <w:tcW w:w="892" w:type="dxa"/>
            <w:tcBorders>
              <w:top w:val="nil"/>
              <w:left w:val="nil"/>
              <w:bottom w:val="single" w:sz="4" w:space="0" w:color="auto"/>
              <w:right w:val="single" w:sz="4" w:space="0" w:color="auto"/>
            </w:tcBorders>
            <w:shd w:val="clear" w:color="000000" w:fill="FDE9D9"/>
            <w:noWrap/>
            <w:vAlign w:val="bottom"/>
          </w:tcPr>
          <w:p w14:paraId="11C508B9" w14:textId="5631340D"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4EEC6910"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35.4%</w:t>
            </w:r>
          </w:p>
        </w:tc>
        <w:tc>
          <w:tcPr>
            <w:tcW w:w="841" w:type="dxa"/>
            <w:tcBorders>
              <w:top w:val="nil"/>
              <w:left w:val="nil"/>
              <w:bottom w:val="single" w:sz="4" w:space="0" w:color="auto"/>
              <w:right w:val="single" w:sz="8" w:space="0" w:color="auto"/>
            </w:tcBorders>
            <w:shd w:val="clear" w:color="000000" w:fill="FDE9D9"/>
            <w:noWrap/>
            <w:vAlign w:val="bottom"/>
            <w:hideMark/>
          </w:tcPr>
          <w:p w14:paraId="5E876C1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28.2%</w:t>
            </w:r>
          </w:p>
        </w:tc>
        <w:tc>
          <w:tcPr>
            <w:tcW w:w="770" w:type="dxa"/>
            <w:tcBorders>
              <w:top w:val="nil"/>
              <w:left w:val="nil"/>
              <w:bottom w:val="single" w:sz="4" w:space="0" w:color="auto"/>
              <w:right w:val="single" w:sz="4" w:space="0" w:color="auto"/>
            </w:tcBorders>
            <w:shd w:val="clear" w:color="000000" w:fill="DAEEF3"/>
            <w:noWrap/>
            <w:vAlign w:val="bottom"/>
            <w:hideMark/>
          </w:tcPr>
          <w:p w14:paraId="0C49BF8A"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21.4%</w:t>
            </w:r>
          </w:p>
        </w:tc>
        <w:tc>
          <w:tcPr>
            <w:tcW w:w="841" w:type="dxa"/>
            <w:tcBorders>
              <w:top w:val="nil"/>
              <w:left w:val="nil"/>
              <w:bottom w:val="single" w:sz="4" w:space="0" w:color="auto"/>
              <w:right w:val="single" w:sz="4" w:space="0" w:color="auto"/>
            </w:tcBorders>
            <w:shd w:val="clear" w:color="000000" w:fill="DAEEF3"/>
            <w:noWrap/>
            <w:vAlign w:val="bottom"/>
            <w:hideMark/>
          </w:tcPr>
          <w:p w14:paraId="0445D22D"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17.3%</w:t>
            </w:r>
          </w:p>
        </w:tc>
        <w:tc>
          <w:tcPr>
            <w:tcW w:w="770" w:type="dxa"/>
            <w:tcBorders>
              <w:top w:val="nil"/>
              <w:left w:val="nil"/>
              <w:bottom w:val="single" w:sz="4" w:space="0" w:color="auto"/>
              <w:right w:val="single" w:sz="4" w:space="0" w:color="auto"/>
            </w:tcBorders>
            <w:shd w:val="clear" w:color="000000" w:fill="DAEEF3"/>
            <w:noWrap/>
            <w:vAlign w:val="bottom"/>
            <w:hideMark/>
          </w:tcPr>
          <w:p w14:paraId="059CAEF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23.6%</w:t>
            </w:r>
          </w:p>
        </w:tc>
        <w:tc>
          <w:tcPr>
            <w:tcW w:w="841" w:type="dxa"/>
            <w:tcBorders>
              <w:top w:val="nil"/>
              <w:left w:val="nil"/>
              <w:bottom w:val="single" w:sz="4" w:space="0" w:color="auto"/>
              <w:right w:val="single" w:sz="8" w:space="0" w:color="auto"/>
            </w:tcBorders>
            <w:shd w:val="clear" w:color="000000" w:fill="DAEEF3"/>
            <w:noWrap/>
            <w:vAlign w:val="bottom"/>
            <w:hideMark/>
          </w:tcPr>
          <w:p w14:paraId="66EFF59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18.7%</w:t>
            </w:r>
          </w:p>
        </w:tc>
      </w:tr>
      <w:tr w:rsidR="00F20114" w:rsidRPr="00D84D77" w14:paraId="5E95CC2D"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609CDBD8" w14:textId="77777777" w:rsidR="00F20114" w:rsidRPr="00D84D77" w:rsidRDefault="00F20114" w:rsidP="00F20114">
            <w:pPr>
              <w:rPr>
                <w:rFonts w:ascii="Calibri" w:hAnsi="Calibri"/>
                <w:sz w:val="20"/>
                <w:lang w:eastAsia="en-AU"/>
              </w:rPr>
            </w:pPr>
            <w:r w:rsidRPr="00D84D77">
              <w:rPr>
                <w:rFonts w:ascii="Calibri" w:hAnsi="Calibri"/>
                <w:sz w:val="20"/>
                <w:lang w:eastAsia="en-AU"/>
              </w:rPr>
              <w:t>Mornington Peninsula</w:t>
            </w:r>
          </w:p>
        </w:tc>
        <w:tc>
          <w:tcPr>
            <w:tcW w:w="726" w:type="dxa"/>
            <w:tcBorders>
              <w:top w:val="nil"/>
              <w:left w:val="nil"/>
              <w:bottom w:val="single" w:sz="4" w:space="0" w:color="auto"/>
              <w:right w:val="single" w:sz="4" w:space="0" w:color="auto"/>
            </w:tcBorders>
            <w:shd w:val="clear" w:color="000000" w:fill="FDE9D9"/>
            <w:noWrap/>
            <w:vAlign w:val="bottom"/>
            <w:hideMark/>
          </w:tcPr>
          <w:p w14:paraId="7CAAD77D"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0" w:type="dxa"/>
            <w:tcBorders>
              <w:top w:val="nil"/>
              <w:left w:val="nil"/>
              <w:bottom w:val="single" w:sz="4" w:space="0" w:color="auto"/>
              <w:right w:val="single" w:sz="4" w:space="0" w:color="auto"/>
            </w:tcBorders>
            <w:shd w:val="clear" w:color="000000" w:fill="FDE9D9"/>
            <w:noWrap/>
            <w:vAlign w:val="bottom"/>
            <w:hideMark/>
          </w:tcPr>
          <w:p w14:paraId="4119D770"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92" w:type="dxa"/>
            <w:tcBorders>
              <w:top w:val="nil"/>
              <w:left w:val="nil"/>
              <w:bottom w:val="single" w:sz="4" w:space="0" w:color="auto"/>
              <w:right w:val="single" w:sz="4" w:space="0" w:color="auto"/>
            </w:tcBorders>
            <w:shd w:val="clear" w:color="000000" w:fill="FDE9D9"/>
            <w:noWrap/>
            <w:vAlign w:val="bottom"/>
          </w:tcPr>
          <w:p w14:paraId="176AB54A" w14:textId="38A6C88A"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73B983F0"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FDE9D9"/>
            <w:noWrap/>
            <w:vAlign w:val="bottom"/>
            <w:hideMark/>
          </w:tcPr>
          <w:p w14:paraId="2F0786E6"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4ECEF102"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4" w:space="0" w:color="auto"/>
            </w:tcBorders>
            <w:shd w:val="clear" w:color="000000" w:fill="DAEEF3"/>
            <w:noWrap/>
            <w:vAlign w:val="bottom"/>
            <w:hideMark/>
          </w:tcPr>
          <w:p w14:paraId="7400B031"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5974392B"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DAEEF3"/>
            <w:noWrap/>
            <w:vAlign w:val="bottom"/>
            <w:hideMark/>
          </w:tcPr>
          <w:p w14:paraId="5AC1F9B7"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r>
      <w:tr w:rsidR="00F20114" w:rsidRPr="00D84D77" w14:paraId="41214183"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33C6CD5D" w14:textId="77777777" w:rsidR="00F20114" w:rsidRPr="00D84D77" w:rsidRDefault="00F20114" w:rsidP="00F20114">
            <w:pPr>
              <w:rPr>
                <w:rFonts w:ascii="Calibri" w:hAnsi="Calibri"/>
                <w:sz w:val="20"/>
                <w:lang w:eastAsia="en-AU"/>
              </w:rPr>
            </w:pPr>
            <w:r w:rsidRPr="00D84D77">
              <w:rPr>
                <w:rFonts w:ascii="Calibri" w:hAnsi="Calibri"/>
                <w:sz w:val="20"/>
                <w:lang w:eastAsia="en-AU"/>
              </w:rPr>
              <w:t>Mount Alexander</w:t>
            </w:r>
          </w:p>
        </w:tc>
        <w:tc>
          <w:tcPr>
            <w:tcW w:w="726" w:type="dxa"/>
            <w:tcBorders>
              <w:top w:val="nil"/>
              <w:left w:val="nil"/>
              <w:bottom w:val="single" w:sz="4" w:space="0" w:color="auto"/>
              <w:right w:val="single" w:sz="4" w:space="0" w:color="auto"/>
            </w:tcBorders>
            <w:shd w:val="clear" w:color="000000" w:fill="FDE9D9"/>
            <w:noWrap/>
            <w:vAlign w:val="bottom"/>
            <w:hideMark/>
          </w:tcPr>
          <w:p w14:paraId="6CC13BA7"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2.8%</w:t>
            </w:r>
          </w:p>
        </w:tc>
        <w:tc>
          <w:tcPr>
            <w:tcW w:w="840" w:type="dxa"/>
            <w:tcBorders>
              <w:top w:val="nil"/>
              <w:left w:val="nil"/>
              <w:bottom w:val="single" w:sz="4" w:space="0" w:color="auto"/>
              <w:right w:val="single" w:sz="4" w:space="0" w:color="auto"/>
            </w:tcBorders>
            <w:shd w:val="clear" w:color="000000" w:fill="FDE9D9"/>
            <w:noWrap/>
            <w:vAlign w:val="bottom"/>
            <w:hideMark/>
          </w:tcPr>
          <w:p w14:paraId="4C1A71D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2.6%</w:t>
            </w:r>
          </w:p>
        </w:tc>
        <w:tc>
          <w:tcPr>
            <w:tcW w:w="892" w:type="dxa"/>
            <w:tcBorders>
              <w:top w:val="nil"/>
              <w:left w:val="nil"/>
              <w:bottom w:val="single" w:sz="4" w:space="0" w:color="auto"/>
              <w:right w:val="single" w:sz="4" w:space="0" w:color="auto"/>
            </w:tcBorders>
            <w:shd w:val="clear" w:color="000000" w:fill="FDE9D9"/>
            <w:noWrap/>
            <w:vAlign w:val="bottom"/>
          </w:tcPr>
          <w:p w14:paraId="2D8D84BE" w14:textId="71682C99"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292A45B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25.2%</w:t>
            </w:r>
          </w:p>
        </w:tc>
        <w:tc>
          <w:tcPr>
            <w:tcW w:w="841" w:type="dxa"/>
            <w:tcBorders>
              <w:top w:val="nil"/>
              <w:left w:val="nil"/>
              <w:bottom w:val="single" w:sz="4" w:space="0" w:color="auto"/>
              <w:right w:val="single" w:sz="8" w:space="0" w:color="auto"/>
            </w:tcBorders>
            <w:shd w:val="clear" w:color="000000" w:fill="FDE9D9"/>
            <w:noWrap/>
            <w:vAlign w:val="bottom"/>
            <w:hideMark/>
          </w:tcPr>
          <w:p w14:paraId="55C23FE5"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14.8%</w:t>
            </w:r>
          </w:p>
        </w:tc>
        <w:tc>
          <w:tcPr>
            <w:tcW w:w="770" w:type="dxa"/>
            <w:tcBorders>
              <w:top w:val="nil"/>
              <w:left w:val="nil"/>
              <w:bottom w:val="single" w:sz="4" w:space="0" w:color="auto"/>
              <w:right w:val="single" w:sz="4" w:space="0" w:color="auto"/>
            </w:tcBorders>
            <w:shd w:val="clear" w:color="000000" w:fill="DAEEF3"/>
            <w:noWrap/>
            <w:vAlign w:val="bottom"/>
            <w:hideMark/>
          </w:tcPr>
          <w:p w14:paraId="181A250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1.8%</w:t>
            </w:r>
          </w:p>
        </w:tc>
        <w:tc>
          <w:tcPr>
            <w:tcW w:w="841" w:type="dxa"/>
            <w:tcBorders>
              <w:top w:val="nil"/>
              <w:left w:val="nil"/>
              <w:bottom w:val="single" w:sz="4" w:space="0" w:color="auto"/>
              <w:right w:val="single" w:sz="4" w:space="0" w:color="auto"/>
            </w:tcBorders>
            <w:shd w:val="clear" w:color="000000" w:fill="DAEEF3"/>
            <w:noWrap/>
            <w:vAlign w:val="bottom"/>
            <w:hideMark/>
          </w:tcPr>
          <w:p w14:paraId="3E0B92E0"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1.6%</w:t>
            </w:r>
          </w:p>
        </w:tc>
        <w:tc>
          <w:tcPr>
            <w:tcW w:w="770" w:type="dxa"/>
            <w:tcBorders>
              <w:top w:val="nil"/>
              <w:left w:val="nil"/>
              <w:bottom w:val="single" w:sz="4" w:space="0" w:color="auto"/>
              <w:right w:val="single" w:sz="4" w:space="0" w:color="auto"/>
            </w:tcBorders>
            <w:shd w:val="clear" w:color="000000" w:fill="DAEEF3"/>
            <w:noWrap/>
            <w:vAlign w:val="bottom"/>
            <w:hideMark/>
          </w:tcPr>
          <w:p w14:paraId="5D0E759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16.0%</w:t>
            </w:r>
          </w:p>
        </w:tc>
        <w:tc>
          <w:tcPr>
            <w:tcW w:w="841" w:type="dxa"/>
            <w:tcBorders>
              <w:top w:val="nil"/>
              <w:left w:val="nil"/>
              <w:bottom w:val="single" w:sz="4" w:space="0" w:color="auto"/>
              <w:right w:val="single" w:sz="8" w:space="0" w:color="auto"/>
            </w:tcBorders>
            <w:shd w:val="clear" w:color="000000" w:fill="DAEEF3"/>
            <w:noWrap/>
            <w:vAlign w:val="bottom"/>
            <w:hideMark/>
          </w:tcPr>
          <w:p w14:paraId="0EC1F00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9.4%</w:t>
            </w:r>
          </w:p>
        </w:tc>
      </w:tr>
      <w:tr w:rsidR="00F20114" w:rsidRPr="00D84D77" w14:paraId="1FFD3415"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33DB0EB0" w14:textId="77777777" w:rsidR="00F20114" w:rsidRPr="00D84D77" w:rsidRDefault="00F20114" w:rsidP="00F20114">
            <w:pPr>
              <w:rPr>
                <w:rFonts w:ascii="Calibri" w:hAnsi="Calibri"/>
                <w:sz w:val="20"/>
                <w:lang w:eastAsia="en-AU"/>
              </w:rPr>
            </w:pPr>
            <w:r w:rsidRPr="00D84D77">
              <w:rPr>
                <w:rFonts w:ascii="Calibri" w:hAnsi="Calibri"/>
                <w:sz w:val="20"/>
                <w:lang w:eastAsia="en-AU"/>
              </w:rPr>
              <w:t>Moyne</w:t>
            </w:r>
          </w:p>
        </w:tc>
        <w:tc>
          <w:tcPr>
            <w:tcW w:w="726" w:type="dxa"/>
            <w:tcBorders>
              <w:top w:val="nil"/>
              <w:left w:val="nil"/>
              <w:bottom w:val="single" w:sz="4" w:space="0" w:color="auto"/>
              <w:right w:val="single" w:sz="4" w:space="0" w:color="auto"/>
            </w:tcBorders>
            <w:shd w:val="clear" w:color="000000" w:fill="FDE9D9"/>
            <w:noWrap/>
            <w:vAlign w:val="bottom"/>
            <w:hideMark/>
          </w:tcPr>
          <w:p w14:paraId="75CF567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16.5%</w:t>
            </w:r>
          </w:p>
        </w:tc>
        <w:tc>
          <w:tcPr>
            <w:tcW w:w="840" w:type="dxa"/>
            <w:tcBorders>
              <w:top w:val="nil"/>
              <w:left w:val="nil"/>
              <w:bottom w:val="single" w:sz="4" w:space="0" w:color="auto"/>
              <w:right w:val="single" w:sz="4" w:space="0" w:color="auto"/>
            </w:tcBorders>
            <w:shd w:val="clear" w:color="000000" w:fill="FDE9D9"/>
            <w:noWrap/>
            <w:vAlign w:val="bottom"/>
            <w:hideMark/>
          </w:tcPr>
          <w:p w14:paraId="2E342B75"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10.9%</w:t>
            </w:r>
          </w:p>
        </w:tc>
        <w:tc>
          <w:tcPr>
            <w:tcW w:w="892" w:type="dxa"/>
            <w:tcBorders>
              <w:top w:val="nil"/>
              <w:left w:val="nil"/>
              <w:bottom w:val="single" w:sz="4" w:space="0" w:color="auto"/>
              <w:right w:val="single" w:sz="4" w:space="0" w:color="auto"/>
            </w:tcBorders>
            <w:shd w:val="clear" w:color="000000" w:fill="FDE9D9"/>
            <w:noWrap/>
            <w:vAlign w:val="bottom"/>
          </w:tcPr>
          <w:p w14:paraId="2273EB77" w14:textId="4483DAF3"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541D0467"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19.9%</w:t>
            </w:r>
          </w:p>
        </w:tc>
        <w:tc>
          <w:tcPr>
            <w:tcW w:w="841" w:type="dxa"/>
            <w:tcBorders>
              <w:top w:val="nil"/>
              <w:left w:val="nil"/>
              <w:bottom w:val="single" w:sz="4" w:space="0" w:color="auto"/>
              <w:right w:val="single" w:sz="8" w:space="0" w:color="auto"/>
            </w:tcBorders>
            <w:shd w:val="clear" w:color="000000" w:fill="FDE9D9"/>
            <w:noWrap/>
            <w:vAlign w:val="bottom"/>
            <w:hideMark/>
          </w:tcPr>
          <w:p w14:paraId="783ECAE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12.2%</w:t>
            </w:r>
          </w:p>
        </w:tc>
        <w:tc>
          <w:tcPr>
            <w:tcW w:w="770" w:type="dxa"/>
            <w:tcBorders>
              <w:top w:val="nil"/>
              <w:left w:val="nil"/>
              <w:bottom w:val="single" w:sz="4" w:space="0" w:color="auto"/>
              <w:right w:val="single" w:sz="4" w:space="0" w:color="auto"/>
            </w:tcBorders>
            <w:shd w:val="clear" w:color="000000" w:fill="DAEEF3"/>
            <w:noWrap/>
            <w:vAlign w:val="bottom"/>
            <w:hideMark/>
          </w:tcPr>
          <w:p w14:paraId="1BFA871D"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3.6%</w:t>
            </w:r>
          </w:p>
        </w:tc>
        <w:tc>
          <w:tcPr>
            <w:tcW w:w="841" w:type="dxa"/>
            <w:tcBorders>
              <w:top w:val="nil"/>
              <w:left w:val="nil"/>
              <w:bottom w:val="single" w:sz="4" w:space="0" w:color="auto"/>
              <w:right w:val="single" w:sz="4" w:space="0" w:color="auto"/>
            </w:tcBorders>
            <w:shd w:val="clear" w:color="000000" w:fill="DAEEF3"/>
            <w:noWrap/>
            <w:vAlign w:val="bottom"/>
            <w:hideMark/>
          </w:tcPr>
          <w:p w14:paraId="751E27C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2.4%</w:t>
            </w:r>
          </w:p>
        </w:tc>
        <w:tc>
          <w:tcPr>
            <w:tcW w:w="770" w:type="dxa"/>
            <w:tcBorders>
              <w:top w:val="nil"/>
              <w:left w:val="nil"/>
              <w:bottom w:val="single" w:sz="4" w:space="0" w:color="auto"/>
              <w:right w:val="single" w:sz="4" w:space="0" w:color="auto"/>
            </w:tcBorders>
            <w:shd w:val="clear" w:color="000000" w:fill="DAEEF3"/>
            <w:noWrap/>
            <w:vAlign w:val="bottom"/>
            <w:hideMark/>
          </w:tcPr>
          <w:p w14:paraId="20E982C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4.3%</w:t>
            </w:r>
          </w:p>
        </w:tc>
        <w:tc>
          <w:tcPr>
            <w:tcW w:w="841" w:type="dxa"/>
            <w:tcBorders>
              <w:top w:val="nil"/>
              <w:left w:val="nil"/>
              <w:bottom w:val="single" w:sz="4" w:space="0" w:color="auto"/>
              <w:right w:val="single" w:sz="8" w:space="0" w:color="auto"/>
            </w:tcBorders>
            <w:shd w:val="clear" w:color="000000" w:fill="DAEEF3"/>
            <w:noWrap/>
            <w:vAlign w:val="bottom"/>
            <w:hideMark/>
          </w:tcPr>
          <w:p w14:paraId="394B7CBD"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2.7%</w:t>
            </w:r>
          </w:p>
        </w:tc>
      </w:tr>
      <w:tr w:rsidR="00F20114" w:rsidRPr="00D84D77" w14:paraId="78AD0021"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4FC3BFCD" w14:textId="77777777" w:rsidR="00F20114" w:rsidRPr="00D84D77" w:rsidRDefault="00F20114" w:rsidP="00F20114">
            <w:pPr>
              <w:rPr>
                <w:rFonts w:ascii="Calibri" w:hAnsi="Calibri"/>
                <w:sz w:val="20"/>
                <w:lang w:eastAsia="en-AU"/>
              </w:rPr>
            </w:pPr>
            <w:r w:rsidRPr="00D84D77">
              <w:rPr>
                <w:rFonts w:ascii="Calibri" w:hAnsi="Calibri"/>
                <w:sz w:val="20"/>
                <w:lang w:eastAsia="en-AU"/>
              </w:rPr>
              <w:t>Murrindindi</w:t>
            </w:r>
          </w:p>
        </w:tc>
        <w:tc>
          <w:tcPr>
            <w:tcW w:w="726" w:type="dxa"/>
            <w:tcBorders>
              <w:top w:val="nil"/>
              <w:left w:val="nil"/>
              <w:bottom w:val="single" w:sz="4" w:space="0" w:color="auto"/>
              <w:right w:val="single" w:sz="4" w:space="0" w:color="auto"/>
            </w:tcBorders>
            <w:shd w:val="clear" w:color="000000" w:fill="FDE9D9"/>
            <w:noWrap/>
            <w:vAlign w:val="bottom"/>
            <w:hideMark/>
          </w:tcPr>
          <w:p w14:paraId="23A201D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2.6%</w:t>
            </w:r>
          </w:p>
        </w:tc>
        <w:tc>
          <w:tcPr>
            <w:tcW w:w="840" w:type="dxa"/>
            <w:tcBorders>
              <w:top w:val="nil"/>
              <w:left w:val="nil"/>
              <w:bottom w:val="single" w:sz="4" w:space="0" w:color="auto"/>
              <w:right w:val="single" w:sz="4" w:space="0" w:color="auto"/>
            </w:tcBorders>
            <w:shd w:val="clear" w:color="000000" w:fill="FDE9D9"/>
            <w:noWrap/>
            <w:vAlign w:val="bottom"/>
            <w:hideMark/>
          </w:tcPr>
          <w:p w14:paraId="192CDA2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1.3%</w:t>
            </w:r>
          </w:p>
        </w:tc>
        <w:tc>
          <w:tcPr>
            <w:tcW w:w="892" w:type="dxa"/>
            <w:tcBorders>
              <w:top w:val="nil"/>
              <w:left w:val="nil"/>
              <w:bottom w:val="single" w:sz="4" w:space="0" w:color="auto"/>
              <w:right w:val="single" w:sz="4" w:space="0" w:color="auto"/>
            </w:tcBorders>
            <w:shd w:val="clear" w:color="000000" w:fill="FDE9D9"/>
            <w:noWrap/>
            <w:vAlign w:val="bottom"/>
          </w:tcPr>
          <w:p w14:paraId="68B94C6D" w14:textId="11736F60"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27B5D807"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3.1%</w:t>
            </w:r>
          </w:p>
        </w:tc>
        <w:tc>
          <w:tcPr>
            <w:tcW w:w="841" w:type="dxa"/>
            <w:tcBorders>
              <w:top w:val="nil"/>
              <w:left w:val="nil"/>
              <w:bottom w:val="single" w:sz="4" w:space="0" w:color="auto"/>
              <w:right w:val="single" w:sz="8" w:space="0" w:color="auto"/>
            </w:tcBorders>
            <w:shd w:val="clear" w:color="000000" w:fill="FDE9D9"/>
            <w:noWrap/>
            <w:vAlign w:val="bottom"/>
            <w:hideMark/>
          </w:tcPr>
          <w:p w14:paraId="062D43A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1.4%</w:t>
            </w:r>
          </w:p>
        </w:tc>
        <w:tc>
          <w:tcPr>
            <w:tcW w:w="770" w:type="dxa"/>
            <w:tcBorders>
              <w:top w:val="nil"/>
              <w:left w:val="nil"/>
              <w:bottom w:val="single" w:sz="4" w:space="0" w:color="auto"/>
              <w:right w:val="single" w:sz="4" w:space="0" w:color="auto"/>
            </w:tcBorders>
            <w:shd w:val="clear" w:color="000000" w:fill="DAEEF3"/>
            <w:noWrap/>
            <w:vAlign w:val="bottom"/>
            <w:hideMark/>
          </w:tcPr>
          <w:p w14:paraId="1188757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6.0%</w:t>
            </w:r>
          </w:p>
        </w:tc>
        <w:tc>
          <w:tcPr>
            <w:tcW w:w="841" w:type="dxa"/>
            <w:tcBorders>
              <w:top w:val="nil"/>
              <w:left w:val="nil"/>
              <w:bottom w:val="single" w:sz="4" w:space="0" w:color="auto"/>
              <w:right w:val="single" w:sz="4" w:space="0" w:color="auto"/>
            </w:tcBorders>
            <w:shd w:val="clear" w:color="000000" w:fill="DAEEF3"/>
            <w:noWrap/>
            <w:vAlign w:val="bottom"/>
            <w:hideMark/>
          </w:tcPr>
          <w:p w14:paraId="3B0E56DA"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2.9%</w:t>
            </w:r>
          </w:p>
        </w:tc>
        <w:tc>
          <w:tcPr>
            <w:tcW w:w="770" w:type="dxa"/>
            <w:tcBorders>
              <w:top w:val="nil"/>
              <w:left w:val="nil"/>
              <w:bottom w:val="single" w:sz="4" w:space="0" w:color="auto"/>
              <w:right w:val="single" w:sz="4" w:space="0" w:color="auto"/>
            </w:tcBorders>
            <w:shd w:val="clear" w:color="000000" w:fill="DAEEF3"/>
            <w:noWrap/>
            <w:vAlign w:val="bottom"/>
            <w:hideMark/>
          </w:tcPr>
          <w:p w14:paraId="3026CB2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7.1%</w:t>
            </w:r>
          </w:p>
        </w:tc>
        <w:tc>
          <w:tcPr>
            <w:tcW w:w="841" w:type="dxa"/>
            <w:tcBorders>
              <w:top w:val="nil"/>
              <w:left w:val="nil"/>
              <w:bottom w:val="single" w:sz="4" w:space="0" w:color="auto"/>
              <w:right w:val="single" w:sz="8" w:space="0" w:color="auto"/>
            </w:tcBorders>
            <w:shd w:val="clear" w:color="000000" w:fill="DAEEF3"/>
            <w:noWrap/>
            <w:vAlign w:val="bottom"/>
            <w:hideMark/>
          </w:tcPr>
          <w:p w14:paraId="5B4B73F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3.2%</w:t>
            </w:r>
          </w:p>
        </w:tc>
      </w:tr>
      <w:tr w:rsidR="00F20114" w:rsidRPr="00D84D77" w14:paraId="47CA660B"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1FEAE8AD" w14:textId="77777777" w:rsidR="00F20114" w:rsidRPr="00D84D77" w:rsidRDefault="00F20114" w:rsidP="00F20114">
            <w:pPr>
              <w:rPr>
                <w:rFonts w:ascii="Calibri" w:hAnsi="Calibri"/>
                <w:sz w:val="20"/>
                <w:lang w:eastAsia="en-AU"/>
              </w:rPr>
            </w:pPr>
            <w:r w:rsidRPr="00D84D77">
              <w:rPr>
                <w:rFonts w:ascii="Calibri" w:hAnsi="Calibri"/>
                <w:sz w:val="20"/>
                <w:lang w:eastAsia="en-AU"/>
              </w:rPr>
              <w:t>Nillumbik</w:t>
            </w:r>
          </w:p>
        </w:tc>
        <w:tc>
          <w:tcPr>
            <w:tcW w:w="726" w:type="dxa"/>
            <w:tcBorders>
              <w:top w:val="nil"/>
              <w:left w:val="nil"/>
              <w:bottom w:val="single" w:sz="4" w:space="0" w:color="auto"/>
              <w:right w:val="single" w:sz="4" w:space="0" w:color="auto"/>
            </w:tcBorders>
            <w:shd w:val="clear" w:color="000000" w:fill="FDE9D9"/>
            <w:noWrap/>
            <w:vAlign w:val="bottom"/>
            <w:hideMark/>
          </w:tcPr>
          <w:p w14:paraId="11ED03E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11.9%</w:t>
            </w:r>
          </w:p>
        </w:tc>
        <w:tc>
          <w:tcPr>
            <w:tcW w:w="840" w:type="dxa"/>
            <w:tcBorders>
              <w:top w:val="nil"/>
              <w:left w:val="nil"/>
              <w:bottom w:val="single" w:sz="4" w:space="0" w:color="auto"/>
              <w:right w:val="single" w:sz="4" w:space="0" w:color="auto"/>
            </w:tcBorders>
            <w:shd w:val="clear" w:color="000000" w:fill="FDE9D9"/>
            <w:noWrap/>
            <w:vAlign w:val="bottom"/>
            <w:hideMark/>
          </w:tcPr>
          <w:p w14:paraId="4CBB5A3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9.5%</w:t>
            </w:r>
          </w:p>
        </w:tc>
        <w:tc>
          <w:tcPr>
            <w:tcW w:w="892" w:type="dxa"/>
            <w:tcBorders>
              <w:top w:val="nil"/>
              <w:left w:val="nil"/>
              <w:bottom w:val="single" w:sz="4" w:space="0" w:color="auto"/>
              <w:right w:val="single" w:sz="4" w:space="0" w:color="auto"/>
            </w:tcBorders>
            <w:shd w:val="clear" w:color="000000" w:fill="FDE9D9"/>
            <w:noWrap/>
            <w:vAlign w:val="bottom"/>
          </w:tcPr>
          <w:p w14:paraId="4A8174CE" w14:textId="14847A36"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636AE7D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14.1%</w:t>
            </w:r>
          </w:p>
        </w:tc>
        <w:tc>
          <w:tcPr>
            <w:tcW w:w="841" w:type="dxa"/>
            <w:tcBorders>
              <w:top w:val="nil"/>
              <w:left w:val="nil"/>
              <w:bottom w:val="single" w:sz="4" w:space="0" w:color="auto"/>
              <w:right w:val="single" w:sz="8" w:space="0" w:color="auto"/>
            </w:tcBorders>
            <w:shd w:val="clear" w:color="000000" w:fill="FDE9D9"/>
            <w:noWrap/>
            <w:vAlign w:val="bottom"/>
            <w:hideMark/>
          </w:tcPr>
          <w:p w14:paraId="174CF74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10.8%</w:t>
            </w:r>
          </w:p>
        </w:tc>
        <w:tc>
          <w:tcPr>
            <w:tcW w:w="770" w:type="dxa"/>
            <w:tcBorders>
              <w:top w:val="nil"/>
              <w:left w:val="nil"/>
              <w:bottom w:val="single" w:sz="4" w:space="0" w:color="auto"/>
              <w:right w:val="single" w:sz="4" w:space="0" w:color="auto"/>
            </w:tcBorders>
            <w:shd w:val="clear" w:color="000000" w:fill="DAEEF3"/>
            <w:noWrap/>
            <w:vAlign w:val="bottom"/>
            <w:hideMark/>
          </w:tcPr>
          <w:p w14:paraId="7EB62B6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6.7%</w:t>
            </w:r>
          </w:p>
        </w:tc>
        <w:tc>
          <w:tcPr>
            <w:tcW w:w="841" w:type="dxa"/>
            <w:tcBorders>
              <w:top w:val="nil"/>
              <w:left w:val="nil"/>
              <w:bottom w:val="single" w:sz="4" w:space="0" w:color="auto"/>
              <w:right w:val="single" w:sz="4" w:space="0" w:color="auto"/>
            </w:tcBorders>
            <w:shd w:val="clear" w:color="000000" w:fill="DAEEF3"/>
            <w:noWrap/>
            <w:vAlign w:val="bottom"/>
            <w:hideMark/>
          </w:tcPr>
          <w:p w14:paraId="2DAC613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5.4%</w:t>
            </w:r>
          </w:p>
        </w:tc>
        <w:tc>
          <w:tcPr>
            <w:tcW w:w="770" w:type="dxa"/>
            <w:tcBorders>
              <w:top w:val="nil"/>
              <w:left w:val="nil"/>
              <w:bottom w:val="single" w:sz="4" w:space="0" w:color="auto"/>
              <w:right w:val="single" w:sz="4" w:space="0" w:color="auto"/>
            </w:tcBorders>
            <w:shd w:val="clear" w:color="000000" w:fill="DAEEF3"/>
            <w:noWrap/>
            <w:vAlign w:val="bottom"/>
            <w:hideMark/>
          </w:tcPr>
          <w:p w14:paraId="49196CF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8.0%</w:t>
            </w:r>
          </w:p>
        </w:tc>
        <w:tc>
          <w:tcPr>
            <w:tcW w:w="841" w:type="dxa"/>
            <w:tcBorders>
              <w:top w:val="nil"/>
              <w:left w:val="nil"/>
              <w:bottom w:val="single" w:sz="4" w:space="0" w:color="auto"/>
              <w:right w:val="single" w:sz="8" w:space="0" w:color="auto"/>
            </w:tcBorders>
            <w:shd w:val="clear" w:color="000000" w:fill="DAEEF3"/>
            <w:noWrap/>
            <w:vAlign w:val="bottom"/>
            <w:hideMark/>
          </w:tcPr>
          <w:p w14:paraId="6F771E18"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6.1%</w:t>
            </w:r>
          </w:p>
        </w:tc>
      </w:tr>
      <w:tr w:rsidR="00F20114" w:rsidRPr="00D84D77" w14:paraId="0A3E800F"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3AB9A06B" w14:textId="77777777" w:rsidR="00F20114" w:rsidRPr="00D84D77" w:rsidRDefault="00F20114" w:rsidP="00F20114">
            <w:pPr>
              <w:rPr>
                <w:rFonts w:ascii="Calibri" w:hAnsi="Calibri"/>
                <w:sz w:val="20"/>
                <w:lang w:eastAsia="en-AU"/>
              </w:rPr>
            </w:pPr>
            <w:r w:rsidRPr="00D84D77">
              <w:rPr>
                <w:rFonts w:ascii="Calibri" w:hAnsi="Calibri"/>
                <w:sz w:val="20"/>
                <w:lang w:eastAsia="en-AU"/>
              </w:rPr>
              <w:t>Northern Grampians</w:t>
            </w:r>
          </w:p>
        </w:tc>
        <w:tc>
          <w:tcPr>
            <w:tcW w:w="726" w:type="dxa"/>
            <w:tcBorders>
              <w:top w:val="nil"/>
              <w:left w:val="nil"/>
              <w:bottom w:val="single" w:sz="4" w:space="0" w:color="auto"/>
              <w:right w:val="single" w:sz="4" w:space="0" w:color="auto"/>
            </w:tcBorders>
            <w:shd w:val="clear" w:color="000000" w:fill="FDE9D9"/>
            <w:noWrap/>
            <w:vAlign w:val="bottom"/>
            <w:hideMark/>
          </w:tcPr>
          <w:p w14:paraId="7E4BFC5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35.2%</w:t>
            </w:r>
          </w:p>
        </w:tc>
        <w:tc>
          <w:tcPr>
            <w:tcW w:w="840" w:type="dxa"/>
            <w:tcBorders>
              <w:top w:val="nil"/>
              <w:left w:val="nil"/>
              <w:bottom w:val="single" w:sz="4" w:space="0" w:color="auto"/>
              <w:right w:val="single" w:sz="4" w:space="0" w:color="auto"/>
            </w:tcBorders>
            <w:shd w:val="clear" w:color="000000" w:fill="FDE9D9"/>
            <w:noWrap/>
            <w:vAlign w:val="bottom"/>
            <w:hideMark/>
          </w:tcPr>
          <w:p w14:paraId="441C7CC8"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22.5%</w:t>
            </w:r>
          </w:p>
        </w:tc>
        <w:tc>
          <w:tcPr>
            <w:tcW w:w="892" w:type="dxa"/>
            <w:tcBorders>
              <w:top w:val="nil"/>
              <w:left w:val="nil"/>
              <w:bottom w:val="single" w:sz="4" w:space="0" w:color="auto"/>
              <w:right w:val="single" w:sz="4" w:space="0" w:color="auto"/>
            </w:tcBorders>
            <w:shd w:val="clear" w:color="000000" w:fill="FDE9D9"/>
            <w:noWrap/>
            <w:vAlign w:val="bottom"/>
          </w:tcPr>
          <w:p w14:paraId="13EBE325" w14:textId="39513645"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5B75B7CA"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41.2%</w:t>
            </w:r>
          </w:p>
        </w:tc>
        <w:tc>
          <w:tcPr>
            <w:tcW w:w="841" w:type="dxa"/>
            <w:tcBorders>
              <w:top w:val="nil"/>
              <w:left w:val="nil"/>
              <w:bottom w:val="single" w:sz="4" w:space="0" w:color="auto"/>
              <w:right w:val="single" w:sz="8" w:space="0" w:color="auto"/>
            </w:tcBorders>
            <w:shd w:val="clear" w:color="000000" w:fill="FDE9D9"/>
            <w:noWrap/>
            <w:vAlign w:val="bottom"/>
            <w:hideMark/>
          </w:tcPr>
          <w:p w14:paraId="4E18A6C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24.8%</w:t>
            </w:r>
          </w:p>
        </w:tc>
        <w:tc>
          <w:tcPr>
            <w:tcW w:w="770" w:type="dxa"/>
            <w:tcBorders>
              <w:top w:val="nil"/>
              <w:left w:val="nil"/>
              <w:bottom w:val="single" w:sz="4" w:space="0" w:color="auto"/>
              <w:right w:val="single" w:sz="4" w:space="0" w:color="auto"/>
            </w:tcBorders>
            <w:shd w:val="clear" w:color="000000" w:fill="DAEEF3"/>
            <w:noWrap/>
            <w:vAlign w:val="bottom"/>
            <w:hideMark/>
          </w:tcPr>
          <w:p w14:paraId="22C438A7"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42.8%</w:t>
            </w:r>
          </w:p>
        </w:tc>
        <w:tc>
          <w:tcPr>
            <w:tcW w:w="841" w:type="dxa"/>
            <w:tcBorders>
              <w:top w:val="nil"/>
              <w:left w:val="nil"/>
              <w:bottom w:val="single" w:sz="4" w:space="0" w:color="auto"/>
              <w:right w:val="single" w:sz="4" w:space="0" w:color="auto"/>
            </w:tcBorders>
            <w:shd w:val="clear" w:color="000000" w:fill="DAEEF3"/>
            <w:noWrap/>
            <w:vAlign w:val="bottom"/>
            <w:hideMark/>
          </w:tcPr>
          <w:p w14:paraId="5CBE364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27.4%</w:t>
            </w:r>
          </w:p>
        </w:tc>
        <w:tc>
          <w:tcPr>
            <w:tcW w:w="770" w:type="dxa"/>
            <w:tcBorders>
              <w:top w:val="nil"/>
              <w:left w:val="nil"/>
              <w:bottom w:val="single" w:sz="4" w:space="0" w:color="auto"/>
              <w:right w:val="single" w:sz="4" w:space="0" w:color="auto"/>
            </w:tcBorders>
            <w:shd w:val="clear" w:color="000000" w:fill="DAEEF3"/>
            <w:noWrap/>
            <w:vAlign w:val="bottom"/>
            <w:hideMark/>
          </w:tcPr>
          <w:p w14:paraId="083468C8"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50.1%</w:t>
            </w:r>
          </w:p>
        </w:tc>
        <w:tc>
          <w:tcPr>
            <w:tcW w:w="841" w:type="dxa"/>
            <w:tcBorders>
              <w:top w:val="nil"/>
              <w:left w:val="nil"/>
              <w:bottom w:val="single" w:sz="4" w:space="0" w:color="auto"/>
              <w:right w:val="single" w:sz="8" w:space="0" w:color="auto"/>
            </w:tcBorders>
            <w:shd w:val="clear" w:color="000000" w:fill="DAEEF3"/>
            <w:noWrap/>
            <w:vAlign w:val="bottom"/>
            <w:hideMark/>
          </w:tcPr>
          <w:p w14:paraId="5DA47C3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30.2%</w:t>
            </w:r>
          </w:p>
        </w:tc>
      </w:tr>
      <w:tr w:rsidR="00F20114" w:rsidRPr="00D84D77" w14:paraId="1EB97F2B"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1AC381C3" w14:textId="77777777" w:rsidR="00F20114" w:rsidRPr="00D84D77" w:rsidRDefault="00F20114" w:rsidP="00F20114">
            <w:pPr>
              <w:rPr>
                <w:rFonts w:ascii="Calibri" w:hAnsi="Calibri"/>
                <w:sz w:val="20"/>
                <w:lang w:eastAsia="en-AU"/>
              </w:rPr>
            </w:pPr>
            <w:r w:rsidRPr="00D84D77">
              <w:rPr>
                <w:rFonts w:ascii="Calibri" w:hAnsi="Calibri"/>
                <w:sz w:val="20"/>
                <w:lang w:eastAsia="en-AU"/>
              </w:rPr>
              <w:t>Port Phillip</w:t>
            </w:r>
          </w:p>
        </w:tc>
        <w:tc>
          <w:tcPr>
            <w:tcW w:w="726" w:type="dxa"/>
            <w:tcBorders>
              <w:top w:val="nil"/>
              <w:left w:val="nil"/>
              <w:bottom w:val="single" w:sz="4" w:space="0" w:color="auto"/>
              <w:right w:val="single" w:sz="4" w:space="0" w:color="auto"/>
            </w:tcBorders>
            <w:shd w:val="clear" w:color="000000" w:fill="FDE9D9"/>
            <w:noWrap/>
            <w:vAlign w:val="bottom"/>
            <w:hideMark/>
          </w:tcPr>
          <w:p w14:paraId="5955E62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7.4%</w:t>
            </w:r>
          </w:p>
        </w:tc>
        <w:tc>
          <w:tcPr>
            <w:tcW w:w="840" w:type="dxa"/>
            <w:tcBorders>
              <w:top w:val="nil"/>
              <w:left w:val="nil"/>
              <w:bottom w:val="single" w:sz="4" w:space="0" w:color="auto"/>
              <w:right w:val="single" w:sz="4" w:space="0" w:color="auto"/>
            </w:tcBorders>
            <w:shd w:val="clear" w:color="000000" w:fill="FDE9D9"/>
            <w:noWrap/>
            <w:vAlign w:val="bottom"/>
            <w:hideMark/>
          </w:tcPr>
          <w:p w14:paraId="4F6BA84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4.8%</w:t>
            </w:r>
          </w:p>
        </w:tc>
        <w:tc>
          <w:tcPr>
            <w:tcW w:w="892" w:type="dxa"/>
            <w:tcBorders>
              <w:top w:val="nil"/>
              <w:left w:val="nil"/>
              <w:bottom w:val="single" w:sz="4" w:space="0" w:color="auto"/>
              <w:right w:val="single" w:sz="4" w:space="0" w:color="auto"/>
            </w:tcBorders>
            <w:shd w:val="clear" w:color="000000" w:fill="FDE9D9"/>
            <w:noWrap/>
            <w:vAlign w:val="bottom"/>
          </w:tcPr>
          <w:p w14:paraId="7024AA60" w14:textId="7B9BC7EF"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49A9103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7.5%</w:t>
            </w:r>
          </w:p>
        </w:tc>
        <w:tc>
          <w:tcPr>
            <w:tcW w:w="841" w:type="dxa"/>
            <w:tcBorders>
              <w:top w:val="nil"/>
              <w:left w:val="nil"/>
              <w:bottom w:val="single" w:sz="4" w:space="0" w:color="auto"/>
              <w:right w:val="single" w:sz="8" w:space="0" w:color="auto"/>
            </w:tcBorders>
            <w:shd w:val="clear" w:color="000000" w:fill="FDE9D9"/>
            <w:noWrap/>
            <w:vAlign w:val="bottom"/>
            <w:hideMark/>
          </w:tcPr>
          <w:p w14:paraId="75E125F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4.9%</w:t>
            </w:r>
          </w:p>
        </w:tc>
        <w:tc>
          <w:tcPr>
            <w:tcW w:w="770" w:type="dxa"/>
            <w:tcBorders>
              <w:top w:val="nil"/>
              <w:left w:val="nil"/>
              <w:bottom w:val="single" w:sz="4" w:space="0" w:color="auto"/>
              <w:right w:val="single" w:sz="4" w:space="0" w:color="auto"/>
            </w:tcBorders>
            <w:shd w:val="clear" w:color="000000" w:fill="DAEEF3"/>
            <w:noWrap/>
            <w:vAlign w:val="bottom"/>
            <w:hideMark/>
          </w:tcPr>
          <w:p w14:paraId="597A4FD8"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8.6%</w:t>
            </w:r>
          </w:p>
        </w:tc>
        <w:tc>
          <w:tcPr>
            <w:tcW w:w="841" w:type="dxa"/>
            <w:tcBorders>
              <w:top w:val="nil"/>
              <w:left w:val="nil"/>
              <w:bottom w:val="single" w:sz="4" w:space="0" w:color="auto"/>
              <w:right w:val="single" w:sz="4" w:space="0" w:color="auto"/>
            </w:tcBorders>
            <w:shd w:val="clear" w:color="000000" w:fill="DAEEF3"/>
            <w:noWrap/>
            <w:vAlign w:val="bottom"/>
            <w:hideMark/>
          </w:tcPr>
          <w:p w14:paraId="4455E68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5.7%</w:t>
            </w:r>
          </w:p>
        </w:tc>
        <w:tc>
          <w:tcPr>
            <w:tcW w:w="770" w:type="dxa"/>
            <w:tcBorders>
              <w:top w:val="nil"/>
              <w:left w:val="nil"/>
              <w:bottom w:val="single" w:sz="4" w:space="0" w:color="auto"/>
              <w:right w:val="single" w:sz="4" w:space="0" w:color="auto"/>
            </w:tcBorders>
            <w:shd w:val="clear" w:color="000000" w:fill="DAEEF3"/>
            <w:noWrap/>
            <w:vAlign w:val="bottom"/>
            <w:hideMark/>
          </w:tcPr>
          <w:p w14:paraId="2E790FA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8.8%</w:t>
            </w:r>
          </w:p>
        </w:tc>
        <w:tc>
          <w:tcPr>
            <w:tcW w:w="841" w:type="dxa"/>
            <w:tcBorders>
              <w:top w:val="nil"/>
              <w:left w:val="nil"/>
              <w:bottom w:val="single" w:sz="4" w:space="0" w:color="auto"/>
              <w:right w:val="single" w:sz="8" w:space="0" w:color="auto"/>
            </w:tcBorders>
            <w:shd w:val="clear" w:color="000000" w:fill="DAEEF3"/>
            <w:noWrap/>
            <w:vAlign w:val="bottom"/>
            <w:hideMark/>
          </w:tcPr>
          <w:p w14:paraId="755A27E5"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5.7%</w:t>
            </w:r>
          </w:p>
        </w:tc>
      </w:tr>
      <w:tr w:rsidR="00F20114" w:rsidRPr="00D84D77" w14:paraId="37E143F8"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4D505B94" w14:textId="77777777" w:rsidR="00F20114" w:rsidRPr="00D84D77" w:rsidRDefault="00F20114" w:rsidP="00F20114">
            <w:pPr>
              <w:rPr>
                <w:rFonts w:ascii="Calibri" w:hAnsi="Calibri"/>
                <w:sz w:val="20"/>
                <w:lang w:eastAsia="en-AU"/>
              </w:rPr>
            </w:pPr>
            <w:r w:rsidRPr="00D84D77">
              <w:rPr>
                <w:rFonts w:ascii="Calibri" w:hAnsi="Calibri"/>
                <w:sz w:val="20"/>
                <w:lang w:eastAsia="en-AU"/>
              </w:rPr>
              <w:t>Pyrenees</w:t>
            </w:r>
          </w:p>
        </w:tc>
        <w:tc>
          <w:tcPr>
            <w:tcW w:w="726" w:type="dxa"/>
            <w:tcBorders>
              <w:top w:val="nil"/>
              <w:left w:val="nil"/>
              <w:bottom w:val="single" w:sz="4" w:space="0" w:color="auto"/>
              <w:right w:val="single" w:sz="4" w:space="0" w:color="auto"/>
            </w:tcBorders>
            <w:shd w:val="clear" w:color="000000" w:fill="FDE9D9"/>
            <w:noWrap/>
            <w:vAlign w:val="bottom"/>
            <w:hideMark/>
          </w:tcPr>
          <w:p w14:paraId="1ED61722"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0" w:type="dxa"/>
            <w:tcBorders>
              <w:top w:val="nil"/>
              <w:left w:val="nil"/>
              <w:bottom w:val="single" w:sz="4" w:space="0" w:color="auto"/>
              <w:right w:val="single" w:sz="4" w:space="0" w:color="auto"/>
            </w:tcBorders>
            <w:shd w:val="clear" w:color="000000" w:fill="FDE9D9"/>
            <w:noWrap/>
            <w:vAlign w:val="bottom"/>
            <w:hideMark/>
          </w:tcPr>
          <w:p w14:paraId="16422914"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92" w:type="dxa"/>
            <w:tcBorders>
              <w:top w:val="nil"/>
              <w:left w:val="nil"/>
              <w:bottom w:val="single" w:sz="4" w:space="0" w:color="auto"/>
              <w:right w:val="single" w:sz="4" w:space="0" w:color="auto"/>
            </w:tcBorders>
            <w:shd w:val="clear" w:color="000000" w:fill="FDE9D9"/>
            <w:noWrap/>
            <w:vAlign w:val="bottom"/>
          </w:tcPr>
          <w:p w14:paraId="032EA0D0" w14:textId="225217FC"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2EDBF60C"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FDE9D9"/>
            <w:noWrap/>
            <w:vAlign w:val="bottom"/>
            <w:hideMark/>
          </w:tcPr>
          <w:p w14:paraId="477B03D3"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554EA1D9"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4" w:space="0" w:color="auto"/>
            </w:tcBorders>
            <w:shd w:val="clear" w:color="000000" w:fill="DAEEF3"/>
            <w:noWrap/>
            <w:vAlign w:val="bottom"/>
            <w:hideMark/>
          </w:tcPr>
          <w:p w14:paraId="44A3E6C3"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5ED89404"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DAEEF3"/>
            <w:noWrap/>
            <w:vAlign w:val="bottom"/>
            <w:hideMark/>
          </w:tcPr>
          <w:p w14:paraId="35B33ABD"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r>
      <w:tr w:rsidR="00F20114" w:rsidRPr="00D84D77" w14:paraId="26F2CC03"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57F95CBB" w14:textId="77777777" w:rsidR="00F20114" w:rsidRPr="00D84D77" w:rsidRDefault="00F20114" w:rsidP="00F20114">
            <w:pPr>
              <w:rPr>
                <w:rFonts w:ascii="Calibri" w:hAnsi="Calibri"/>
                <w:sz w:val="20"/>
                <w:lang w:eastAsia="en-AU"/>
              </w:rPr>
            </w:pPr>
            <w:proofErr w:type="spellStart"/>
            <w:r w:rsidRPr="00D84D77">
              <w:rPr>
                <w:rFonts w:ascii="Calibri" w:hAnsi="Calibri"/>
                <w:sz w:val="20"/>
                <w:lang w:eastAsia="en-AU"/>
              </w:rPr>
              <w:t>Queenscliffe</w:t>
            </w:r>
            <w:proofErr w:type="spellEnd"/>
          </w:p>
        </w:tc>
        <w:tc>
          <w:tcPr>
            <w:tcW w:w="726" w:type="dxa"/>
            <w:tcBorders>
              <w:top w:val="nil"/>
              <w:left w:val="nil"/>
              <w:bottom w:val="single" w:sz="4" w:space="0" w:color="auto"/>
              <w:right w:val="single" w:sz="4" w:space="0" w:color="auto"/>
            </w:tcBorders>
            <w:shd w:val="clear" w:color="000000" w:fill="FDE9D9"/>
            <w:noWrap/>
            <w:vAlign w:val="bottom"/>
            <w:hideMark/>
          </w:tcPr>
          <w:p w14:paraId="14675165"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0" w:type="dxa"/>
            <w:tcBorders>
              <w:top w:val="nil"/>
              <w:left w:val="nil"/>
              <w:bottom w:val="single" w:sz="4" w:space="0" w:color="auto"/>
              <w:right w:val="single" w:sz="4" w:space="0" w:color="auto"/>
            </w:tcBorders>
            <w:shd w:val="clear" w:color="000000" w:fill="FDE9D9"/>
            <w:noWrap/>
            <w:vAlign w:val="bottom"/>
            <w:hideMark/>
          </w:tcPr>
          <w:p w14:paraId="5AAA52E7"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92" w:type="dxa"/>
            <w:tcBorders>
              <w:top w:val="nil"/>
              <w:left w:val="nil"/>
              <w:bottom w:val="single" w:sz="4" w:space="0" w:color="auto"/>
              <w:right w:val="single" w:sz="4" w:space="0" w:color="auto"/>
            </w:tcBorders>
            <w:shd w:val="clear" w:color="000000" w:fill="FDE9D9"/>
            <w:noWrap/>
            <w:vAlign w:val="bottom"/>
          </w:tcPr>
          <w:p w14:paraId="533B3F22" w14:textId="426ED146"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22F1E5AD"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FDE9D9"/>
            <w:noWrap/>
            <w:vAlign w:val="bottom"/>
            <w:hideMark/>
          </w:tcPr>
          <w:p w14:paraId="3504EE06"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192C1D4C"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4" w:space="0" w:color="auto"/>
            </w:tcBorders>
            <w:shd w:val="clear" w:color="000000" w:fill="DAEEF3"/>
            <w:noWrap/>
            <w:vAlign w:val="bottom"/>
            <w:hideMark/>
          </w:tcPr>
          <w:p w14:paraId="4C6C9A2A"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7D6327E1"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DAEEF3"/>
            <w:noWrap/>
            <w:vAlign w:val="bottom"/>
            <w:hideMark/>
          </w:tcPr>
          <w:p w14:paraId="5FFDCEC9"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r>
      <w:tr w:rsidR="00F20114" w:rsidRPr="00D84D77" w14:paraId="33B49276"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4B896482" w14:textId="77777777" w:rsidR="00F20114" w:rsidRPr="00D84D77" w:rsidRDefault="00F20114" w:rsidP="00F20114">
            <w:pPr>
              <w:rPr>
                <w:rFonts w:ascii="Calibri" w:hAnsi="Calibri"/>
                <w:sz w:val="20"/>
                <w:lang w:eastAsia="en-AU"/>
              </w:rPr>
            </w:pPr>
            <w:r w:rsidRPr="00D84D77">
              <w:rPr>
                <w:rFonts w:ascii="Calibri" w:hAnsi="Calibri"/>
                <w:sz w:val="20"/>
                <w:lang w:eastAsia="en-AU"/>
              </w:rPr>
              <w:t>South Gippsland</w:t>
            </w:r>
          </w:p>
        </w:tc>
        <w:tc>
          <w:tcPr>
            <w:tcW w:w="726" w:type="dxa"/>
            <w:tcBorders>
              <w:top w:val="nil"/>
              <w:left w:val="nil"/>
              <w:bottom w:val="single" w:sz="4" w:space="0" w:color="auto"/>
              <w:right w:val="single" w:sz="4" w:space="0" w:color="auto"/>
            </w:tcBorders>
            <w:shd w:val="clear" w:color="000000" w:fill="FDE9D9"/>
            <w:noWrap/>
            <w:vAlign w:val="bottom"/>
            <w:hideMark/>
          </w:tcPr>
          <w:p w14:paraId="70E1ABC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3.2%</w:t>
            </w:r>
          </w:p>
        </w:tc>
        <w:tc>
          <w:tcPr>
            <w:tcW w:w="840" w:type="dxa"/>
            <w:tcBorders>
              <w:top w:val="nil"/>
              <w:left w:val="nil"/>
              <w:bottom w:val="single" w:sz="4" w:space="0" w:color="auto"/>
              <w:right w:val="single" w:sz="4" w:space="0" w:color="auto"/>
            </w:tcBorders>
            <w:shd w:val="clear" w:color="000000" w:fill="FDE9D9"/>
            <w:noWrap/>
            <w:vAlign w:val="bottom"/>
            <w:hideMark/>
          </w:tcPr>
          <w:p w14:paraId="1C873E3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2.3%</w:t>
            </w:r>
          </w:p>
        </w:tc>
        <w:tc>
          <w:tcPr>
            <w:tcW w:w="892" w:type="dxa"/>
            <w:tcBorders>
              <w:top w:val="nil"/>
              <w:left w:val="nil"/>
              <w:bottom w:val="single" w:sz="4" w:space="0" w:color="auto"/>
              <w:right w:val="single" w:sz="4" w:space="0" w:color="auto"/>
            </w:tcBorders>
            <w:shd w:val="clear" w:color="000000" w:fill="FDE9D9"/>
            <w:noWrap/>
            <w:vAlign w:val="bottom"/>
          </w:tcPr>
          <w:p w14:paraId="0B69BC4A" w14:textId="305F4325"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7269183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3.5%</w:t>
            </w:r>
          </w:p>
        </w:tc>
        <w:tc>
          <w:tcPr>
            <w:tcW w:w="841" w:type="dxa"/>
            <w:tcBorders>
              <w:top w:val="nil"/>
              <w:left w:val="nil"/>
              <w:bottom w:val="single" w:sz="4" w:space="0" w:color="auto"/>
              <w:right w:val="single" w:sz="8" w:space="0" w:color="auto"/>
            </w:tcBorders>
            <w:shd w:val="clear" w:color="000000" w:fill="FDE9D9"/>
            <w:noWrap/>
            <w:vAlign w:val="bottom"/>
            <w:hideMark/>
          </w:tcPr>
          <w:p w14:paraId="44D375DC"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2.5%</w:t>
            </w:r>
          </w:p>
        </w:tc>
        <w:tc>
          <w:tcPr>
            <w:tcW w:w="770" w:type="dxa"/>
            <w:tcBorders>
              <w:top w:val="nil"/>
              <w:left w:val="nil"/>
              <w:bottom w:val="single" w:sz="4" w:space="0" w:color="auto"/>
              <w:right w:val="single" w:sz="4" w:space="0" w:color="auto"/>
            </w:tcBorders>
            <w:shd w:val="clear" w:color="000000" w:fill="DAEEF3"/>
            <w:noWrap/>
            <w:vAlign w:val="bottom"/>
            <w:hideMark/>
          </w:tcPr>
          <w:p w14:paraId="7F5D5E7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0.1%</w:t>
            </w:r>
          </w:p>
        </w:tc>
        <w:tc>
          <w:tcPr>
            <w:tcW w:w="841" w:type="dxa"/>
            <w:tcBorders>
              <w:top w:val="nil"/>
              <w:left w:val="nil"/>
              <w:bottom w:val="single" w:sz="4" w:space="0" w:color="auto"/>
              <w:right w:val="single" w:sz="4" w:space="0" w:color="auto"/>
            </w:tcBorders>
            <w:shd w:val="clear" w:color="000000" w:fill="DAEEF3"/>
            <w:noWrap/>
            <w:vAlign w:val="bottom"/>
            <w:hideMark/>
          </w:tcPr>
          <w:p w14:paraId="3BFD405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0.0%</w:t>
            </w:r>
          </w:p>
        </w:tc>
        <w:tc>
          <w:tcPr>
            <w:tcW w:w="770" w:type="dxa"/>
            <w:tcBorders>
              <w:top w:val="nil"/>
              <w:left w:val="nil"/>
              <w:bottom w:val="single" w:sz="4" w:space="0" w:color="auto"/>
              <w:right w:val="single" w:sz="4" w:space="0" w:color="auto"/>
            </w:tcBorders>
            <w:shd w:val="clear" w:color="000000" w:fill="DAEEF3"/>
            <w:noWrap/>
            <w:vAlign w:val="bottom"/>
            <w:hideMark/>
          </w:tcPr>
          <w:p w14:paraId="7D9A05E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0.1%</w:t>
            </w:r>
          </w:p>
        </w:tc>
        <w:tc>
          <w:tcPr>
            <w:tcW w:w="841" w:type="dxa"/>
            <w:tcBorders>
              <w:top w:val="nil"/>
              <w:left w:val="nil"/>
              <w:bottom w:val="single" w:sz="4" w:space="0" w:color="auto"/>
              <w:right w:val="single" w:sz="8" w:space="0" w:color="auto"/>
            </w:tcBorders>
            <w:shd w:val="clear" w:color="000000" w:fill="DAEEF3"/>
            <w:noWrap/>
            <w:vAlign w:val="bottom"/>
            <w:hideMark/>
          </w:tcPr>
          <w:p w14:paraId="18E2110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0.0%</w:t>
            </w:r>
          </w:p>
        </w:tc>
      </w:tr>
      <w:tr w:rsidR="00F20114" w:rsidRPr="00D84D77" w14:paraId="026B98D9"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31638CF0" w14:textId="77777777" w:rsidR="00F20114" w:rsidRPr="00D84D77" w:rsidRDefault="00F20114" w:rsidP="00F20114">
            <w:pPr>
              <w:rPr>
                <w:rFonts w:ascii="Calibri" w:hAnsi="Calibri"/>
                <w:sz w:val="20"/>
                <w:lang w:eastAsia="en-AU"/>
              </w:rPr>
            </w:pPr>
            <w:r w:rsidRPr="00D84D77">
              <w:rPr>
                <w:rFonts w:ascii="Calibri" w:hAnsi="Calibri"/>
                <w:sz w:val="20"/>
                <w:lang w:eastAsia="en-AU"/>
              </w:rPr>
              <w:t>Southern Grampians</w:t>
            </w:r>
          </w:p>
        </w:tc>
        <w:tc>
          <w:tcPr>
            <w:tcW w:w="726" w:type="dxa"/>
            <w:tcBorders>
              <w:top w:val="nil"/>
              <w:left w:val="nil"/>
              <w:bottom w:val="single" w:sz="4" w:space="0" w:color="auto"/>
              <w:right w:val="single" w:sz="4" w:space="0" w:color="auto"/>
            </w:tcBorders>
            <w:shd w:val="clear" w:color="000000" w:fill="FDE9D9"/>
            <w:noWrap/>
            <w:vAlign w:val="bottom"/>
            <w:hideMark/>
          </w:tcPr>
          <w:p w14:paraId="5322A562"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0" w:type="dxa"/>
            <w:tcBorders>
              <w:top w:val="nil"/>
              <w:left w:val="nil"/>
              <w:bottom w:val="single" w:sz="4" w:space="0" w:color="auto"/>
              <w:right w:val="single" w:sz="4" w:space="0" w:color="auto"/>
            </w:tcBorders>
            <w:shd w:val="clear" w:color="000000" w:fill="FDE9D9"/>
            <w:noWrap/>
            <w:vAlign w:val="bottom"/>
            <w:hideMark/>
          </w:tcPr>
          <w:p w14:paraId="732F8467"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92" w:type="dxa"/>
            <w:tcBorders>
              <w:top w:val="nil"/>
              <w:left w:val="nil"/>
              <w:bottom w:val="single" w:sz="4" w:space="0" w:color="auto"/>
              <w:right w:val="single" w:sz="4" w:space="0" w:color="auto"/>
            </w:tcBorders>
            <w:shd w:val="clear" w:color="000000" w:fill="FDE9D9"/>
            <w:noWrap/>
            <w:vAlign w:val="bottom"/>
          </w:tcPr>
          <w:p w14:paraId="00F76187" w14:textId="519FBEAD"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2D652022"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FDE9D9"/>
            <w:noWrap/>
            <w:vAlign w:val="bottom"/>
            <w:hideMark/>
          </w:tcPr>
          <w:p w14:paraId="1B8E72A6"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42D1156C"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0.7%</w:t>
            </w:r>
          </w:p>
        </w:tc>
        <w:tc>
          <w:tcPr>
            <w:tcW w:w="841" w:type="dxa"/>
            <w:tcBorders>
              <w:top w:val="nil"/>
              <w:left w:val="nil"/>
              <w:bottom w:val="single" w:sz="4" w:space="0" w:color="auto"/>
              <w:right w:val="single" w:sz="4" w:space="0" w:color="auto"/>
            </w:tcBorders>
            <w:shd w:val="clear" w:color="000000" w:fill="DAEEF3"/>
            <w:noWrap/>
            <w:vAlign w:val="bottom"/>
            <w:hideMark/>
          </w:tcPr>
          <w:p w14:paraId="6A2F9A8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0.4%</w:t>
            </w:r>
          </w:p>
        </w:tc>
        <w:tc>
          <w:tcPr>
            <w:tcW w:w="770" w:type="dxa"/>
            <w:tcBorders>
              <w:top w:val="nil"/>
              <w:left w:val="nil"/>
              <w:bottom w:val="single" w:sz="4" w:space="0" w:color="auto"/>
              <w:right w:val="single" w:sz="4" w:space="0" w:color="auto"/>
            </w:tcBorders>
            <w:shd w:val="clear" w:color="000000" w:fill="DAEEF3"/>
            <w:noWrap/>
            <w:vAlign w:val="bottom"/>
            <w:hideMark/>
          </w:tcPr>
          <w:p w14:paraId="3F47F77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0.8%</w:t>
            </w:r>
          </w:p>
        </w:tc>
        <w:tc>
          <w:tcPr>
            <w:tcW w:w="841" w:type="dxa"/>
            <w:tcBorders>
              <w:top w:val="nil"/>
              <w:left w:val="nil"/>
              <w:bottom w:val="single" w:sz="4" w:space="0" w:color="auto"/>
              <w:right w:val="single" w:sz="8" w:space="0" w:color="auto"/>
            </w:tcBorders>
            <w:shd w:val="clear" w:color="000000" w:fill="DAEEF3"/>
            <w:noWrap/>
            <w:vAlign w:val="bottom"/>
            <w:hideMark/>
          </w:tcPr>
          <w:p w14:paraId="46ECB86A"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0.4%</w:t>
            </w:r>
          </w:p>
        </w:tc>
      </w:tr>
      <w:tr w:rsidR="00F20114" w:rsidRPr="00D84D77" w14:paraId="7E0B9F2E"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74D3643E" w14:textId="77777777" w:rsidR="00F20114" w:rsidRPr="00D84D77" w:rsidRDefault="00F20114" w:rsidP="00F20114">
            <w:pPr>
              <w:rPr>
                <w:rFonts w:ascii="Calibri" w:hAnsi="Calibri"/>
                <w:sz w:val="20"/>
                <w:lang w:eastAsia="en-AU"/>
              </w:rPr>
            </w:pPr>
            <w:r w:rsidRPr="00D84D77">
              <w:rPr>
                <w:rFonts w:ascii="Calibri" w:hAnsi="Calibri"/>
                <w:sz w:val="20"/>
                <w:lang w:eastAsia="en-AU"/>
              </w:rPr>
              <w:t>Stonnington</w:t>
            </w:r>
          </w:p>
        </w:tc>
        <w:tc>
          <w:tcPr>
            <w:tcW w:w="726" w:type="dxa"/>
            <w:tcBorders>
              <w:top w:val="nil"/>
              <w:left w:val="nil"/>
              <w:bottom w:val="single" w:sz="4" w:space="0" w:color="auto"/>
              <w:right w:val="single" w:sz="4" w:space="0" w:color="auto"/>
            </w:tcBorders>
            <w:shd w:val="clear" w:color="000000" w:fill="FDE9D9"/>
            <w:noWrap/>
            <w:vAlign w:val="bottom"/>
            <w:hideMark/>
          </w:tcPr>
          <w:p w14:paraId="6CB98D31"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0" w:type="dxa"/>
            <w:tcBorders>
              <w:top w:val="nil"/>
              <w:left w:val="nil"/>
              <w:bottom w:val="single" w:sz="4" w:space="0" w:color="auto"/>
              <w:right w:val="single" w:sz="4" w:space="0" w:color="auto"/>
            </w:tcBorders>
            <w:shd w:val="clear" w:color="000000" w:fill="FDE9D9"/>
            <w:noWrap/>
            <w:vAlign w:val="bottom"/>
            <w:hideMark/>
          </w:tcPr>
          <w:p w14:paraId="256A8C82"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92" w:type="dxa"/>
            <w:tcBorders>
              <w:top w:val="nil"/>
              <w:left w:val="nil"/>
              <w:bottom w:val="single" w:sz="4" w:space="0" w:color="auto"/>
              <w:right w:val="single" w:sz="4" w:space="0" w:color="auto"/>
            </w:tcBorders>
            <w:shd w:val="clear" w:color="000000" w:fill="FDE9D9"/>
            <w:noWrap/>
            <w:vAlign w:val="bottom"/>
          </w:tcPr>
          <w:p w14:paraId="039D2CE0" w14:textId="7862E3B0"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3FCF3217"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FDE9D9"/>
            <w:noWrap/>
            <w:vAlign w:val="bottom"/>
            <w:hideMark/>
          </w:tcPr>
          <w:p w14:paraId="0AC17659"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3AE5ED94"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4" w:space="0" w:color="auto"/>
            </w:tcBorders>
            <w:shd w:val="clear" w:color="000000" w:fill="DAEEF3"/>
            <w:noWrap/>
            <w:vAlign w:val="bottom"/>
            <w:hideMark/>
          </w:tcPr>
          <w:p w14:paraId="21D817EA"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7A1A3AFB"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DAEEF3"/>
            <w:noWrap/>
            <w:vAlign w:val="bottom"/>
            <w:hideMark/>
          </w:tcPr>
          <w:p w14:paraId="5B559A41"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r>
      <w:tr w:rsidR="00F20114" w:rsidRPr="00D84D77" w14:paraId="5E09827E"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1EE6934F" w14:textId="77777777" w:rsidR="00F20114" w:rsidRPr="00D84D77" w:rsidRDefault="00F20114" w:rsidP="00F20114">
            <w:pPr>
              <w:rPr>
                <w:rFonts w:ascii="Calibri" w:hAnsi="Calibri"/>
                <w:sz w:val="20"/>
                <w:lang w:eastAsia="en-AU"/>
              </w:rPr>
            </w:pPr>
            <w:r w:rsidRPr="00D84D77">
              <w:rPr>
                <w:rFonts w:ascii="Calibri" w:hAnsi="Calibri"/>
                <w:sz w:val="20"/>
                <w:lang w:eastAsia="en-AU"/>
              </w:rPr>
              <w:t>Strathbogie</w:t>
            </w:r>
          </w:p>
        </w:tc>
        <w:tc>
          <w:tcPr>
            <w:tcW w:w="726" w:type="dxa"/>
            <w:tcBorders>
              <w:top w:val="nil"/>
              <w:left w:val="nil"/>
              <w:bottom w:val="single" w:sz="4" w:space="0" w:color="auto"/>
              <w:right w:val="single" w:sz="4" w:space="0" w:color="auto"/>
            </w:tcBorders>
            <w:shd w:val="clear" w:color="000000" w:fill="FDE9D9"/>
            <w:noWrap/>
            <w:vAlign w:val="bottom"/>
            <w:hideMark/>
          </w:tcPr>
          <w:p w14:paraId="0EAE113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20.3%</w:t>
            </w:r>
          </w:p>
        </w:tc>
        <w:tc>
          <w:tcPr>
            <w:tcW w:w="840" w:type="dxa"/>
            <w:tcBorders>
              <w:top w:val="nil"/>
              <w:left w:val="nil"/>
              <w:bottom w:val="single" w:sz="4" w:space="0" w:color="auto"/>
              <w:right w:val="single" w:sz="4" w:space="0" w:color="auto"/>
            </w:tcBorders>
            <w:shd w:val="clear" w:color="000000" w:fill="FDE9D9"/>
            <w:noWrap/>
            <w:vAlign w:val="bottom"/>
            <w:hideMark/>
          </w:tcPr>
          <w:p w14:paraId="46D865A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14.4%</w:t>
            </w:r>
          </w:p>
        </w:tc>
        <w:tc>
          <w:tcPr>
            <w:tcW w:w="892" w:type="dxa"/>
            <w:tcBorders>
              <w:top w:val="nil"/>
              <w:left w:val="nil"/>
              <w:bottom w:val="single" w:sz="4" w:space="0" w:color="auto"/>
              <w:right w:val="single" w:sz="4" w:space="0" w:color="auto"/>
            </w:tcBorders>
            <w:shd w:val="clear" w:color="000000" w:fill="FDE9D9"/>
            <w:noWrap/>
            <w:vAlign w:val="bottom"/>
          </w:tcPr>
          <w:p w14:paraId="76C12B68" w14:textId="04C5C5E9"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6BAB304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23.3%</w:t>
            </w:r>
          </w:p>
        </w:tc>
        <w:tc>
          <w:tcPr>
            <w:tcW w:w="841" w:type="dxa"/>
            <w:tcBorders>
              <w:top w:val="nil"/>
              <w:left w:val="nil"/>
              <w:bottom w:val="single" w:sz="4" w:space="0" w:color="auto"/>
              <w:right w:val="single" w:sz="8" w:space="0" w:color="auto"/>
            </w:tcBorders>
            <w:shd w:val="clear" w:color="000000" w:fill="FDE9D9"/>
            <w:noWrap/>
            <w:vAlign w:val="bottom"/>
            <w:hideMark/>
          </w:tcPr>
          <w:p w14:paraId="2167615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15.8%</w:t>
            </w:r>
          </w:p>
        </w:tc>
        <w:tc>
          <w:tcPr>
            <w:tcW w:w="770" w:type="dxa"/>
            <w:tcBorders>
              <w:top w:val="nil"/>
              <w:left w:val="nil"/>
              <w:bottom w:val="single" w:sz="4" w:space="0" w:color="auto"/>
              <w:right w:val="single" w:sz="4" w:space="0" w:color="auto"/>
            </w:tcBorders>
            <w:shd w:val="clear" w:color="000000" w:fill="DAEEF3"/>
            <w:noWrap/>
            <w:vAlign w:val="bottom"/>
            <w:hideMark/>
          </w:tcPr>
          <w:p w14:paraId="160F23B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11.2%</w:t>
            </w:r>
          </w:p>
        </w:tc>
        <w:tc>
          <w:tcPr>
            <w:tcW w:w="841" w:type="dxa"/>
            <w:tcBorders>
              <w:top w:val="nil"/>
              <w:left w:val="nil"/>
              <w:bottom w:val="single" w:sz="4" w:space="0" w:color="auto"/>
              <w:right w:val="single" w:sz="4" w:space="0" w:color="auto"/>
            </w:tcBorders>
            <w:shd w:val="clear" w:color="000000" w:fill="DAEEF3"/>
            <w:noWrap/>
            <w:vAlign w:val="bottom"/>
            <w:hideMark/>
          </w:tcPr>
          <w:p w14:paraId="5DD9479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7.9%</w:t>
            </w:r>
          </w:p>
        </w:tc>
        <w:tc>
          <w:tcPr>
            <w:tcW w:w="770" w:type="dxa"/>
            <w:tcBorders>
              <w:top w:val="nil"/>
              <w:left w:val="nil"/>
              <w:bottom w:val="single" w:sz="4" w:space="0" w:color="auto"/>
              <w:right w:val="single" w:sz="4" w:space="0" w:color="auto"/>
            </w:tcBorders>
            <w:shd w:val="clear" w:color="000000" w:fill="DAEEF3"/>
            <w:noWrap/>
            <w:vAlign w:val="bottom"/>
            <w:hideMark/>
          </w:tcPr>
          <w:p w14:paraId="739D5E1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12.8%</w:t>
            </w:r>
          </w:p>
        </w:tc>
        <w:tc>
          <w:tcPr>
            <w:tcW w:w="841" w:type="dxa"/>
            <w:tcBorders>
              <w:top w:val="nil"/>
              <w:left w:val="nil"/>
              <w:bottom w:val="single" w:sz="4" w:space="0" w:color="auto"/>
              <w:right w:val="single" w:sz="8" w:space="0" w:color="auto"/>
            </w:tcBorders>
            <w:shd w:val="clear" w:color="000000" w:fill="DAEEF3"/>
            <w:noWrap/>
            <w:vAlign w:val="bottom"/>
            <w:hideMark/>
          </w:tcPr>
          <w:p w14:paraId="772EEB65"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8.7%</w:t>
            </w:r>
          </w:p>
        </w:tc>
      </w:tr>
      <w:tr w:rsidR="00F20114" w:rsidRPr="00D84D77" w14:paraId="50BA2BFE"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2DDFFEE8" w14:textId="77777777" w:rsidR="00F20114" w:rsidRPr="00D84D77" w:rsidRDefault="00F20114" w:rsidP="00F20114">
            <w:pPr>
              <w:rPr>
                <w:rFonts w:ascii="Calibri" w:hAnsi="Calibri"/>
                <w:sz w:val="20"/>
                <w:lang w:eastAsia="en-AU"/>
              </w:rPr>
            </w:pPr>
            <w:r w:rsidRPr="00D84D77">
              <w:rPr>
                <w:rFonts w:ascii="Calibri" w:hAnsi="Calibri"/>
                <w:sz w:val="20"/>
                <w:lang w:eastAsia="en-AU"/>
              </w:rPr>
              <w:t>Surf Coast</w:t>
            </w:r>
          </w:p>
        </w:tc>
        <w:tc>
          <w:tcPr>
            <w:tcW w:w="726" w:type="dxa"/>
            <w:tcBorders>
              <w:top w:val="nil"/>
              <w:left w:val="nil"/>
              <w:bottom w:val="single" w:sz="4" w:space="0" w:color="auto"/>
              <w:right w:val="single" w:sz="4" w:space="0" w:color="auto"/>
            </w:tcBorders>
            <w:shd w:val="clear" w:color="000000" w:fill="FDE9D9"/>
            <w:noWrap/>
            <w:vAlign w:val="bottom"/>
            <w:hideMark/>
          </w:tcPr>
          <w:p w14:paraId="0542C9AD"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2.6%</w:t>
            </w:r>
          </w:p>
        </w:tc>
        <w:tc>
          <w:tcPr>
            <w:tcW w:w="840" w:type="dxa"/>
            <w:tcBorders>
              <w:top w:val="nil"/>
              <w:left w:val="nil"/>
              <w:bottom w:val="single" w:sz="4" w:space="0" w:color="auto"/>
              <w:right w:val="single" w:sz="4" w:space="0" w:color="auto"/>
            </w:tcBorders>
            <w:shd w:val="clear" w:color="000000" w:fill="FDE9D9"/>
            <w:noWrap/>
            <w:vAlign w:val="bottom"/>
            <w:hideMark/>
          </w:tcPr>
          <w:p w14:paraId="6E3F9895"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1.9%</w:t>
            </w:r>
          </w:p>
        </w:tc>
        <w:tc>
          <w:tcPr>
            <w:tcW w:w="892" w:type="dxa"/>
            <w:tcBorders>
              <w:top w:val="nil"/>
              <w:left w:val="nil"/>
              <w:bottom w:val="single" w:sz="4" w:space="0" w:color="auto"/>
              <w:right w:val="single" w:sz="4" w:space="0" w:color="auto"/>
            </w:tcBorders>
            <w:shd w:val="clear" w:color="000000" w:fill="FDE9D9"/>
            <w:noWrap/>
            <w:vAlign w:val="bottom"/>
          </w:tcPr>
          <w:p w14:paraId="18CD88D0" w14:textId="32462F92"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200650A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3.0%</w:t>
            </w:r>
          </w:p>
        </w:tc>
        <w:tc>
          <w:tcPr>
            <w:tcW w:w="841" w:type="dxa"/>
            <w:tcBorders>
              <w:top w:val="nil"/>
              <w:left w:val="nil"/>
              <w:bottom w:val="single" w:sz="4" w:space="0" w:color="auto"/>
              <w:right w:val="single" w:sz="8" w:space="0" w:color="auto"/>
            </w:tcBorders>
            <w:shd w:val="clear" w:color="000000" w:fill="FDE9D9"/>
            <w:noWrap/>
            <w:vAlign w:val="bottom"/>
            <w:hideMark/>
          </w:tcPr>
          <w:p w14:paraId="2D500BC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2.2%</w:t>
            </w:r>
          </w:p>
        </w:tc>
        <w:tc>
          <w:tcPr>
            <w:tcW w:w="770" w:type="dxa"/>
            <w:tcBorders>
              <w:top w:val="nil"/>
              <w:left w:val="nil"/>
              <w:bottom w:val="single" w:sz="4" w:space="0" w:color="auto"/>
              <w:right w:val="single" w:sz="4" w:space="0" w:color="auto"/>
            </w:tcBorders>
            <w:shd w:val="clear" w:color="000000" w:fill="DAEEF3"/>
            <w:noWrap/>
            <w:vAlign w:val="bottom"/>
            <w:hideMark/>
          </w:tcPr>
          <w:p w14:paraId="72DFA7BA"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2.6%</w:t>
            </w:r>
          </w:p>
        </w:tc>
        <w:tc>
          <w:tcPr>
            <w:tcW w:w="841" w:type="dxa"/>
            <w:tcBorders>
              <w:top w:val="nil"/>
              <w:left w:val="nil"/>
              <w:bottom w:val="single" w:sz="4" w:space="0" w:color="auto"/>
              <w:right w:val="single" w:sz="4" w:space="0" w:color="auto"/>
            </w:tcBorders>
            <w:shd w:val="clear" w:color="000000" w:fill="DAEEF3"/>
            <w:noWrap/>
            <w:vAlign w:val="bottom"/>
            <w:hideMark/>
          </w:tcPr>
          <w:p w14:paraId="093288C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2.0%</w:t>
            </w:r>
          </w:p>
        </w:tc>
        <w:tc>
          <w:tcPr>
            <w:tcW w:w="770" w:type="dxa"/>
            <w:tcBorders>
              <w:top w:val="nil"/>
              <w:left w:val="nil"/>
              <w:bottom w:val="single" w:sz="4" w:space="0" w:color="auto"/>
              <w:right w:val="single" w:sz="4" w:space="0" w:color="auto"/>
            </w:tcBorders>
            <w:shd w:val="clear" w:color="000000" w:fill="DAEEF3"/>
            <w:noWrap/>
            <w:vAlign w:val="bottom"/>
            <w:hideMark/>
          </w:tcPr>
          <w:p w14:paraId="72B50317"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3.1%</w:t>
            </w:r>
          </w:p>
        </w:tc>
        <w:tc>
          <w:tcPr>
            <w:tcW w:w="841" w:type="dxa"/>
            <w:tcBorders>
              <w:top w:val="nil"/>
              <w:left w:val="nil"/>
              <w:bottom w:val="single" w:sz="4" w:space="0" w:color="auto"/>
              <w:right w:val="single" w:sz="8" w:space="0" w:color="auto"/>
            </w:tcBorders>
            <w:shd w:val="clear" w:color="000000" w:fill="DAEEF3"/>
            <w:noWrap/>
            <w:vAlign w:val="bottom"/>
            <w:hideMark/>
          </w:tcPr>
          <w:p w14:paraId="2544854A"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2.2%</w:t>
            </w:r>
          </w:p>
        </w:tc>
      </w:tr>
      <w:tr w:rsidR="00F20114" w:rsidRPr="00D84D77" w14:paraId="098F339A"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11368D63" w14:textId="77777777" w:rsidR="00F20114" w:rsidRPr="00D84D77" w:rsidRDefault="00F20114" w:rsidP="00F20114">
            <w:pPr>
              <w:rPr>
                <w:rFonts w:ascii="Calibri" w:hAnsi="Calibri"/>
                <w:sz w:val="20"/>
                <w:lang w:eastAsia="en-AU"/>
              </w:rPr>
            </w:pPr>
            <w:r w:rsidRPr="00D84D77">
              <w:rPr>
                <w:rFonts w:ascii="Calibri" w:hAnsi="Calibri"/>
                <w:sz w:val="20"/>
                <w:lang w:eastAsia="en-AU"/>
              </w:rPr>
              <w:t>Swan Hill</w:t>
            </w:r>
          </w:p>
        </w:tc>
        <w:tc>
          <w:tcPr>
            <w:tcW w:w="726" w:type="dxa"/>
            <w:tcBorders>
              <w:top w:val="nil"/>
              <w:left w:val="nil"/>
              <w:bottom w:val="single" w:sz="4" w:space="0" w:color="auto"/>
              <w:right w:val="single" w:sz="4" w:space="0" w:color="auto"/>
            </w:tcBorders>
            <w:shd w:val="clear" w:color="000000" w:fill="FDE9D9"/>
            <w:noWrap/>
            <w:vAlign w:val="bottom"/>
            <w:hideMark/>
          </w:tcPr>
          <w:p w14:paraId="74DAC7D5"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12.9%</w:t>
            </w:r>
          </w:p>
        </w:tc>
        <w:tc>
          <w:tcPr>
            <w:tcW w:w="840" w:type="dxa"/>
            <w:tcBorders>
              <w:top w:val="nil"/>
              <w:left w:val="nil"/>
              <w:bottom w:val="single" w:sz="4" w:space="0" w:color="auto"/>
              <w:right w:val="single" w:sz="4" w:space="0" w:color="auto"/>
            </w:tcBorders>
            <w:shd w:val="clear" w:color="000000" w:fill="FDE9D9"/>
            <w:noWrap/>
            <w:vAlign w:val="bottom"/>
            <w:hideMark/>
          </w:tcPr>
          <w:p w14:paraId="0831316A"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9.5%</w:t>
            </w:r>
          </w:p>
        </w:tc>
        <w:tc>
          <w:tcPr>
            <w:tcW w:w="892" w:type="dxa"/>
            <w:tcBorders>
              <w:top w:val="nil"/>
              <w:left w:val="nil"/>
              <w:bottom w:val="single" w:sz="4" w:space="0" w:color="auto"/>
              <w:right w:val="single" w:sz="4" w:space="0" w:color="auto"/>
            </w:tcBorders>
            <w:shd w:val="clear" w:color="000000" w:fill="FDE9D9"/>
            <w:noWrap/>
            <w:vAlign w:val="bottom"/>
          </w:tcPr>
          <w:p w14:paraId="62416CB9" w14:textId="499BC928"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02F4DE6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14.7%</w:t>
            </w:r>
          </w:p>
        </w:tc>
        <w:tc>
          <w:tcPr>
            <w:tcW w:w="841" w:type="dxa"/>
            <w:tcBorders>
              <w:top w:val="nil"/>
              <w:left w:val="nil"/>
              <w:bottom w:val="single" w:sz="4" w:space="0" w:color="auto"/>
              <w:right w:val="single" w:sz="8" w:space="0" w:color="auto"/>
            </w:tcBorders>
            <w:shd w:val="clear" w:color="000000" w:fill="FDE9D9"/>
            <w:noWrap/>
            <w:vAlign w:val="bottom"/>
            <w:hideMark/>
          </w:tcPr>
          <w:p w14:paraId="0705168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10.5%</w:t>
            </w:r>
          </w:p>
        </w:tc>
        <w:tc>
          <w:tcPr>
            <w:tcW w:w="770" w:type="dxa"/>
            <w:tcBorders>
              <w:top w:val="nil"/>
              <w:left w:val="nil"/>
              <w:bottom w:val="single" w:sz="4" w:space="0" w:color="auto"/>
              <w:right w:val="single" w:sz="4" w:space="0" w:color="auto"/>
            </w:tcBorders>
            <w:shd w:val="clear" w:color="000000" w:fill="DAEEF3"/>
            <w:noWrap/>
            <w:vAlign w:val="bottom"/>
            <w:hideMark/>
          </w:tcPr>
          <w:p w14:paraId="693DC4E2"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11.0%</w:t>
            </w:r>
          </w:p>
        </w:tc>
        <w:tc>
          <w:tcPr>
            <w:tcW w:w="841" w:type="dxa"/>
            <w:tcBorders>
              <w:top w:val="nil"/>
              <w:left w:val="nil"/>
              <w:bottom w:val="single" w:sz="4" w:space="0" w:color="auto"/>
              <w:right w:val="single" w:sz="4" w:space="0" w:color="auto"/>
            </w:tcBorders>
            <w:shd w:val="clear" w:color="000000" w:fill="DAEEF3"/>
            <w:noWrap/>
            <w:vAlign w:val="bottom"/>
            <w:hideMark/>
          </w:tcPr>
          <w:p w14:paraId="01B6F76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8.1%</w:t>
            </w:r>
          </w:p>
        </w:tc>
        <w:tc>
          <w:tcPr>
            <w:tcW w:w="770" w:type="dxa"/>
            <w:tcBorders>
              <w:top w:val="nil"/>
              <w:left w:val="nil"/>
              <w:bottom w:val="single" w:sz="4" w:space="0" w:color="auto"/>
              <w:right w:val="single" w:sz="4" w:space="0" w:color="auto"/>
            </w:tcBorders>
            <w:shd w:val="clear" w:color="000000" w:fill="DAEEF3"/>
            <w:noWrap/>
            <w:vAlign w:val="bottom"/>
            <w:hideMark/>
          </w:tcPr>
          <w:p w14:paraId="633DBE6C"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12.6%</w:t>
            </w:r>
          </w:p>
        </w:tc>
        <w:tc>
          <w:tcPr>
            <w:tcW w:w="841" w:type="dxa"/>
            <w:tcBorders>
              <w:top w:val="nil"/>
              <w:left w:val="nil"/>
              <w:bottom w:val="single" w:sz="4" w:space="0" w:color="auto"/>
              <w:right w:val="single" w:sz="8" w:space="0" w:color="auto"/>
            </w:tcBorders>
            <w:shd w:val="clear" w:color="000000" w:fill="DAEEF3"/>
            <w:noWrap/>
            <w:vAlign w:val="bottom"/>
            <w:hideMark/>
          </w:tcPr>
          <w:p w14:paraId="52BF222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8.9%</w:t>
            </w:r>
          </w:p>
        </w:tc>
      </w:tr>
      <w:tr w:rsidR="00F20114" w:rsidRPr="00D84D77" w14:paraId="42EEF243"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55BB5C35" w14:textId="77777777" w:rsidR="00F20114" w:rsidRPr="00D84D77" w:rsidRDefault="00F20114" w:rsidP="00F20114">
            <w:pPr>
              <w:rPr>
                <w:rFonts w:ascii="Calibri" w:hAnsi="Calibri"/>
                <w:sz w:val="20"/>
                <w:lang w:eastAsia="en-AU"/>
              </w:rPr>
            </w:pPr>
            <w:r w:rsidRPr="00D84D77">
              <w:rPr>
                <w:rFonts w:ascii="Calibri" w:hAnsi="Calibri"/>
                <w:sz w:val="20"/>
                <w:lang w:eastAsia="en-AU"/>
              </w:rPr>
              <w:t>Towong</w:t>
            </w:r>
          </w:p>
        </w:tc>
        <w:tc>
          <w:tcPr>
            <w:tcW w:w="726" w:type="dxa"/>
            <w:tcBorders>
              <w:top w:val="nil"/>
              <w:left w:val="nil"/>
              <w:bottom w:val="single" w:sz="4" w:space="0" w:color="auto"/>
              <w:right w:val="single" w:sz="4" w:space="0" w:color="auto"/>
            </w:tcBorders>
            <w:shd w:val="clear" w:color="000000" w:fill="FDE9D9"/>
            <w:noWrap/>
            <w:vAlign w:val="bottom"/>
            <w:hideMark/>
          </w:tcPr>
          <w:p w14:paraId="0FCD3F1D"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0" w:type="dxa"/>
            <w:tcBorders>
              <w:top w:val="nil"/>
              <w:left w:val="nil"/>
              <w:bottom w:val="single" w:sz="4" w:space="0" w:color="auto"/>
              <w:right w:val="single" w:sz="4" w:space="0" w:color="auto"/>
            </w:tcBorders>
            <w:shd w:val="clear" w:color="000000" w:fill="FDE9D9"/>
            <w:noWrap/>
            <w:vAlign w:val="bottom"/>
            <w:hideMark/>
          </w:tcPr>
          <w:p w14:paraId="4FFAF78D"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92" w:type="dxa"/>
            <w:tcBorders>
              <w:top w:val="nil"/>
              <w:left w:val="nil"/>
              <w:bottom w:val="single" w:sz="4" w:space="0" w:color="auto"/>
              <w:right w:val="single" w:sz="4" w:space="0" w:color="auto"/>
            </w:tcBorders>
            <w:shd w:val="clear" w:color="000000" w:fill="FDE9D9"/>
            <w:noWrap/>
            <w:vAlign w:val="bottom"/>
          </w:tcPr>
          <w:p w14:paraId="69F7C904" w14:textId="7880EA8E"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61E794C3"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FDE9D9"/>
            <w:noWrap/>
            <w:vAlign w:val="bottom"/>
            <w:hideMark/>
          </w:tcPr>
          <w:p w14:paraId="0C42F5C7"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7FDB8D35"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0.5%</w:t>
            </w:r>
          </w:p>
        </w:tc>
        <w:tc>
          <w:tcPr>
            <w:tcW w:w="841" w:type="dxa"/>
            <w:tcBorders>
              <w:top w:val="nil"/>
              <w:left w:val="nil"/>
              <w:bottom w:val="single" w:sz="4" w:space="0" w:color="auto"/>
              <w:right w:val="single" w:sz="4" w:space="0" w:color="auto"/>
            </w:tcBorders>
            <w:shd w:val="clear" w:color="000000" w:fill="DAEEF3"/>
            <w:noWrap/>
            <w:vAlign w:val="bottom"/>
            <w:hideMark/>
          </w:tcPr>
          <w:p w14:paraId="24C53A1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0.2%</w:t>
            </w:r>
          </w:p>
        </w:tc>
        <w:tc>
          <w:tcPr>
            <w:tcW w:w="770" w:type="dxa"/>
            <w:tcBorders>
              <w:top w:val="nil"/>
              <w:left w:val="nil"/>
              <w:bottom w:val="single" w:sz="4" w:space="0" w:color="auto"/>
              <w:right w:val="single" w:sz="4" w:space="0" w:color="auto"/>
            </w:tcBorders>
            <w:shd w:val="clear" w:color="000000" w:fill="DAEEF3"/>
            <w:noWrap/>
            <w:vAlign w:val="bottom"/>
            <w:hideMark/>
          </w:tcPr>
          <w:p w14:paraId="3D53612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0.6%</w:t>
            </w:r>
          </w:p>
        </w:tc>
        <w:tc>
          <w:tcPr>
            <w:tcW w:w="841" w:type="dxa"/>
            <w:tcBorders>
              <w:top w:val="nil"/>
              <w:left w:val="nil"/>
              <w:bottom w:val="single" w:sz="4" w:space="0" w:color="auto"/>
              <w:right w:val="single" w:sz="8" w:space="0" w:color="auto"/>
            </w:tcBorders>
            <w:shd w:val="clear" w:color="000000" w:fill="DAEEF3"/>
            <w:noWrap/>
            <w:vAlign w:val="bottom"/>
            <w:hideMark/>
          </w:tcPr>
          <w:p w14:paraId="42C2B6E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0.2%</w:t>
            </w:r>
          </w:p>
        </w:tc>
      </w:tr>
      <w:tr w:rsidR="00F20114" w:rsidRPr="00D84D77" w14:paraId="4D828E00"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63D0DF56" w14:textId="77777777" w:rsidR="00F20114" w:rsidRPr="00D84D77" w:rsidRDefault="00F20114" w:rsidP="00F20114">
            <w:pPr>
              <w:rPr>
                <w:rFonts w:ascii="Calibri" w:hAnsi="Calibri"/>
                <w:sz w:val="20"/>
                <w:lang w:eastAsia="en-AU"/>
              </w:rPr>
            </w:pPr>
            <w:r w:rsidRPr="00D84D77">
              <w:rPr>
                <w:rFonts w:ascii="Calibri" w:hAnsi="Calibri"/>
                <w:sz w:val="20"/>
                <w:lang w:eastAsia="en-AU"/>
              </w:rPr>
              <w:t>Wangaratta</w:t>
            </w:r>
          </w:p>
        </w:tc>
        <w:tc>
          <w:tcPr>
            <w:tcW w:w="726" w:type="dxa"/>
            <w:tcBorders>
              <w:top w:val="nil"/>
              <w:left w:val="nil"/>
              <w:bottom w:val="single" w:sz="4" w:space="0" w:color="auto"/>
              <w:right w:val="single" w:sz="4" w:space="0" w:color="auto"/>
            </w:tcBorders>
            <w:shd w:val="clear" w:color="000000" w:fill="FDE9D9"/>
            <w:noWrap/>
            <w:vAlign w:val="bottom"/>
            <w:hideMark/>
          </w:tcPr>
          <w:p w14:paraId="5F14CEC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1.3%</w:t>
            </w:r>
          </w:p>
        </w:tc>
        <w:tc>
          <w:tcPr>
            <w:tcW w:w="840" w:type="dxa"/>
            <w:tcBorders>
              <w:top w:val="nil"/>
              <w:left w:val="nil"/>
              <w:bottom w:val="single" w:sz="4" w:space="0" w:color="auto"/>
              <w:right w:val="single" w:sz="4" w:space="0" w:color="auto"/>
            </w:tcBorders>
            <w:shd w:val="clear" w:color="000000" w:fill="FDE9D9"/>
            <w:noWrap/>
            <w:vAlign w:val="bottom"/>
            <w:hideMark/>
          </w:tcPr>
          <w:p w14:paraId="3C4D1DF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0.9%</w:t>
            </w:r>
          </w:p>
        </w:tc>
        <w:tc>
          <w:tcPr>
            <w:tcW w:w="892" w:type="dxa"/>
            <w:tcBorders>
              <w:top w:val="nil"/>
              <w:left w:val="nil"/>
              <w:bottom w:val="single" w:sz="4" w:space="0" w:color="auto"/>
              <w:right w:val="single" w:sz="4" w:space="0" w:color="auto"/>
            </w:tcBorders>
            <w:shd w:val="clear" w:color="000000" w:fill="FDE9D9"/>
            <w:noWrap/>
            <w:vAlign w:val="bottom"/>
          </w:tcPr>
          <w:p w14:paraId="7582F0EE" w14:textId="04B3406D"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3B61CBC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1.5%</w:t>
            </w:r>
          </w:p>
        </w:tc>
        <w:tc>
          <w:tcPr>
            <w:tcW w:w="841" w:type="dxa"/>
            <w:tcBorders>
              <w:top w:val="nil"/>
              <w:left w:val="nil"/>
              <w:bottom w:val="single" w:sz="4" w:space="0" w:color="auto"/>
              <w:right w:val="single" w:sz="8" w:space="0" w:color="auto"/>
            </w:tcBorders>
            <w:shd w:val="clear" w:color="000000" w:fill="FDE9D9"/>
            <w:noWrap/>
            <w:vAlign w:val="bottom"/>
            <w:hideMark/>
          </w:tcPr>
          <w:p w14:paraId="31D2772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1.0%</w:t>
            </w:r>
          </w:p>
        </w:tc>
        <w:tc>
          <w:tcPr>
            <w:tcW w:w="770" w:type="dxa"/>
            <w:tcBorders>
              <w:top w:val="nil"/>
              <w:left w:val="nil"/>
              <w:bottom w:val="single" w:sz="4" w:space="0" w:color="auto"/>
              <w:right w:val="single" w:sz="4" w:space="0" w:color="auto"/>
            </w:tcBorders>
            <w:shd w:val="clear" w:color="000000" w:fill="DAEEF3"/>
            <w:noWrap/>
            <w:vAlign w:val="bottom"/>
            <w:hideMark/>
          </w:tcPr>
          <w:p w14:paraId="72326E1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0.3%</w:t>
            </w:r>
          </w:p>
        </w:tc>
        <w:tc>
          <w:tcPr>
            <w:tcW w:w="841" w:type="dxa"/>
            <w:tcBorders>
              <w:top w:val="nil"/>
              <w:left w:val="nil"/>
              <w:bottom w:val="single" w:sz="4" w:space="0" w:color="auto"/>
              <w:right w:val="single" w:sz="4" w:space="0" w:color="auto"/>
            </w:tcBorders>
            <w:shd w:val="clear" w:color="000000" w:fill="DAEEF3"/>
            <w:noWrap/>
            <w:vAlign w:val="bottom"/>
            <w:hideMark/>
          </w:tcPr>
          <w:p w14:paraId="13B6F89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0.2%</w:t>
            </w:r>
          </w:p>
        </w:tc>
        <w:tc>
          <w:tcPr>
            <w:tcW w:w="770" w:type="dxa"/>
            <w:tcBorders>
              <w:top w:val="nil"/>
              <w:left w:val="nil"/>
              <w:bottom w:val="single" w:sz="4" w:space="0" w:color="auto"/>
              <w:right w:val="single" w:sz="4" w:space="0" w:color="auto"/>
            </w:tcBorders>
            <w:shd w:val="clear" w:color="000000" w:fill="DAEEF3"/>
            <w:noWrap/>
            <w:vAlign w:val="bottom"/>
            <w:hideMark/>
          </w:tcPr>
          <w:p w14:paraId="6D6ACF2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0.3%</w:t>
            </w:r>
          </w:p>
        </w:tc>
        <w:tc>
          <w:tcPr>
            <w:tcW w:w="841" w:type="dxa"/>
            <w:tcBorders>
              <w:top w:val="nil"/>
              <w:left w:val="nil"/>
              <w:bottom w:val="single" w:sz="4" w:space="0" w:color="auto"/>
              <w:right w:val="single" w:sz="8" w:space="0" w:color="auto"/>
            </w:tcBorders>
            <w:shd w:val="clear" w:color="000000" w:fill="DAEEF3"/>
            <w:noWrap/>
            <w:vAlign w:val="bottom"/>
            <w:hideMark/>
          </w:tcPr>
          <w:p w14:paraId="359919E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0.2%</w:t>
            </w:r>
          </w:p>
        </w:tc>
      </w:tr>
      <w:tr w:rsidR="00F20114" w:rsidRPr="00D84D77" w14:paraId="4DD175BD"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248E77DC" w14:textId="77777777" w:rsidR="00F20114" w:rsidRPr="00D84D77" w:rsidRDefault="00F20114" w:rsidP="00F20114">
            <w:pPr>
              <w:rPr>
                <w:rFonts w:ascii="Calibri" w:hAnsi="Calibri"/>
                <w:sz w:val="20"/>
                <w:lang w:eastAsia="en-AU"/>
              </w:rPr>
            </w:pPr>
            <w:r w:rsidRPr="00D84D77">
              <w:rPr>
                <w:rFonts w:ascii="Calibri" w:hAnsi="Calibri"/>
                <w:sz w:val="20"/>
                <w:lang w:eastAsia="en-AU"/>
              </w:rPr>
              <w:t>Warrnambool</w:t>
            </w:r>
          </w:p>
        </w:tc>
        <w:tc>
          <w:tcPr>
            <w:tcW w:w="726" w:type="dxa"/>
            <w:tcBorders>
              <w:top w:val="nil"/>
              <w:left w:val="nil"/>
              <w:bottom w:val="single" w:sz="4" w:space="0" w:color="auto"/>
              <w:right w:val="single" w:sz="4" w:space="0" w:color="auto"/>
            </w:tcBorders>
            <w:shd w:val="clear" w:color="000000" w:fill="FDE9D9"/>
            <w:noWrap/>
            <w:vAlign w:val="bottom"/>
            <w:hideMark/>
          </w:tcPr>
          <w:p w14:paraId="0898EEF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3.3%</w:t>
            </w:r>
          </w:p>
        </w:tc>
        <w:tc>
          <w:tcPr>
            <w:tcW w:w="840" w:type="dxa"/>
            <w:tcBorders>
              <w:top w:val="nil"/>
              <w:left w:val="nil"/>
              <w:bottom w:val="single" w:sz="4" w:space="0" w:color="auto"/>
              <w:right w:val="single" w:sz="4" w:space="0" w:color="auto"/>
            </w:tcBorders>
            <w:shd w:val="clear" w:color="000000" w:fill="FDE9D9"/>
            <w:noWrap/>
            <w:vAlign w:val="bottom"/>
            <w:hideMark/>
          </w:tcPr>
          <w:p w14:paraId="6E1359F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2.5%</w:t>
            </w:r>
          </w:p>
        </w:tc>
        <w:tc>
          <w:tcPr>
            <w:tcW w:w="892" w:type="dxa"/>
            <w:tcBorders>
              <w:top w:val="nil"/>
              <w:left w:val="nil"/>
              <w:bottom w:val="single" w:sz="4" w:space="0" w:color="auto"/>
              <w:right w:val="single" w:sz="4" w:space="0" w:color="auto"/>
            </w:tcBorders>
            <w:shd w:val="clear" w:color="000000" w:fill="FDE9D9"/>
            <w:noWrap/>
            <w:vAlign w:val="bottom"/>
          </w:tcPr>
          <w:p w14:paraId="776FE87E" w14:textId="6BBB4C38"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1B3722C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3.9%</w:t>
            </w:r>
          </w:p>
        </w:tc>
        <w:tc>
          <w:tcPr>
            <w:tcW w:w="841" w:type="dxa"/>
            <w:tcBorders>
              <w:top w:val="nil"/>
              <w:left w:val="nil"/>
              <w:bottom w:val="single" w:sz="4" w:space="0" w:color="auto"/>
              <w:right w:val="single" w:sz="8" w:space="0" w:color="auto"/>
            </w:tcBorders>
            <w:shd w:val="clear" w:color="000000" w:fill="FDE9D9"/>
            <w:noWrap/>
            <w:vAlign w:val="bottom"/>
            <w:hideMark/>
          </w:tcPr>
          <w:p w14:paraId="2D3E39FC"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2.8%</w:t>
            </w:r>
          </w:p>
        </w:tc>
        <w:tc>
          <w:tcPr>
            <w:tcW w:w="770" w:type="dxa"/>
            <w:tcBorders>
              <w:top w:val="nil"/>
              <w:left w:val="nil"/>
              <w:bottom w:val="single" w:sz="4" w:space="0" w:color="auto"/>
              <w:right w:val="single" w:sz="4" w:space="0" w:color="auto"/>
            </w:tcBorders>
            <w:shd w:val="clear" w:color="000000" w:fill="DAEEF3"/>
            <w:noWrap/>
            <w:vAlign w:val="bottom"/>
            <w:hideMark/>
          </w:tcPr>
          <w:p w14:paraId="47433E88"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4.0%</w:t>
            </w:r>
          </w:p>
        </w:tc>
        <w:tc>
          <w:tcPr>
            <w:tcW w:w="841" w:type="dxa"/>
            <w:tcBorders>
              <w:top w:val="nil"/>
              <w:left w:val="nil"/>
              <w:bottom w:val="single" w:sz="4" w:space="0" w:color="auto"/>
              <w:right w:val="single" w:sz="4" w:space="0" w:color="auto"/>
            </w:tcBorders>
            <w:shd w:val="clear" w:color="000000" w:fill="DAEEF3"/>
            <w:noWrap/>
            <w:vAlign w:val="bottom"/>
            <w:hideMark/>
          </w:tcPr>
          <w:p w14:paraId="79C2B3E8"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3.0%</w:t>
            </w:r>
          </w:p>
        </w:tc>
        <w:tc>
          <w:tcPr>
            <w:tcW w:w="770" w:type="dxa"/>
            <w:tcBorders>
              <w:top w:val="nil"/>
              <w:left w:val="nil"/>
              <w:bottom w:val="single" w:sz="4" w:space="0" w:color="auto"/>
              <w:right w:val="single" w:sz="4" w:space="0" w:color="auto"/>
            </w:tcBorders>
            <w:shd w:val="clear" w:color="000000" w:fill="DAEEF3"/>
            <w:noWrap/>
            <w:vAlign w:val="bottom"/>
            <w:hideMark/>
          </w:tcPr>
          <w:p w14:paraId="3D7CB69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4.7%</w:t>
            </w:r>
          </w:p>
        </w:tc>
        <w:tc>
          <w:tcPr>
            <w:tcW w:w="841" w:type="dxa"/>
            <w:tcBorders>
              <w:top w:val="nil"/>
              <w:left w:val="nil"/>
              <w:bottom w:val="single" w:sz="4" w:space="0" w:color="auto"/>
              <w:right w:val="single" w:sz="8" w:space="0" w:color="auto"/>
            </w:tcBorders>
            <w:shd w:val="clear" w:color="000000" w:fill="DAEEF3"/>
            <w:noWrap/>
            <w:vAlign w:val="bottom"/>
            <w:hideMark/>
          </w:tcPr>
          <w:p w14:paraId="747529CC"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3.4%</w:t>
            </w:r>
          </w:p>
        </w:tc>
      </w:tr>
      <w:tr w:rsidR="00F20114" w:rsidRPr="00D84D77" w14:paraId="33005928"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779EAC72" w14:textId="77777777" w:rsidR="00F20114" w:rsidRPr="00D84D77" w:rsidRDefault="00F20114" w:rsidP="00F20114">
            <w:pPr>
              <w:rPr>
                <w:rFonts w:ascii="Calibri" w:hAnsi="Calibri"/>
                <w:sz w:val="20"/>
                <w:lang w:eastAsia="en-AU"/>
              </w:rPr>
            </w:pPr>
            <w:r w:rsidRPr="00D84D77">
              <w:rPr>
                <w:rFonts w:ascii="Calibri" w:hAnsi="Calibri"/>
                <w:sz w:val="20"/>
                <w:lang w:eastAsia="en-AU"/>
              </w:rPr>
              <w:t>Wellington</w:t>
            </w:r>
          </w:p>
        </w:tc>
        <w:tc>
          <w:tcPr>
            <w:tcW w:w="726" w:type="dxa"/>
            <w:tcBorders>
              <w:top w:val="nil"/>
              <w:left w:val="nil"/>
              <w:bottom w:val="single" w:sz="4" w:space="0" w:color="auto"/>
              <w:right w:val="single" w:sz="4" w:space="0" w:color="auto"/>
            </w:tcBorders>
            <w:shd w:val="clear" w:color="000000" w:fill="FDE9D9"/>
            <w:noWrap/>
            <w:vAlign w:val="bottom"/>
            <w:hideMark/>
          </w:tcPr>
          <w:p w14:paraId="1D4A9AFC"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23.8%</w:t>
            </w:r>
          </w:p>
        </w:tc>
        <w:tc>
          <w:tcPr>
            <w:tcW w:w="840" w:type="dxa"/>
            <w:tcBorders>
              <w:top w:val="nil"/>
              <w:left w:val="nil"/>
              <w:bottom w:val="single" w:sz="4" w:space="0" w:color="auto"/>
              <w:right w:val="single" w:sz="4" w:space="0" w:color="auto"/>
            </w:tcBorders>
            <w:shd w:val="clear" w:color="000000" w:fill="FDE9D9"/>
            <w:noWrap/>
            <w:vAlign w:val="bottom"/>
            <w:hideMark/>
          </w:tcPr>
          <w:p w14:paraId="52287BE7"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16.3%</w:t>
            </w:r>
          </w:p>
        </w:tc>
        <w:tc>
          <w:tcPr>
            <w:tcW w:w="892" w:type="dxa"/>
            <w:tcBorders>
              <w:top w:val="nil"/>
              <w:left w:val="nil"/>
              <w:bottom w:val="single" w:sz="4" w:space="0" w:color="auto"/>
              <w:right w:val="single" w:sz="4" w:space="0" w:color="auto"/>
            </w:tcBorders>
            <w:shd w:val="clear" w:color="000000" w:fill="FDE9D9"/>
            <w:noWrap/>
            <w:vAlign w:val="bottom"/>
          </w:tcPr>
          <w:p w14:paraId="76263C42" w14:textId="0B67EA25"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33E2AD08"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26.7%</w:t>
            </w:r>
          </w:p>
        </w:tc>
        <w:tc>
          <w:tcPr>
            <w:tcW w:w="841" w:type="dxa"/>
            <w:tcBorders>
              <w:top w:val="nil"/>
              <w:left w:val="nil"/>
              <w:bottom w:val="single" w:sz="4" w:space="0" w:color="auto"/>
              <w:right w:val="single" w:sz="8" w:space="0" w:color="auto"/>
            </w:tcBorders>
            <w:shd w:val="clear" w:color="000000" w:fill="FDE9D9"/>
            <w:noWrap/>
            <w:vAlign w:val="bottom"/>
            <w:hideMark/>
          </w:tcPr>
          <w:p w14:paraId="1A14EBE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17.6%</w:t>
            </w:r>
          </w:p>
        </w:tc>
        <w:tc>
          <w:tcPr>
            <w:tcW w:w="770" w:type="dxa"/>
            <w:tcBorders>
              <w:top w:val="nil"/>
              <w:left w:val="nil"/>
              <w:bottom w:val="single" w:sz="4" w:space="0" w:color="auto"/>
              <w:right w:val="single" w:sz="4" w:space="0" w:color="auto"/>
            </w:tcBorders>
            <w:shd w:val="clear" w:color="000000" w:fill="DAEEF3"/>
            <w:noWrap/>
            <w:vAlign w:val="bottom"/>
            <w:hideMark/>
          </w:tcPr>
          <w:p w14:paraId="2FAA5775"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11.9%</w:t>
            </w:r>
          </w:p>
        </w:tc>
        <w:tc>
          <w:tcPr>
            <w:tcW w:w="841" w:type="dxa"/>
            <w:tcBorders>
              <w:top w:val="nil"/>
              <w:left w:val="nil"/>
              <w:bottom w:val="single" w:sz="4" w:space="0" w:color="auto"/>
              <w:right w:val="single" w:sz="4" w:space="0" w:color="auto"/>
            </w:tcBorders>
            <w:shd w:val="clear" w:color="000000" w:fill="DAEEF3"/>
            <w:noWrap/>
            <w:vAlign w:val="bottom"/>
            <w:hideMark/>
          </w:tcPr>
          <w:p w14:paraId="34E9DDE0"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8.1%</w:t>
            </w:r>
          </w:p>
        </w:tc>
        <w:tc>
          <w:tcPr>
            <w:tcW w:w="770" w:type="dxa"/>
            <w:tcBorders>
              <w:top w:val="nil"/>
              <w:left w:val="nil"/>
              <w:bottom w:val="single" w:sz="4" w:space="0" w:color="auto"/>
              <w:right w:val="single" w:sz="4" w:space="0" w:color="auto"/>
            </w:tcBorders>
            <w:shd w:val="clear" w:color="000000" w:fill="DAEEF3"/>
            <w:noWrap/>
            <w:vAlign w:val="bottom"/>
            <w:hideMark/>
          </w:tcPr>
          <w:p w14:paraId="0AF1A0F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13.3%</w:t>
            </w:r>
          </w:p>
        </w:tc>
        <w:tc>
          <w:tcPr>
            <w:tcW w:w="841" w:type="dxa"/>
            <w:tcBorders>
              <w:top w:val="nil"/>
              <w:left w:val="nil"/>
              <w:bottom w:val="single" w:sz="4" w:space="0" w:color="auto"/>
              <w:right w:val="single" w:sz="8" w:space="0" w:color="auto"/>
            </w:tcBorders>
            <w:shd w:val="clear" w:color="000000" w:fill="DAEEF3"/>
            <w:noWrap/>
            <w:vAlign w:val="bottom"/>
            <w:hideMark/>
          </w:tcPr>
          <w:p w14:paraId="72B8B4E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8.8%</w:t>
            </w:r>
          </w:p>
        </w:tc>
      </w:tr>
      <w:tr w:rsidR="00F20114" w:rsidRPr="00D84D77" w14:paraId="7C912150"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2F693491" w14:textId="77777777" w:rsidR="00F20114" w:rsidRPr="00D84D77" w:rsidRDefault="00F20114" w:rsidP="00F20114">
            <w:pPr>
              <w:rPr>
                <w:rFonts w:ascii="Calibri" w:hAnsi="Calibri"/>
                <w:sz w:val="20"/>
                <w:lang w:eastAsia="en-AU"/>
              </w:rPr>
            </w:pPr>
            <w:r w:rsidRPr="00D84D77">
              <w:rPr>
                <w:rFonts w:ascii="Calibri" w:hAnsi="Calibri"/>
                <w:sz w:val="20"/>
                <w:lang w:eastAsia="en-AU"/>
              </w:rPr>
              <w:t>West Wimmera</w:t>
            </w:r>
          </w:p>
        </w:tc>
        <w:tc>
          <w:tcPr>
            <w:tcW w:w="726" w:type="dxa"/>
            <w:tcBorders>
              <w:top w:val="nil"/>
              <w:left w:val="nil"/>
              <w:bottom w:val="single" w:sz="4" w:space="0" w:color="auto"/>
              <w:right w:val="single" w:sz="4" w:space="0" w:color="auto"/>
            </w:tcBorders>
            <w:shd w:val="clear" w:color="000000" w:fill="FDE9D9"/>
            <w:noWrap/>
            <w:vAlign w:val="bottom"/>
            <w:hideMark/>
          </w:tcPr>
          <w:p w14:paraId="72125AC4"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0" w:type="dxa"/>
            <w:tcBorders>
              <w:top w:val="nil"/>
              <w:left w:val="nil"/>
              <w:bottom w:val="single" w:sz="4" w:space="0" w:color="auto"/>
              <w:right w:val="single" w:sz="4" w:space="0" w:color="auto"/>
            </w:tcBorders>
            <w:shd w:val="clear" w:color="000000" w:fill="FDE9D9"/>
            <w:noWrap/>
            <w:vAlign w:val="bottom"/>
            <w:hideMark/>
          </w:tcPr>
          <w:p w14:paraId="453104F8"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92" w:type="dxa"/>
            <w:tcBorders>
              <w:top w:val="nil"/>
              <w:left w:val="nil"/>
              <w:bottom w:val="single" w:sz="4" w:space="0" w:color="auto"/>
              <w:right w:val="single" w:sz="4" w:space="0" w:color="auto"/>
            </w:tcBorders>
            <w:shd w:val="clear" w:color="000000" w:fill="FDE9D9"/>
            <w:noWrap/>
            <w:vAlign w:val="bottom"/>
          </w:tcPr>
          <w:p w14:paraId="04986A00" w14:textId="2C8E5333"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6627358C"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FDE9D9"/>
            <w:noWrap/>
            <w:vAlign w:val="bottom"/>
            <w:hideMark/>
          </w:tcPr>
          <w:p w14:paraId="093E3ADE"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3365058E"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4" w:space="0" w:color="auto"/>
            </w:tcBorders>
            <w:shd w:val="clear" w:color="000000" w:fill="DAEEF3"/>
            <w:noWrap/>
            <w:vAlign w:val="bottom"/>
            <w:hideMark/>
          </w:tcPr>
          <w:p w14:paraId="4592E730"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2FBBE4AB"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DAEEF3"/>
            <w:noWrap/>
            <w:vAlign w:val="bottom"/>
            <w:hideMark/>
          </w:tcPr>
          <w:p w14:paraId="564051DB"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r>
      <w:tr w:rsidR="00F20114" w:rsidRPr="00D84D77" w14:paraId="1D82E553"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66B7E356" w14:textId="77777777" w:rsidR="00F20114" w:rsidRPr="00D84D77" w:rsidRDefault="00F20114" w:rsidP="00F20114">
            <w:pPr>
              <w:rPr>
                <w:rFonts w:ascii="Calibri" w:hAnsi="Calibri"/>
                <w:sz w:val="20"/>
                <w:lang w:eastAsia="en-AU"/>
              </w:rPr>
            </w:pPr>
            <w:r w:rsidRPr="00D84D77">
              <w:rPr>
                <w:rFonts w:ascii="Calibri" w:hAnsi="Calibri"/>
                <w:sz w:val="20"/>
                <w:lang w:eastAsia="en-AU"/>
              </w:rPr>
              <w:t>Whitehorse</w:t>
            </w:r>
          </w:p>
        </w:tc>
        <w:tc>
          <w:tcPr>
            <w:tcW w:w="726" w:type="dxa"/>
            <w:tcBorders>
              <w:top w:val="nil"/>
              <w:left w:val="nil"/>
              <w:bottom w:val="single" w:sz="4" w:space="0" w:color="auto"/>
              <w:right w:val="single" w:sz="4" w:space="0" w:color="auto"/>
            </w:tcBorders>
            <w:shd w:val="clear" w:color="000000" w:fill="FDE9D9"/>
            <w:noWrap/>
            <w:vAlign w:val="bottom"/>
            <w:hideMark/>
          </w:tcPr>
          <w:p w14:paraId="37993C06"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0" w:type="dxa"/>
            <w:tcBorders>
              <w:top w:val="nil"/>
              <w:left w:val="nil"/>
              <w:bottom w:val="single" w:sz="4" w:space="0" w:color="auto"/>
              <w:right w:val="single" w:sz="4" w:space="0" w:color="auto"/>
            </w:tcBorders>
            <w:shd w:val="clear" w:color="000000" w:fill="FDE9D9"/>
            <w:noWrap/>
            <w:vAlign w:val="bottom"/>
            <w:hideMark/>
          </w:tcPr>
          <w:p w14:paraId="0CA08D98"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92" w:type="dxa"/>
            <w:tcBorders>
              <w:top w:val="nil"/>
              <w:left w:val="nil"/>
              <w:bottom w:val="single" w:sz="4" w:space="0" w:color="auto"/>
              <w:right w:val="single" w:sz="4" w:space="0" w:color="auto"/>
            </w:tcBorders>
            <w:shd w:val="clear" w:color="000000" w:fill="FDE9D9"/>
            <w:noWrap/>
            <w:vAlign w:val="bottom"/>
          </w:tcPr>
          <w:p w14:paraId="0664CAC7" w14:textId="6B1AA97C"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63C3DD80"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FDE9D9"/>
            <w:noWrap/>
            <w:vAlign w:val="bottom"/>
            <w:hideMark/>
          </w:tcPr>
          <w:p w14:paraId="6C1573F4"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0E0E4C88"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4" w:space="0" w:color="auto"/>
            </w:tcBorders>
            <w:shd w:val="clear" w:color="000000" w:fill="DAEEF3"/>
            <w:noWrap/>
            <w:vAlign w:val="bottom"/>
            <w:hideMark/>
          </w:tcPr>
          <w:p w14:paraId="559ABEAB"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2C9187FB"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DAEEF3"/>
            <w:noWrap/>
            <w:vAlign w:val="bottom"/>
            <w:hideMark/>
          </w:tcPr>
          <w:p w14:paraId="661A6433"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r>
      <w:tr w:rsidR="00F20114" w:rsidRPr="00D84D77" w14:paraId="4C31D227"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41A4711A" w14:textId="77777777" w:rsidR="00F20114" w:rsidRPr="00D84D77" w:rsidRDefault="00F20114" w:rsidP="00F20114">
            <w:pPr>
              <w:rPr>
                <w:rFonts w:ascii="Calibri" w:hAnsi="Calibri"/>
                <w:sz w:val="20"/>
                <w:lang w:eastAsia="en-AU"/>
              </w:rPr>
            </w:pPr>
            <w:r w:rsidRPr="00D84D77">
              <w:rPr>
                <w:rFonts w:ascii="Calibri" w:hAnsi="Calibri"/>
                <w:sz w:val="20"/>
                <w:lang w:eastAsia="en-AU"/>
              </w:rPr>
              <w:t>Whittlesea</w:t>
            </w:r>
          </w:p>
        </w:tc>
        <w:tc>
          <w:tcPr>
            <w:tcW w:w="726" w:type="dxa"/>
            <w:tcBorders>
              <w:top w:val="nil"/>
              <w:left w:val="nil"/>
              <w:bottom w:val="single" w:sz="4" w:space="0" w:color="auto"/>
              <w:right w:val="single" w:sz="4" w:space="0" w:color="auto"/>
            </w:tcBorders>
            <w:shd w:val="clear" w:color="000000" w:fill="FDE9D9"/>
            <w:noWrap/>
            <w:vAlign w:val="bottom"/>
            <w:hideMark/>
          </w:tcPr>
          <w:p w14:paraId="5C93C50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5.7%</w:t>
            </w:r>
          </w:p>
        </w:tc>
        <w:tc>
          <w:tcPr>
            <w:tcW w:w="840" w:type="dxa"/>
            <w:tcBorders>
              <w:top w:val="nil"/>
              <w:left w:val="nil"/>
              <w:bottom w:val="single" w:sz="4" w:space="0" w:color="auto"/>
              <w:right w:val="single" w:sz="4" w:space="0" w:color="auto"/>
            </w:tcBorders>
            <w:shd w:val="clear" w:color="000000" w:fill="FDE9D9"/>
            <w:noWrap/>
            <w:vAlign w:val="bottom"/>
            <w:hideMark/>
          </w:tcPr>
          <w:p w14:paraId="2BFA0ABD"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3.0%</w:t>
            </w:r>
          </w:p>
        </w:tc>
        <w:tc>
          <w:tcPr>
            <w:tcW w:w="892" w:type="dxa"/>
            <w:tcBorders>
              <w:top w:val="nil"/>
              <w:left w:val="nil"/>
              <w:bottom w:val="single" w:sz="4" w:space="0" w:color="auto"/>
              <w:right w:val="single" w:sz="4" w:space="0" w:color="auto"/>
            </w:tcBorders>
            <w:shd w:val="clear" w:color="000000" w:fill="FDE9D9"/>
            <w:noWrap/>
            <w:vAlign w:val="bottom"/>
          </w:tcPr>
          <w:p w14:paraId="327AB7CC" w14:textId="78E4F1B4"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28E9DD5C"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6.0%</w:t>
            </w:r>
          </w:p>
        </w:tc>
        <w:tc>
          <w:tcPr>
            <w:tcW w:w="841" w:type="dxa"/>
            <w:tcBorders>
              <w:top w:val="nil"/>
              <w:left w:val="nil"/>
              <w:bottom w:val="single" w:sz="4" w:space="0" w:color="auto"/>
              <w:right w:val="single" w:sz="8" w:space="0" w:color="auto"/>
            </w:tcBorders>
            <w:shd w:val="clear" w:color="000000" w:fill="FDE9D9"/>
            <w:noWrap/>
            <w:vAlign w:val="bottom"/>
            <w:hideMark/>
          </w:tcPr>
          <w:p w14:paraId="2EDDDA8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3.0%</w:t>
            </w:r>
          </w:p>
        </w:tc>
        <w:tc>
          <w:tcPr>
            <w:tcW w:w="770" w:type="dxa"/>
            <w:tcBorders>
              <w:top w:val="nil"/>
              <w:left w:val="nil"/>
              <w:bottom w:val="single" w:sz="4" w:space="0" w:color="auto"/>
              <w:right w:val="single" w:sz="4" w:space="0" w:color="auto"/>
            </w:tcBorders>
            <w:shd w:val="clear" w:color="000000" w:fill="DAEEF3"/>
            <w:noWrap/>
            <w:vAlign w:val="bottom"/>
            <w:hideMark/>
          </w:tcPr>
          <w:p w14:paraId="101456AA"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5.7%</w:t>
            </w:r>
          </w:p>
        </w:tc>
        <w:tc>
          <w:tcPr>
            <w:tcW w:w="841" w:type="dxa"/>
            <w:tcBorders>
              <w:top w:val="nil"/>
              <w:left w:val="nil"/>
              <w:bottom w:val="single" w:sz="4" w:space="0" w:color="auto"/>
              <w:right w:val="single" w:sz="4" w:space="0" w:color="auto"/>
            </w:tcBorders>
            <w:shd w:val="clear" w:color="000000" w:fill="DAEEF3"/>
            <w:noWrap/>
            <w:vAlign w:val="bottom"/>
            <w:hideMark/>
          </w:tcPr>
          <w:p w14:paraId="774D7C6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3.0%</w:t>
            </w:r>
          </w:p>
        </w:tc>
        <w:tc>
          <w:tcPr>
            <w:tcW w:w="770" w:type="dxa"/>
            <w:tcBorders>
              <w:top w:val="nil"/>
              <w:left w:val="nil"/>
              <w:bottom w:val="single" w:sz="4" w:space="0" w:color="auto"/>
              <w:right w:val="single" w:sz="4" w:space="0" w:color="auto"/>
            </w:tcBorders>
            <w:shd w:val="clear" w:color="000000" w:fill="DAEEF3"/>
            <w:noWrap/>
            <w:vAlign w:val="bottom"/>
            <w:hideMark/>
          </w:tcPr>
          <w:p w14:paraId="72A9F0DA"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6.0%</w:t>
            </w:r>
          </w:p>
        </w:tc>
        <w:tc>
          <w:tcPr>
            <w:tcW w:w="841" w:type="dxa"/>
            <w:tcBorders>
              <w:top w:val="nil"/>
              <w:left w:val="nil"/>
              <w:bottom w:val="single" w:sz="4" w:space="0" w:color="auto"/>
              <w:right w:val="single" w:sz="8" w:space="0" w:color="auto"/>
            </w:tcBorders>
            <w:shd w:val="clear" w:color="000000" w:fill="DAEEF3"/>
            <w:noWrap/>
            <w:vAlign w:val="bottom"/>
            <w:hideMark/>
          </w:tcPr>
          <w:p w14:paraId="7C89C40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3.0%</w:t>
            </w:r>
          </w:p>
        </w:tc>
      </w:tr>
      <w:tr w:rsidR="00F20114" w:rsidRPr="00D84D77" w14:paraId="3D179999"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2E57F005" w14:textId="77777777" w:rsidR="00F20114" w:rsidRPr="00D84D77" w:rsidRDefault="00F20114" w:rsidP="00F20114">
            <w:pPr>
              <w:rPr>
                <w:rFonts w:ascii="Calibri" w:hAnsi="Calibri"/>
                <w:sz w:val="20"/>
                <w:lang w:eastAsia="en-AU"/>
              </w:rPr>
            </w:pPr>
            <w:r w:rsidRPr="00D84D77">
              <w:rPr>
                <w:rFonts w:ascii="Calibri" w:hAnsi="Calibri"/>
                <w:sz w:val="20"/>
                <w:lang w:eastAsia="en-AU"/>
              </w:rPr>
              <w:t>Wodonga</w:t>
            </w:r>
          </w:p>
        </w:tc>
        <w:tc>
          <w:tcPr>
            <w:tcW w:w="726" w:type="dxa"/>
            <w:tcBorders>
              <w:top w:val="nil"/>
              <w:left w:val="nil"/>
              <w:bottom w:val="single" w:sz="4" w:space="0" w:color="auto"/>
              <w:right w:val="single" w:sz="4" w:space="0" w:color="auto"/>
            </w:tcBorders>
            <w:shd w:val="clear" w:color="000000" w:fill="FDE9D9"/>
            <w:noWrap/>
            <w:vAlign w:val="bottom"/>
            <w:hideMark/>
          </w:tcPr>
          <w:p w14:paraId="7E9FBF16"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6.4%</w:t>
            </w:r>
          </w:p>
        </w:tc>
        <w:tc>
          <w:tcPr>
            <w:tcW w:w="840" w:type="dxa"/>
            <w:tcBorders>
              <w:top w:val="nil"/>
              <w:left w:val="nil"/>
              <w:bottom w:val="single" w:sz="4" w:space="0" w:color="auto"/>
              <w:right w:val="single" w:sz="4" w:space="0" w:color="auto"/>
            </w:tcBorders>
            <w:shd w:val="clear" w:color="000000" w:fill="FDE9D9"/>
            <w:noWrap/>
            <w:vAlign w:val="bottom"/>
            <w:hideMark/>
          </w:tcPr>
          <w:p w14:paraId="5172B5F0"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4.9%</w:t>
            </w:r>
          </w:p>
        </w:tc>
        <w:tc>
          <w:tcPr>
            <w:tcW w:w="892" w:type="dxa"/>
            <w:tcBorders>
              <w:top w:val="nil"/>
              <w:left w:val="nil"/>
              <w:bottom w:val="single" w:sz="4" w:space="0" w:color="auto"/>
              <w:right w:val="single" w:sz="4" w:space="0" w:color="auto"/>
            </w:tcBorders>
            <w:shd w:val="clear" w:color="000000" w:fill="FDE9D9"/>
            <w:noWrap/>
            <w:vAlign w:val="bottom"/>
          </w:tcPr>
          <w:p w14:paraId="38BA9746" w14:textId="021989BE"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694A1F2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8.0%</w:t>
            </w:r>
          </w:p>
        </w:tc>
        <w:tc>
          <w:tcPr>
            <w:tcW w:w="841" w:type="dxa"/>
            <w:tcBorders>
              <w:top w:val="nil"/>
              <w:left w:val="nil"/>
              <w:bottom w:val="single" w:sz="4" w:space="0" w:color="auto"/>
              <w:right w:val="single" w:sz="8" w:space="0" w:color="auto"/>
            </w:tcBorders>
            <w:shd w:val="clear" w:color="000000" w:fill="FDE9D9"/>
            <w:noWrap/>
            <w:vAlign w:val="bottom"/>
            <w:hideMark/>
          </w:tcPr>
          <w:p w14:paraId="5B9A53B7"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5.9%</w:t>
            </w:r>
          </w:p>
        </w:tc>
        <w:tc>
          <w:tcPr>
            <w:tcW w:w="770" w:type="dxa"/>
            <w:tcBorders>
              <w:top w:val="nil"/>
              <w:left w:val="nil"/>
              <w:bottom w:val="single" w:sz="4" w:space="0" w:color="auto"/>
              <w:right w:val="single" w:sz="4" w:space="0" w:color="auto"/>
            </w:tcBorders>
            <w:shd w:val="clear" w:color="000000" w:fill="DAEEF3"/>
            <w:noWrap/>
            <w:vAlign w:val="bottom"/>
            <w:hideMark/>
          </w:tcPr>
          <w:p w14:paraId="4A8A7BE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1.6%</w:t>
            </w:r>
          </w:p>
        </w:tc>
        <w:tc>
          <w:tcPr>
            <w:tcW w:w="841" w:type="dxa"/>
            <w:tcBorders>
              <w:top w:val="nil"/>
              <w:left w:val="nil"/>
              <w:bottom w:val="single" w:sz="4" w:space="0" w:color="auto"/>
              <w:right w:val="single" w:sz="4" w:space="0" w:color="auto"/>
            </w:tcBorders>
            <w:shd w:val="clear" w:color="000000" w:fill="DAEEF3"/>
            <w:noWrap/>
            <w:vAlign w:val="bottom"/>
            <w:hideMark/>
          </w:tcPr>
          <w:p w14:paraId="3DC13B3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1.3%</w:t>
            </w:r>
          </w:p>
        </w:tc>
        <w:tc>
          <w:tcPr>
            <w:tcW w:w="770" w:type="dxa"/>
            <w:tcBorders>
              <w:top w:val="nil"/>
              <w:left w:val="nil"/>
              <w:bottom w:val="single" w:sz="4" w:space="0" w:color="auto"/>
              <w:right w:val="single" w:sz="4" w:space="0" w:color="auto"/>
            </w:tcBorders>
            <w:shd w:val="clear" w:color="000000" w:fill="DAEEF3"/>
            <w:noWrap/>
            <w:vAlign w:val="bottom"/>
            <w:hideMark/>
          </w:tcPr>
          <w:p w14:paraId="390A94F0"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2.1%</w:t>
            </w:r>
          </w:p>
        </w:tc>
        <w:tc>
          <w:tcPr>
            <w:tcW w:w="841" w:type="dxa"/>
            <w:tcBorders>
              <w:top w:val="nil"/>
              <w:left w:val="nil"/>
              <w:bottom w:val="single" w:sz="4" w:space="0" w:color="auto"/>
              <w:right w:val="single" w:sz="8" w:space="0" w:color="auto"/>
            </w:tcBorders>
            <w:shd w:val="clear" w:color="000000" w:fill="DAEEF3"/>
            <w:noWrap/>
            <w:vAlign w:val="bottom"/>
            <w:hideMark/>
          </w:tcPr>
          <w:p w14:paraId="660085BD"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1.5%</w:t>
            </w:r>
          </w:p>
        </w:tc>
      </w:tr>
      <w:tr w:rsidR="00F20114" w:rsidRPr="00D84D77" w14:paraId="65EB34B2"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4D6C58AD" w14:textId="77777777" w:rsidR="00F20114" w:rsidRPr="00D84D77" w:rsidRDefault="00F20114" w:rsidP="00F20114">
            <w:pPr>
              <w:rPr>
                <w:rFonts w:ascii="Calibri" w:hAnsi="Calibri"/>
                <w:sz w:val="20"/>
                <w:lang w:eastAsia="en-AU"/>
              </w:rPr>
            </w:pPr>
            <w:r w:rsidRPr="00D84D77">
              <w:rPr>
                <w:rFonts w:ascii="Calibri" w:hAnsi="Calibri"/>
                <w:sz w:val="20"/>
                <w:lang w:eastAsia="en-AU"/>
              </w:rPr>
              <w:t>Wyndham</w:t>
            </w:r>
          </w:p>
        </w:tc>
        <w:tc>
          <w:tcPr>
            <w:tcW w:w="726" w:type="dxa"/>
            <w:tcBorders>
              <w:top w:val="nil"/>
              <w:left w:val="nil"/>
              <w:bottom w:val="single" w:sz="4" w:space="0" w:color="auto"/>
              <w:right w:val="single" w:sz="4" w:space="0" w:color="auto"/>
            </w:tcBorders>
            <w:shd w:val="clear" w:color="000000" w:fill="FDE9D9"/>
            <w:noWrap/>
            <w:vAlign w:val="bottom"/>
            <w:hideMark/>
          </w:tcPr>
          <w:p w14:paraId="5092B35F"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0" w:type="dxa"/>
            <w:tcBorders>
              <w:top w:val="nil"/>
              <w:left w:val="nil"/>
              <w:bottom w:val="single" w:sz="4" w:space="0" w:color="auto"/>
              <w:right w:val="single" w:sz="4" w:space="0" w:color="auto"/>
            </w:tcBorders>
            <w:shd w:val="clear" w:color="000000" w:fill="FDE9D9"/>
            <w:noWrap/>
            <w:vAlign w:val="bottom"/>
            <w:hideMark/>
          </w:tcPr>
          <w:p w14:paraId="26F82B24"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92" w:type="dxa"/>
            <w:tcBorders>
              <w:top w:val="nil"/>
              <w:left w:val="nil"/>
              <w:bottom w:val="single" w:sz="4" w:space="0" w:color="auto"/>
              <w:right w:val="single" w:sz="4" w:space="0" w:color="auto"/>
            </w:tcBorders>
            <w:shd w:val="clear" w:color="000000" w:fill="FDE9D9"/>
            <w:noWrap/>
            <w:vAlign w:val="bottom"/>
          </w:tcPr>
          <w:p w14:paraId="199BBF93" w14:textId="28C60189"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0711266C"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FDE9D9"/>
            <w:noWrap/>
            <w:vAlign w:val="bottom"/>
            <w:hideMark/>
          </w:tcPr>
          <w:p w14:paraId="37FBC3AB"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508E4712"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4" w:space="0" w:color="auto"/>
            </w:tcBorders>
            <w:shd w:val="clear" w:color="000000" w:fill="DAEEF3"/>
            <w:noWrap/>
            <w:vAlign w:val="bottom"/>
            <w:hideMark/>
          </w:tcPr>
          <w:p w14:paraId="7D49501B"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00932275"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DAEEF3"/>
            <w:noWrap/>
            <w:vAlign w:val="bottom"/>
            <w:hideMark/>
          </w:tcPr>
          <w:p w14:paraId="279DA5B7"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r>
      <w:tr w:rsidR="00F20114" w:rsidRPr="00D84D77" w14:paraId="435CFEFB"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0B51867E" w14:textId="77777777" w:rsidR="00F20114" w:rsidRPr="00D84D77" w:rsidRDefault="00F20114" w:rsidP="00F20114">
            <w:pPr>
              <w:rPr>
                <w:rFonts w:ascii="Calibri" w:hAnsi="Calibri"/>
                <w:sz w:val="20"/>
                <w:lang w:eastAsia="en-AU"/>
              </w:rPr>
            </w:pPr>
            <w:r w:rsidRPr="00D84D77">
              <w:rPr>
                <w:rFonts w:ascii="Calibri" w:hAnsi="Calibri"/>
                <w:sz w:val="20"/>
                <w:lang w:eastAsia="en-AU"/>
              </w:rPr>
              <w:t>Yarra</w:t>
            </w:r>
          </w:p>
        </w:tc>
        <w:tc>
          <w:tcPr>
            <w:tcW w:w="726" w:type="dxa"/>
            <w:tcBorders>
              <w:top w:val="nil"/>
              <w:left w:val="nil"/>
              <w:bottom w:val="single" w:sz="4" w:space="0" w:color="auto"/>
              <w:right w:val="single" w:sz="4" w:space="0" w:color="auto"/>
            </w:tcBorders>
            <w:shd w:val="clear" w:color="000000" w:fill="FDE9D9"/>
            <w:noWrap/>
            <w:vAlign w:val="bottom"/>
            <w:hideMark/>
          </w:tcPr>
          <w:p w14:paraId="51A14845"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0" w:type="dxa"/>
            <w:tcBorders>
              <w:top w:val="nil"/>
              <w:left w:val="nil"/>
              <w:bottom w:val="single" w:sz="4" w:space="0" w:color="auto"/>
              <w:right w:val="single" w:sz="4" w:space="0" w:color="auto"/>
            </w:tcBorders>
            <w:shd w:val="clear" w:color="000000" w:fill="FDE9D9"/>
            <w:noWrap/>
            <w:vAlign w:val="bottom"/>
            <w:hideMark/>
          </w:tcPr>
          <w:p w14:paraId="335E5742"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92" w:type="dxa"/>
            <w:tcBorders>
              <w:top w:val="nil"/>
              <w:left w:val="nil"/>
              <w:bottom w:val="single" w:sz="4" w:space="0" w:color="auto"/>
              <w:right w:val="single" w:sz="4" w:space="0" w:color="auto"/>
            </w:tcBorders>
            <w:shd w:val="clear" w:color="000000" w:fill="FDE9D9"/>
            <w:noWrap/>
            <w:vAlign w:val="bottom"/>
          </w:tcPr>
          <w:p w14:paraId="454650CC" w14:textId="4F35B17F"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35968970"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FDE9D9"/>
            <w:noWrap/>
            <w:vAlign w:val="bottom"/>
            <w:hideMark/>
          </w:tcPr>
          <w:p w14:paraId="6B2353AB"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454DB9FC"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4" w:space="0" w:color="auto"/>
            </w:tcBorders>
            <w:shd w:val="clear" w:color="000000" w:fill="DAEEF3"/>
            <w:noWrap/>
            <w:vAlign w:val="bottom"/>
            <w:hideMark/>
          </w:tcPr>
          <w:p w14:paraId="51E4E3EB"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770" w:type="dxa"/>
            <w:tcBorders>
              <w:top w:val="nil"/>
              <w:left w:val="nil"/>
              <w:bottom w:val="single" w:sz="4" w:space="0" w:color="auto"/>
              <w:right w:val="single" w:sz="4" w:space="0" w:color="auto"/>
            </w:tcBorders>
            <w:shd w:val="clear" w:color="000000" w:fill="DAEEF3"/>
            <w:noWrap/>
            <w:vAlign w:val="bottom"/>
            <w:hideMark/>
          </w:tcPr>
          <w:p w14:paraId="55089360"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c>
          <w:tcPr>
            <w:tcW w:w="841" w:type="dxa"/>
            <w:tcBorders>
              <w:top w:val="nil"/>
              <w:left w:val="nil"/>
              <w:bottom w:val="single" w:sz="4" w:space="0" w:color="auto"/>
              <w:right w:val="single" w:sz="8" w:space="0" w:color="auto"/>
            </w:tcBorders>
            <w:shd w:val="clear" w:color="000000" w:fill="DAEEF3"/>
            <w:noWrap/>
            <w:vAlign w:val="bottom"/>
            <w:hideMark/>
          </w:tcPr>
          <w:p w14:paraId="450A9E05" w14:textId="77777777" w:rsidR="00F20114" w:rsidRPr="00D84D77" w:rsidRDefault="00F20114" w:rsidP="00F20114">
            <w:pPr>
              <w:rPr>
                <w:rFonts w:ascii="Calibri" w:hAnsi="Calibri"/>
                <w:color w:val="000000"/>
                <w:sz w:val="20"/>
                <w:lang w:eastAsia="en-AU"/>
              </w:rPr>
            </w:pPr>
            <w:r w:rsidRPr="00D84D77">
              <w:rPr>
                <w:rFonts w:ascii="Calibri" w:hAnsi="Calibri"/>
                <w:color w:val="000000"/>
                <w:sz w:val="20"/>
                <w:lang w:eastAsia="en-AU"/>
              </w:rPr>
              <w:t> </w:t>
            </w:r>
          </w:p>
        </w:tc>
      </w:tr>
      <w:tr w:rsidR="00F20114" w:rsidRPr="00D84D77" w14:paraId="41F0A2C7" w14:textId="77777777" w:rsidTr="005D7661">
        <w:trPr>
          <w:trHeight w:val="255"/>
        </w:trPr>
        <w:tc>
          <w:tcPr>
            <w:tcW w:w="1858" w:type="dxa"/>
            <w:tcBorders>
              <w:top w:val="nil"/>
              <w:left w:val="single" w:sz="8" w:space="0" w:color="auto"/>
              <w:bottom w:val="single" w:sz="4" w:space="0" w:color="auto"/>
              <w:right w:val="single" w:sz="8" w:space="0" w:color="auto"/>
            </w:tcBorders>
            <w:shd w:val="clear" w:color="auto" w:fill="auto"/>
            <w:noWrap/>
            <w:vAlign w:val="bottom"/>
            <w:hideMark/>
          </w:tcPr>
          <w:p w14:paraId="61AEC2DE" w14:textId="77777777" w:rsidR="00F20114" w:rsidRPr="00D84D77" w:rsidRDefault="00F20114" w:rsidP="00F20114">
            <w:pPr>
              <w:rPr>
                <w:rFonts w:ascii="Calibri" w:hAnsi="Calibri"/>
                <w:sz w:val="20"/>
                <w:lang w:eastAsia="en-AU"/>
              </w:rPr>
            </w:pPr>
            <w:r w:rsidRPr="00D84D77">
              <w:rPr>
                <w:rFonts w:ascii="Calibri" w:hAnsi="Calibri"/>
                <w:sz w:val="20"/>
                <w:lang w:eastAsia="en-AU"/>
              </w:rPr>
              <w:t>Yarra Ranges</w:t>
            </w:r>
          </w:p>
        </w:tc>
        <w:tc>
          <w:tcPr>
            <w:tcW w:w="726" w:type="dxa"/>
            <w:tcBorders>
              <w:top w:val="nil"/>
              <w:left w:val="nil"/>
              <w:bottom w:val="single" w:sz="4" w:space="0" w:color="auto"/>
              <w:right w:val="single" w:sz="4" w:space="0" w:color="auto"/>
            </w:tcBorders>
            <w:shd w:val="clear" w:color="000000" w:fill="FDE9D9"/>
            <w:noWrap/>
            <w:vAlign w:val="bottom"/>
            <w:hideMark/>
          </w:tcPr>
          <w:p w14:paraId="087696C5"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1.3%</w:t>
            </w:r>
          </w:p>
        </w:tc>
        <w:tc>
          <w:tcPr>
            <w:tcW w:w="840" w:type="dxa"/>
            <w:tcBorders>
              <w:top w:val="nil"/>
              <w:left w:val="nil"/>
              <w:bottom w:val="single" w:sz="4" w:space="0" w:color="auto"/>
              <w:right w:val="single" w:sz="4" w:space="0" w:color="auto"/>
            </w:tcBorders>
            <w:shd w:val="clear" w:color="000000" w:fill="FDE9D9"/>
            <w:noWrap/>
            <w:vAlign w:val="bottom"/>
            <w:hideMark/>
          </w:tcPr>
          <w:p w14:paraId="4882A80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1.0%</w:t>
            </w:r>
          </w:p>
        </w:tc>
        <w:tc>
          <w:tcPr>
            <w:tcW w:w="892" w:type="dxa"/>
            <w:tcBorders>
              <w:top w:val="nil"/>
              <w:left w:val="nil"/>
              <w:bottom w:val="single" w:sz="4" w:space="0" w:color="auto"/>
              <w:right w:val="single" w:sz="4" w:space="0" w:color="auto"/>
            </w:tcBorders>
            <w:shd w:val="clear" w:color="000000" w:fill="FDE9D9"/>
            <w:noWrap/>
            <w:vAlign w:val="bottom"/>
          </w:tcPr>
          <w:p w14:paraId="57760C88" w14:textId="59E745FA"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4" w:space="0" w:color="auto"/>
              <w:right w:val="single" w:sz="4" w:space="0" w:color="auto"/>
            </w:tcBorders>
            <w:shd w:val="clear" w:color="000000" w:fill="FDE9D9"/>
            <w:noWrap/>
            <w:vAlign w:val="bottom"/>
            <w:hideMark/>
          </w:tcPr>
          <w:p w14:paraId="66CBA960"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1.5%</w:t>
            </w:r>
          </w:p>
        </w:tc>
        <w:tc>
          <w:tcPr>
            <w:tcW w:w="841" w:type="dxa"/>
            <w:tcBorders>
              <w:top w:val="nil"/>
              <w:left w:val="nil"/>
              <w:bottom w:val="single" w:sz="4" w:space="0" w:color="auto"/>
              <w:right w:val="single" w:sz="8" w:space="0" w:color="auto"/>
            </w:tcBorders>
            <w:shd w:val="clear" w:color="000000" w:fill="FDE9D9"/>
            <w:noWrap/>
            <w:vAlign w:val="bottom"/>
            <w:hideMark/>
          </w:tcPr>
          <w:p w14:paraId="2E2DBE43"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1.1%</w:t>
            </w:r>
          </w:p>
        </w:tc>
        <w:tc>
          <w:tcPr>
            <w:tcW w:w="770" w:type="dxa"/>
            <w:tcBorders>
              <w:top w:val="nil"/>
              <w:left w:val="nil"/>
              <w:bottom w:val="single" w:sz="4" w:space="0" w:color="auto"/>
              <w:right w:val="single" w:sz="4" w:space="0" w:color="auto"/>
            </w:tcBorders>
            <w:shd w:val="clear" w:color="000000" w:fill="DAEEF3"/>
            <w:noWrap/>
            <w:vAlign w:val="bottom"/>
            <w:hideMark/>
          </w:tcPr>
          <w:p w14:paraId="2BE8E9E1"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1.3%</w:t>
            </w:r>
          </w:p>
        </w:tc>
        <w:tc>
          <w:tcPr>
            <w:tcW w:w="841" w:type="dxa"/>
            <w:tcBorders>
              <w:top w:val="nil"/>
              <w:left w:val="nil"/>
              <w:bottom w:val="single" w:sz="4" w:space="0" w:color="auto"/>
              <w:right w:val="single" w:sz="4" w:space="0" w:color="auto"/>
            </w:tcBorders>
            <w:shd w:val="clear" w:color="000000" w:fill="DAEEF3"/>
            <w:noWrap/>
            <w:vAlign w:val="bottom"/>
            <w:hideMark/>
          </w:tcPr>
          <w:p w14:paraId="216138E7"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1.0%</w:t>
            </w:r>
          </w:p>
        </w:tc>
        <w:tc>
          <w:tcPr>
            <w:tcW w:w="770" w:type="dxa"/>
            <w:tcBorders>
              <w:top w:val="nil"/>
              <w:left w:val="nil"/>
              <w:bottom w:val="single" w:sz="4" w:space="0" w:color="auto"/>
              <w:right w:val="single" w:sz="4" w:space="0" w:color="auto"/>
            </w:tcBorders>
            <w:shd w:val="clear" w:color="000000" w:fill="DAEEF3"/>
            <w:noWrap/>
            <w:vAlign w:val="bottom"/>
            <w:hideMark/>
          </w:tcPr>
          <w:p w14:paraId="29D0B96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1.5%</w:t>
            </w:r>
          </w:p>
        </w:tc>
        <w:tc>
          <w:tcPr>
            <w:tcW w:w="841" w:type="dxa"/>
            <w:tcBorders>
              <w:top w:val="nil"/>
              <w:left w:val="nil"/>
              <w:bottom w:val="single" w:sz="4" w:space="0" w:color="auto"/>
              <w:right w:val="single" w:sz="8" w:space="0" w:color="auto"/>
            </w:tcBorders>
            <w:shd w:val="clear" w:color="000000" w:fill="DAEEF3"/>
            <w:noWrap/>
            <w:vAlign w:val="bottom"/>
            <w:hideMark/>
          </w:tcPr>
          <w:p w14:paraId="47667DB0"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1.1%</w:t>
            </w:r>
          </w:p>
        </w:tc>
      </w:tr>
      <w:tr w:rsidR="00F20114" w:rsidRPr="00D84D77" w14:paraId="5188AF1D" w14:textId="77777777" w:rsidTr="005D7661">
        <w:trPr>
          <w:trHeight w:val="270"/>
        </w:trPr>
        <w:tc>
          <w:tcPr>
            <w:tcW w:w="1858" w:type="dxa"/>
            <w:tcBorders>
              <w:top w:val="nil"/>
              <w:left w:val="single" w:sz="8" w:space="0" w:color="auto"/>
              <w:bottom w:val="single" w:sz="8" w:space="0" w:color="auto"/>
              <w:right w:val="single" w:sz="8" w:space="0" w:color="auto"/>
            </w:tcBorders>
            <w:shd w:val="clear" w:color="auto" w:fill="auto"/>
            <w:noWrap/>
            <w:vAlign w:val="bottom"/>
            <w:hideMark/>
          </w:tcPr>
          <w:p w14:paraId="47A17DF7" w14:textId="77777777" w:rsidR="00F20114" w:rsidRPr="00D84D77" w:rsidRDefault="00F20114" w:rsidP="00F20114">
            <w:pPr>
              <w:rPr>
                <w:rFonts w:ascii="Calibri" w:hAnsi="Calibri"/>
                <w:sz w:val="20"/>
                <w:lang w:eastAsia="en-AU"/>
              </w:rPr>
            </w:pPr>
            <w:proofErr w:type="spellStart"/>
            <w:r w:rsidRPr="00D84D77">
              <w:rPr>
                <w:rFonts w:ascii="Calibri" w:hAnsi="Calibri"/>
                <w:sz w:val="20"/>
                <w:lang w:eastAsia="en-AU"/>
              </w:rPr>
              <w:t>Yarriambiack</w:t>
            </w:r>
            <w:proofErr w:type="spellEnd"/>
          </w:p>
        </w:tc>
        <w:tc>
          <w:tcPr>
            <w:tcW w:w="726" w:type="dxa"/>
            <w:tcBorders>
              <w:top w:val="nil"/>
              <w:left w:val="nil"/>
              <w:bottom w:val="single" w:sz="8" w:space="0" w:color="auto"/>
              <w:right w:val="single" w:sz="4" w:space="0" w:color="auto"/>
            </w:tcBorders>
            <w:shd w:val="clear" w:color="000000" w:fill="FDE9D9"/>
            <w:noWrap/>
            <w:vAlign w:val="bottom"/>
            <w:hideMark/>
          </w:tcPr>
          <w:p w14:paraId="196A461F"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55.2%</w:t>
            </w:r>
          </w:p>
        </w:tc>
        <w:tc>
          <w:tcPr>
            <w:tcW w:w="840" w:type="dxa"/>
            <w:tcBorders>
              <w:top w:val="nil"/>
              <w:left w:val="nil"/>
              <w:bottom w:val="single" w:sz="8" w:space="0" w:color="auto"/>
              <w:right w:val="single" w:sz="4" w:space="0" w:color="auto"/>
            </w:tcBorders>
            <w:shd w:val="clear" w:color="000000" w:fill="FDE9D9"/>
            <w:noWrap/>
            <w:vAlign w:val="bottom"/>
            <w:hideMark/>
          </w:tcPr>
          <w:p w14:paraId="1D10E17D"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29.3%</w:t>
            </w:r>
          </w:p>
        </w:tc>
        <w:tc>
          <w:tcPr>
            <w:tcW w:w="892" w:type="dxa"/>
            <w:tcBorders>
              <w:top w:val="nil"/>
              <w:left w:val="nil"/>
              <w:bottom w:val="single" w:sz="8" w:space="0" w:color="auto"/>
              <w:right w:val="single" w:sz="4" w:space="0" w:color="auto"/>
            </w:tcBorders>
            <w:shd w:val="clear" w:color="000000" w:fill="FDE9D9"/>
            <w:noWrap/>
            <w:vAlign w:val="bottom"/>
          </w:tcPr>
          <w:p w14:paraId="2BA7442A" w14:textId="187476CB" w:rsidR="00F20114" w:rsidRPr="00D84D77" w:rsidRDefault="00F20114" w:rsidP="00F20114">
            <w:pPr>
              <w:jc w:val="right"/>
              <w:rPr>
                <w:rFonts w:ascii="Calibri" w:hAnsi="Calibri"/>
                <w:color w:val="000000"/>
                <w:sz w:val="20"/>
                <w:lang w:eastAsia="en-AU"/>
              </w:rPr>
            </w:pPr>
          </w:p>
        </w:tc>
        <w:tc>
          <w:tcPr>
            <w:tcW w:w="770" w:type="dxa"/>
            <w:tcBorders>
              <w:top w:val="nil"/>
              <w:left w:val="nil"/>
              <w:bottom w:val="single" w:sz="8" w:space="0" w:color="auto"/>
              <w:right w:val="single" w:sz="4" w:space="0" w:color="auto"/>
            </w:tcBorders>
            <w:shd w:val="clear" w:color="000000" w:fill="FDE9D9"/>
            <w:noWrap/>
            <w:vAlign w:val="bottom"/>
            <w:hideMark/>
          </w:tcPr>
          <w:p w14:paraId="4AEECB3C"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61.3%</w:t>
            </w:r>
          </w:p>
        </w:tc>
        <w:tc>
          <w:tcPr>
            <w:tcW w:w="841" w:type="dxa"/>
            <w:tcBorders>
              <w:top w:val="nil"/>
              <w:left w:val="nil"/>
              <w:bottom w:val="single" w:sz="8" w:space="0" w:color="auto"/>
              <w:right w:val="single" w:sz="8" w:space="0" w:color="auto"/>
            </w:tcBorders>
            <w:shd w:val="clear" w:color="000000" w:fill="FDE9D9"/>
            <w:noWrap/>
            <w:vAlign w:val="bottom"/>
            <w:hideMark/>
          </w:tcPr>
          <w:p w14:paraId="45F79DAE"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31.0%</w:t>
            </w:r>
          </w:p>
        </w:tc>
        <w:tc>
          <w:tcPr>
            <w:tcW w:w="770" w:type="dxa"/>
            <w:tcBorders>
              <w:top w:val="nil"/>
              <w:left w:val="nil"/>
              <w:bottom w:val="single" w:sz="8" w:space="0" w:color="auto"/>
              <w:right w:val="single" w:sz="4" w:space="0" w:color="auto"/>
            </w:tcBorders>
            <w:shd w:val="clear" w:color="000000" w:fill="DAEEF3"/>
            <w:noWrap/>
            <w:vAlign w:val="bottom"/>
            <w:hideMark/>
          </w:tcPr>
          <w:p w14:paraId="4768F0BB"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45.5%</w:t>
            </w:r>
          </w:p>
        </w:tc>
        <w:tc>
          <w:tcPr>
            <w:tcW w:w="841" w:type="dxa"/>
            <w:tcBorders>
              <w:top w:val="nil"/>
              <w:left w:val="nil"/>
              <w:bottom w:val="single" w:sz="8" w:space="0" w:color="auto"/>
              <w:right w:val="single" w:sz="4" w:space="0" w:color="auto"/>
            </w:tcBorders>
            <w:shd w:val="clear" w:color="000000" w:fill="DAEEF3"/>
            <w:noWrap/>
            <w:vAlign w:val="bottom"/>
            <w:hideMark/>
          </w:tcPr>
          <w:p w14:paraId="1FE80B94"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24.2%</w:t>
            </w:r>
          </w:p>
        </w:tc>
        <w:tc>
          <w:tcPr>
            <w:tcW w:w="770" w:type="dxa"/>
            <w:tcBorders>
              <w:top w:val="nil"/>
              <w:left w:val="nil"/>
              <w:bottom w:val="single" w:sz="8" w:space="0" w:color="auto"/>
              <w:right w:val="single" w:sz="4" w:space="0" w:color="auto"/>
            </w:tcBorders>
            <w:shd w:val="clear" w:color="000000" w:fill="DAEEF3"/>
            <w:noWrap/>
            <w:vAlign w:val="bottom"/>
            <w:hideMark/>
          </w:tcPr>
          <w:p w14:paraId="2410F7D9"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50.6%</w:t>
            </w:r>
          </w:p>
        </w:tc>
        <w:tc>
          <w:tcPr>
            <w:tcW w:w="841" w:type="dxa"/>
            <w:tcBorders>
              <w:top w:val="nil"/>
              <w:left w:val="nil"/>
              <w:bottom w:val="single" w:sz="8" w:space="0" w:color="auto"/>
              <w:right w:val="single" w:sz="8" w:space="0" w:color="auto"/>
            </w:tcBorders>
            <w:shd w:val="clear" w:color="000000" w:fill="DAEEF3"/>
            <w:noWrap/>
            <w:vAlign w:val="bottom"/>
            <w:hideMark/>
          </w:tcPr>
          <w:p w14:paraId="3A00F375" w14:textId="77777777" w:rsidR="00F20114" w:rsidRPr="00D84D77" w:rsidRDefault="00F20114" w:rsidP="00F20114">
            <w:pPr>
              <w:jc w:val="right"/>
              <w:rPr>
                <w:rFonts w:ascii="Calibri" w:hAnsi="Calibri"/>
                <w:color w:val="000000"/>
                <w:sz w:val="20"/>
                <w:lang w:eastAsia="en-AU"/>
              </w:rPr>
            </w:pPr>
            <w:r w:rsidRPr="00D84D77">
              <w:rPr>
                <w:rFonts w:ascii="Calibri" w:hAnsi="Calibri"/>
                <w:color w:val="000000"/>
                <w:sz w:val="20"/>
                <w:lang w:eastAsia="en-AU"/>
              </w:rPr>
              <w:t>25.5%</w:t>
            </w:r>
          </w:p>
        </w:tc>
      </w:tr>
    </w:tbl>
    <w:p w14:paraId="78A04C01" w14:textId="5B8F9841" w:rsidR="005D7661" w:rsidRPr="005D7661" w:rsidRDefault="005D7661" w:rsidP="00F20114">
      <w:pPr>
        <w:rPr>
          <w:b/>
        </w:rPr>
      </w:pPr>
      <w:r w:rsidRPr="00D84D77">
        <w:rPr>
          <w:rFonts w:ascii="Calibri" w:hAnsi="Calibri"/>
          <w:sz w:val="16"/>
          <w:szCs w:val="16"/>
          <w:lang w:eastAsia="en-AU"/>
        </w:rPr>
        <w:t>Notes:</w:t>
      </w:r>
    </w:p>
    <w:p w14:paraId="323FB4FA" w14:textId="50819967" w:rsidR="005D7661" w:rsidRDefault="005D7661" w:rsidP="00F20114">
      <w:pPr>
        <w:rPr>
          <w:rFonts w:ascii="Calibri" w:hAnsi="Calibri"/>
          <w:sz w:val="16"/>
          <w:szCs w:val="16"/>
          <w:lang w:eastAsia="en-AU"/>
        </w:rPr>
      </w:pPr>
      <w:r w:rsidRPr="00D84D77">
        <w:rPr>
          <w:rFonts w:ascii="Calibri" w:hAnsi="Calibri"/>
          <w:sz w:val="16"/>
          <w:szCs w:val="16"/>
          <w:lang w:eastAsia="en-AU"/>
        </w:rPr>
        <w:t>^Rates are MCs, general rates, service rates &amp; charges less rate rebates</w:t>
      </w:r>
    </w:p>
    <w:p w14:paraId="007A810E" w14:textId="5C9FA90C" w:rsidR="005D7661" w:rsidRDefault="005D7661" w:rsidP="00F20114">
      <w:pPr>
        <w:rPr>
          <w:rFonts w:ascii="Calibri" w:hAnsi="Calibri"/>
          <w:sz w:val="16"/>
          <w:szCs w:val="16"/>
          <w:lang w:eastAsia="en-AU"/>
        </w:rPr>
      </w:pPr>
      <w:r>
        <w:rPr>
          <w:rFonts w:ascii="Calibri" w:hAnsi="Calibri"/>
          <w:sz w:val="16"/>
          <w:szCs w:val="16"/>
          <w:lang w:eastAsia="en-AU"/>
        </w:rPr>
        <w:lastRenderedPageBreak/>
        <w:t>~Rates are MCs and</w:t>
      </w:r>
      <w:r w:rsidRPr="00D84D77">
        <w:rPr>
          <w:rFonts w:ascii="Calibri" w:hAnsi="Calibri"/>
          <w:sz w:val="16"/>
          <w:szCs w:val="16"/>
          <w:lang w:eastAsia="en-AU"/>
        </w:rPr>
        <w:t xml:space="preserve"> general rates less rate rebates</w:t>
      </w:r>
    </w:p>
    <w:p w14:paraId="18AB0A6F" w14:textId="01271166" w:rsidR="005D7661" w:rsidRDefault="005D7661" w:rsidP="00F20114">
      <w:pPr>
        <w:rPr>
          <w:rFonts w:ascii="Calibri" w:hAnsi="Calibri"/>
          <w:sz w:val="16"/>
          <w:szCs w:val="16"/>
          <w:lang w:eastAsia="en-AU"/>
        </w:rPr>
      </w:pPr>
      <w:r>
        <w:rPr>
          <w:rFonts w:ascii="Calibri" w:hAnsi="Calibri"/>
          <w:sz w:val="16"/>
          <w:szCs w:val="16"/>
          <w:lang w:eastAsia="en-AU"/>
        </w:rPr>
        <w:t>SI</w:t>
      </w:r>
      <w:r w:rsidRPr="00D84D77">
        <w:rPr>
          <w:rFonts w:ascii="Calibri" w:hAnsi="Calibri"/>
          <w:sz w:val="16"/>
          <w:szCs w:val="16"/>
          <w:lang w:eastAsia="en-AU"/>
        </w:rPr>
        <w:t xml:space="preserve"> is net debt, including renewal gap, as a percentage of rate revenue.  </w:t>
      </w:r>
    </w:p>
    <w:p w14:paraId="2C832D85" w14:textId="3FE9DE1A" w:rsidR="005D7661" w:rsidRDefault="005D7661" w:rsidP="00F20114">
      <w:pPr>
        <w:rPr>
          <w:rFonts w:ascii="Calibri" w:hAnsi="Calibri"/>
          <w:sz w:val="16"/>
          <w:szCs w:val="16"/>
          <w:lang w:eastAsia="en-AU"/>
        </w:rPr>
      </w:pPr>
      <w:r>
        <w:rPr>
          <w:rFonts w:ascii="Calibri" w:hAnsi="Calibri"/>
          <w:sz w:val="16"/>
          <w:szCs w:val="16"/>
          <w:lang w:eastAsia="en-AU"/>
        </w:rPr>
        <w:t>SI</w:t>
      </w:r>
      <w:r w:rsidRPr="00D84D77">
        <w:rPr>
          <w:rFonts w:ascii="Calibri" w:hAnsi="Calibri"/>
          <w:sz w:val="16"/>
          <w:szCs w:val="16"/>
          <w:lang w:eastAsia="en-AU"/>
        </w:rPr>
        <w:t xml:space="preserve"> index &gt; 0 reflects net debt and &lt; 0 reflects net savings or </w:t>
      </w:r>
      <w:r>
        <w:rPr>
          <w:rFonts w:ascii="Calibri" w:hAnsi="Calibri"/>
          <w:sz w:val="16"/>
          <w:szCs w:val="16"/>
          <w:lang w:eastAsia="en-AU"/>
        </w:rPr>
        <w:t xml:space="preserve">greater than required </w:t>
      </w:r>
      <w:r w:rsidRPr="00D84D77">
        <w:rPr>
          <w:rFonts w:ascii="Calibri" w:hAnsi="Calibri"/>
          <w:sz w:val="16"/>
          <w:szCs w:val="16"/>
          <w:lang w:eastAsia="en-AU"/>
        </w:rPr>
        <w:t>capital investment</w:t>
      </w:r>
    </w:p>
    <w:p w14:paraId="153CC029" w14:textId="035251E3" w:rsidR="005D7661" w:rsidRDefault="005D7661" w:rsidP="00F20114">
      <w:pPr>
        <w:rPr>
          <w:rFonts w:ascii="Calibri" w:hAnsi="Calibri"/>
          <w:sz w:val="16"/>
          <w:szCs w:val="16"/>
          <w:lang w:eastAsia="en-AU"/>
        </w:rPr>
      </w:pPr>
      <w:r>
        <w:rPr>
          <w:rFonts w:ascii="Calibri" w:hAnsi="Calibri"/>
          <w:sz w:val="16"/>
          <w:szCs w:val="16"/>
          <w:lang w:eastAsia="en-AU"/>
        </w:rPr>
        <w:t>Councils with high levels of SI &gt; 0 and no renewal gap are influenced by high levels of borrowings relative to rates</w:t>
      </w:r>
    </w:p>
    <w:p w14:paraId="19911A9F" w14:textId="7C70925F" w:rsidR="005D7661" w:rsidRDefault="005D7661" w:rsidP="00F20114">
      <w:pPr>
        <w:rPr>
          <w:rFonts w:ascii="Calibri" w:hAnsi="Calibri"/>
          <w:sz w:val="16"/>
          <w:szCs w:val="16"/>
          <w:lang w:eastAsia="en-AU"/>
        </w:rPr>
      </w:pPr>
      <w:r>
        <w:rPr>
          <w:rFonts w:ascii="Calibri" w:hAnsi="Calibri"/>
          <w:sz w:val="16"/>
          <w:szCs w:val="16"/>
          <w:lang w:eastAsia="en-AU"/>
        </w:rPr>
        <w:t>Net debt for the p</w:t>
      </w:r>
      <w:r w:rsidRPr="00D84D77">
        <w:rPr>
          <w:rFonts w:ascii="Calibri" w:hAnsi="Calibri"/>
          <w:sz w:val="16"/>
          <w:szCs w:val="16"/>
          <w:lang w:eastAsia="en-AU"/>
        </w:rPr>
        <w:t>u</w:t>
      </w:r>
      <w:r>
        <w:rPr>
          <w:rFonts w:ascii="Calibri" w:hAnsi="Calibri"/>
          <w:sz w:val="16"/>
          <w:szCs w:val="16"/>
          <w:lang w:eastAsia="en-AU"/>
        </w:rPr>
        <w:t>r</w:t>
      </w:r>
      <w:r w:rsidRPr="00D84D77">
        <w:rPr>
          <w:rFonts w:ascii="Calibri" w:hAnsi="Calibri"/>
          <w:sz w:val="16"/>
          <w:szCs w:val="16"/>
          <w:lang w:eastAsia="en-AU"/>
        </w:rPr>
        <w:t>poses of this analysis is defined as total liabilities plus renewal gap less current assets less unexpended grants</w:t>
      </w:r>
    </w:p>
    <w:p w14:paraId="4A409E79" w14:textId="026B7585" w:rsidR="005D7661" w:rsidRDefault="005D7661" w:rsidP="00F20114">
      <w:pPr>
        <w:rPr>
          <w:rFonts w:ascii="Calibri" w:hAnsi="Calibri"/>
          <w:sz w:val="16"/>
          <w:szCs w:val="16"/>
          <w:lang w:eastAsia="en-AU"/>
        </w:rPr>
      </w:pPr>
      <w:r w:rsidRPr="00D84D77">
        <w:rPr>
          <w:rFonts w:ascii="Calibri" w:hAnsi="Calibri"/>
          <w:color w:val="000000"/>
          <w:sz w:val="16"/>
          <w:szCs w:val="16"/>
          <w:lang w:eastAsia="en-AU"/>
        </w:rPr>
        <w:t>#Hepburn figure is CT Management figure for 2009-10 plus difference between depreciation and renewal 2010-11 and 2011-12 annual reports</w:t>
      </w:r>
    </w:p>
    <w:p w14:paraId="5D66FF47" w14:textId="77777777" w:rsidR="005D7661" w:rsidRDefault="005D7661" w:rsidP="00F20114">
      <w:pPr>
        <w:rPr>
          <w:b/>
        </w:rPr>
      </w:pPr>
    </w:p>
    <w:p w14:paraId="0B34284F" w14:textId="77777777" w:rsidR="00F20114" w:rsidRDefault="00F20114" w:rsidP="00BA1A30">
      <w:pPr>
        <w:pStyle w:val="Heading3"/>
      </w:pPr>
      <w:r>
        <w:t>Sector-wide submission</w:t>
      </w:r>
    </w:p>
    <w:p w14:paraId="6AFB170B" w14:textId="77777777" w:rsidR="00BA1A30" w:rsidRPr="00BA1A30" w:rsidRDefault="00BA1A30" w:rsidP="00BA1A30"/>
    <w:p w14:paraId="3DAFF19D" w14:textId="77777777" w:rsidR="00F20114" w:rsidRDefault="00F20114" w:rsidP="00F20114">
      <w:r>
        <w:t xml:space="preserve">The ESC should give some consideration to a sector-wide submission in the event there is a widespread issue that affects all councils. For example, the recent defined benefit superannuation shortfall placed unexpected and material costs on all councils. The ESC should give consideration to whether a similar future event could lead to a whole-of-sector sector variation to respond to similar challenges. </w:t>
      </w:r>
    </w:p>
    <w:p w14:paraId="21D4EE2D" w14:textId="77777777" w:rsidR="00BA1A30" w:rsidRPr="000309C2" w:rsidRDefault="00BA1A30" w:rsidP="00F20114"/>
    <w:p w14:paraId="00C1FB89" w14:textId="77777777" w:rsidR="00F20114" w:rsidRDefault="00BA1A30" w:rsidP="00BA1A30">
      <w:pPr>
        <w:pStyle w:val="Heading2"/>
      </w:pPr>
      <w:bookmarkStart w:id="18" w:name="_Toc428541063"/>
      <w:r>
        <w:t>Need for Exactness</w:t>
      </w:r>
      <w:bookmarkEnd w:id="18"/>
    </w:p>
    <w:p w14:paraId="2CDB5950" w14:textId="77777777" w:rsidR="00BA1A30" w:rsidRPr="00BA1A30" w:rsidRDefault="00BA1A30" w:rsidP="00BA1A30"/>
    <w:p w14:paraId="75FE21C9" w14:textId="28E101A0" w:rsidR="00F20114" w:rsidRDefault="00F20114" w:rsidP="00F20114">
      <w:r>
        <w:t xml:space="preserve">The ESC Framework argues that requests for variation will </w:t>
      </w:r>
      <w:r w:rsidRPr="00F54071">
        <w:t xml:space="preserve">need to be substantiated and the amounts </w:t>
      </w:r>
      <w:r>
        <w:t xml:space="preserve">required </w:t>
      </w:r>
      <w:r w:rsidRPr="00F54071">
        <w:t>quantified.</w:t>
      </w:r>
      <w:r>
        <w:t xml:space="preserve"> It states that councils will need to be very precise about the rate outcome they are seeking through the variation process and ESC will decline to partially accede to any increase requested. In other words, councils will have to get their sums exact or they get nothing extra. If a strong case is made, or parts of the rationale are substantiated, it is not clear why some level of additional increase should not be approved. </w:t>
      </w:r>
    </w:p>
    <w:p w14:paraId="31630B8D" w14:textId="77777777" w:rsidR="00F20114" w:rsidRDefault="00F20114" w:rsidP="00F20114">
      <w:pPr>
        <w:rPr>
          <w:b/>
        </w:rPr>
      </w:pPr>
    </w:p>
    <w:p w14:paraId="3FBEF51E" w14:textId="77777777" w:rsidR="00F20114" w:rsidRDefault="00F20114" w:rsidP="00BA1A30">
      <w:pPr>
        <w:pStyle w:val="Heading1"/>
      </w:pPr>
      <w:bookmarkStart w:id="19" w:name="_Toc428541064"/>
      <w:r w:rsidRPr="00313128">
        <w:t>Role of the ESC</w:t>
      </w:r>
      <w:bookmarkEnd w:id="19"/>
    </w:p>
    <w:p w14:paraId="1BCE5206" w14:textId="77777777" w:rsidR="00BA1A30" w:rsidRPr="00BA1A30" w:rsidRDefault="00BA1A30" w:rsidP="00BA1A30"/>
    <w:p w14:paraId="552D66A7" w14:textId="77777777" w:rsidR="00F20114" w:rsidRDefault="00BA1A30" w:rsidP="00BA1A30">
      <w:pPr>
        <w:pStyle w:val="Heading2"/>
      </w:pPr>
      <w:bookmarkStart w:id="20" w:name="_Toc428541065"/>
      <w:r>
        <w:t>Task S</w:t>
      </w:r>
      <w:r w:rsidR="00F20114" w:rsidRPr="00661258">
        <w:t>ize</w:t>
      </w:r>
      <w:bookmarkEnd w:id="20"/>
    </w:p>
    <w:p w14:paraId="49C7F088" w14:textId="77777777" w:rsidR="00BA1A30" w:rsidRPr="00661258" w:rsidRDefault="00BA1A30" w:rsidP="00F20114">
      <w:pPr>
        <w:rPr>
          <w:b/>
        </w:rPr>
      </w:pPr>
    </w:p>
    <w:p w14:paraId="16635F69" w14:textId="5B082679" w:rsidR="00F20114" w:rsidRDefault="00F20114" w:rsidP="00F20114">
      <w:r>
        <w:t>The ESC is experienced at reviewing industries that are providers of one or two products. Reservations may be held legitimately that the ESC has the resources and/or expertise to implement the Framework. Councils are far more complicated in what they deliver and in measuring (impacts on) service delivery. In addition to establishing the cap the ESC has responsibility for considering variations, monitoring associated outcomes and benchmarking council performance and efficiency in order to inform the first two. The ESC has indicated it does not expect large numbers of requests for variations but this seems unlikely unless councils are discouraged by the task involved.</w:t>
      </w:r>
    </w:p>
    <w:p w14:paraId="7D4FF5FD" w14:textId="77777777" w:rsidR="00BA1A30" w:rsidRDefault="00BA1A30" w:rsidP="00F20114"/>
    <w:p w14:paraId="7F9CE99C" w14:textId="77777777" w:rsidR="00F20114" w:rsidRDefault="00F20114" w:rsidP="00F20114">
      <w:r>
        <w:t>The ESC also foresees the possibility of extension of its role into garbage charges and statutorily imposed fees. There appears no rationale for the ESC to extend its brief unless it also includes State output purchases from, and specific purpose funding to, the sector.</w:t>
      </w:r>
    </w:p>
    <w:p w14:paraId="41BB0BDE" w14:textId="77777777" w:rsidR="00F20114" w:rsidRDefault="00F20114" w:rsidP="00F20114"/>
    <w:p w14:paraId="3FC329C7" w14:textId="77777777" w:rsidR="00F20114" w:rsidRDefault="00F20114" w:rsidP="00BA1A30">
      <w:pPr>
        <w:pStyle w:val="Heading2"/>
      </w:pPr>
      <w:bookmarkStart w:id="21" w:name="_Toc428541066"/>
      <w:r w:rsidRPr="00661258">
        <w:t>Partiality</w:t>
      </w:r>
      <w:bookmarkEnd w:id="21"/>
    </w:p>
    <w:p w14:paraId="3D2680E0" w14:textId="77777777" w:rsidR="00BA1A30" w:rsidRPr="00661258" w:rsidRDefault="00BA1A30" w:rsidP="00F20114">
      <w:pPr>
        <w:rPr>
          <w:b/>
        </w:rPr>
      </w:pPr>
    </w:p>
    <w:p w14:paraId="092AD317" w14:textId="62B8D782" w:rsidR="00F20114" w:rsidRDefault="00F20114" w:rsidP="00F20114">
      <w:r w:rsidRPr="004358B5">
        <w:t>Some aspects of th</w:t>
      </w:r>
      <w:r>
        <w:t>e</w:t>
      </w:r>
      <w:r w:rsidRPr="004358B5">
        <w:t xml:space="preserve"> Fra</w:t>
      </w:r>
      <w:r>
        <w:t>mewo</w:t>
      </w:r>
      <w:r w:rsidRPr="004358B5">
        <w:t>rk and narrative indicate issues concerning impartiality.</w:t>
      </w:r>
      <w:r w:rsidRPr="007F5761">
        <w:t xml:space="preserve"> </w:t>
      </w:r>
      <w:r>
        <w:t xml:space="preserve">The ESC reserves a right to unfavourably review requests for variation where it deems uncontrollable budget blow-outs have occurred and there is no avenue for appeal if a council’s request for variation is rejected. The question of objectivity is also raised with the ESC stating that it “does not want to err heavily in favour or against councils seeking a variation”. </w:t>
      </w:r>
    </w:p>
    <w:p w14:paraId="4AF0D84B" w14:textId="77777777" w:rsidR="00BA1A30" w:rsidRDefault="00BA1A30" w:rsidP="00F20114"/>
    <w:p w14:paraId="14A6A544" w14:textId="25704C0A" w:rsidR="00F20114" w:rsidRDefault="00F20114" w:rsidP="00F20114">
      <w:r>
        <w:lastRenderedPageBreak/>
        <w:t>The role of the ESC should be no more than to monitor whether councils have complied with the rate cap variation. There is something inherently wrong with the ESC reviewing the impacts of rate capping decisions and, in particular, reviewing adverse outcomes for councils that have arisen from decisions that it may have made in declining a variation. This broader monitoring should be done by an agency other than the ESC.</w:t>
      </w:r>
    </w:p>
    <w:p w14:paraId="581EEA62" w14:textId="77777777" w:rsidR="00BA1A30" w:rsidRDefault="00BA1A30" w:rsidP="00F20114"/>
    <w:p w14:paraId="351292C9" w14:textId="77777777" w:rsidR="00F20114" w:rsidRDefault="00F20114" w:rsidP="00F20114">
      <w:pPr>
        <w:rPr>
          <w:b/>
        </w:rPr>
      </w:pPr>
    </w:p>
    <w:p w14:paraId="2495F30D" w14:textId="77777777" w:rsidR="00F20114" w:rsidRDefault="00F20114" w:rsidP="00BA1A30">
      <w:pPr>
        <w:pStyle w:val="Heading1"/>
      </w:pPr>
      <w:bookmarkStart w:id="22" w:name="_Toc428541067"/>
      <w:r w:rsidRPr="00444562">
        <w:t>Costs</w:t>
      </w:r>
      <w:bookmarkEnd w:id="22"/>
    </w:p>
    <w:p w14:paraId="2799FEE2" w14:textId="77777777" w:rsidR="00BA1A30" w:rsidRDefault="00BA1A30" w:rsidP="00F20114">
      <w:pPr>
        <w:rPr>
          <w:b/>
        </w:rPr>
      </w:pPr>
    </w:p>
    <w:p w14:paraId="59D3F0AD" w14:textId="77777777" w:rsidR="00F20114" w:rsidRDefault="00F20114" w:rsidP="00F20114">
      <w:r>
        <w:t xml:space="preserve">Annual information required from councils that do not intend pursuing a variation appear very limited and can largely be satisfied from existing sources. It is unlikely that a request for variation to the cap could be undertaken without councils’ committing significant resources. </w:t>
      </w:r>
    </w:p>
    <w:p w14:paraId="32C50F1D" w14:textId="77777777" w:rsidR="00BA1A30" w:rsidRDefault="00BA1A30" w:rsidP="00F20114"/>
    <w:p w14:paraId="4CE1A573" w14:textId="6021E1B0" w:rsidR="00F20114" w:rsidRDefault="00F20114" w:rsidP="00F20114">
      <w:r>
        <w:t xml:space="preserve">The costs of the ESC should not be recovered from local councils. This is a State initiative that provides no additional benefits to </w:t>
      </w:r>
      <w:r w:rsidRPr="00F81C9C">
        <w:t>councils.</w:t>
      </w:r>
      <w:r>
        <w:t xml:space="preserve">  </w:t>
      </w:r>
    </w:p>
    <w:p w14:paraId="0795056C" w14:textId="77777777" w:rsidR="00F20114" w:rsidRDefault="00F20114" w:rsidP="00F20114"/>
    <w:p w14:paraId="7AFDAF23" w14:textId="77777777" w:rsidR="00F20114" w:rsidRDefault="00F20114" w:rsidP="00BA1A30">
      <w:pPr>
        <w:pStyle w:val="Heading1"/>
      </w:pPr>
      <w:bookmarkStart w:id="23" w:name="_Toc428541068"/>
      <w:r w:rsidRPr="000309C2">
        <w:t>Timelines</w:t>
      </w:r>
      <w:bookmarkEnd w:id="23"/>
    </w:p>
    <w:p w14:paraId="7134C6AD" w14:textId="77777777" w:rsidR="00BA1A30" w:rsidRPr="00BA1A30" w:rsidRDefault="00BA1A30" w:rsidP="00BA1A30"/>
    <w:p w14:paraId="10B6C985" w14:textId="77777777" w:rsidR="00F20114" w:rsidRDefault="00F20114" w:rsidP="00F20114">
      <w:r>
        <w:t xml:space="preserve">The MAV is concerned that the timelines presented in the draft report for the preparation and submission of a rates variation will be impractical with existing statutory requirements. </w:t>
      </w:r>
    </w:p>
    <w:p w14:paraId="4F5DB1BB" w14:textId="77777777" w:rsidR="00BA1A30" w:rsidRDefault="00BA1A30" w:rsidP="00F20114"/>
    <w:p w14:paraId="58783889" w14:textId="77777777" w:rsidR="00F20114" w:rsidRDefault="00F20114" w:rsidP="00F20114">
      <w:r>
        <w:t xml:space="preserve">The proposed timeframes will involve councils notifying the ESC of its intention to apply for a rating variation in January, submitting their variation in March and the ESC notifying the council of their decision in May. Council will then be required to undertake their usual statutory consultation process on the draft budget in May before adopting the budget before 30 June. </w:t>
      </w:r>
    </w:p>
    <w:p w14:paraId="171DC54D" w14:textId="77777777" w:rsidR="00BA1A30" w:rsidRDefault="00BA1A30" w:rsidP="00F20114"/>
    <w:p w14:paraId="6C26D32B" w14:textId="77777777" w:rsidR="00F20114" w:rsidRDefault="00F20114" w:rsidP="00F20114">
      <w:r>
        <w:t>This process implies councils will be</w:t>
      </w:r>
      <w:r w:rsidRPr="00E33FEA">
        <w:t xml:space="preserve"> </w:t>
      </w:r>
      <w:r>
        <w:t>required to:</w:t>
      </w:r>
    </w:p>
    <w:p w14:paraId="287FFB4E" w14:textId="77777777" w:rsidR="00BA1A30" w:rsidRDefault="00BA1A30" w:rsidP="00F20114"/>
    <w:p w14:paraId="50D89B5A" w14:textId="77777777" w:rsidR="00F20114" w:rsidRDefault="00F20114" w:rsidP="00AC695B">
      <w:pPr>
        <w:pStyle w:val="ListParagraph"/>
        <w:numPr>
          <w:ilvl w:val="0"/>
          <w:numId w:val="8"/>
        </w:numPr>
        <w:spacing w:line="240" w:lineRule="auto"/>
        <w:ind w:left="714" w:hanging="357"/>
      </w:pPr>
      <w:r>
        <w:t>have well advanced financial plans well before the cap is announced in December and will most likely need to have a clear view of the proposed rate increase for the following year by September/October</w:t>
      </w:r>
    </w:p>
    <w:p w14:paraId="20CCB87E" w14:textId="77777777" w:rsidR="00F20114" w:rsidRDefault="00F20114" w:rsidP="00AC695B">
      <w:pPr>
        <w:pStyle w:val="ListParagraph"/>
        <w:numPr>
          <w:ilvl w:val="0"/>
          <w:numId w:val="8"/>
        </w:numPr>
        <w:spacing w:line="240" w:lineRule="auto"/>
        <w:ind w:left="714" w:hanging="357"/>
      </w:pPr>
      <w:r>
        <w:t>be well advanced in their supporting documentation by early January</w:t>
      </w:r>
    </w:p>
    <w:p w14:paraId="68CE89B8" w14:textId="0EDC16C6" w:rsidR="00F20114" w:rsidRDefault="00F20114" w:rsidP="00AC695B">
      <w:pPr>
        <w:pStyle w:val="ListParagraph"/>
        <w:numPr>
          <w:ilvl w:val="0"/>
          <w:numId w:val="8"/>
        </w:numPr>
        <w:spacing w:line="240" w:lineRule="auto"/>
        <w:ind w:left="714" w:hanging="357"/>
      </w:pPr>
      <w:r>
        <w:t>effectively develop two budgets in the event that a variation is submitted – one based on the variation being approved by ESC and the other based on an unsuccessful variation</w:t>
      </w:r>
    </w:p>
    <w:p w14:paraId="568650C7" w14:textId="77777777" w:rsidR="00F20114" w:rsidRDefault="00F20114" w:rsidP="00AC695B">
      <w:pPr>
        <w:pStyle w:val="ListParagraph"/>
        <w:numPr>
          <w:ilvl w:val="0"/>
          <w:numId w:val="8"/>
        </w:numPr>
        <w:spacing w:line="240" w:lineRule="auto"/>
        <w:ind w:left="714" w:hanging="357"/>
      </w:pPr>
      <w:r>
        <w:t xml:space="preserve">ultimately move away from an ‘annual’ budget cycle to a rolling medium term budget cycle which is informed by ongoing service reviews. </w:t>
      </w:r>
    </w:p>
    <w:p w14:paraId="79D5C293" w14:textId="4034E1F4" w:rsidR="00F20114" w:rsidRDefault="00F20114" w:rsidP="00F20114">
      <w:r>
        <w:t>In order to fully understand the timelines, it will be important for ESC to clarify the</w:t>
      </w:r>
      <w:r w:rsidR="00AC695B">
        <w:t>ir proposal</w:t>
      </w:r>
      <w:r>
        <w:t xml:space="preserve"> further. In particular, additional information is required on when a variation will need to be submitted (i.e. early or late March) and when it expects to have completed its assessment of variations (i.e. early or late May). The MAV believes that a decision by ESC needs to be made by early May to ensure that councils can undertake public consultation on the resulting draft budget and organise for the adoption of the budget before 30 June. </w:t>
      </w:r>
    </w:p>
    <w:p w14:paraId="18966AE7" w14:textId="77777777" w:rsidR="00F20114" w:rsidRDefault="00F20114" w:rsidP="00F20114"/>
    <w:p w14:paraId="5D8FF02A" w14:textId="790E8758" w:rsidR="00F20114" w:rsidRDefault="006F56C7" w:rsidP="000843FF">
      <w:pPr>
        <w:pStyle w:val="Heading1"/>
      </w:pPr>
      <w:bookmarkStart w:id="24" w:name="_Toc428541069"/>
      <w:r>
        <w:t>Conclusions</w:t>
      </w:r>
      <w:bookmarkEnd w:id="24"/>
    </w:p>
    <w:p w14:paraId="58F639A6" w14:textId="77777777" w:rsidR="006F56C7" w:rsidRDefault="006F56C7"/>
    <w:p w14:paraId="46000FE8" w14:textId="14F51842" w:rsidR="006F56C7" w:rsidRDefault="006F56C7">
      <w:r>
        <w:lastRenderedPageBreak/>
        <w:t xml:space="preserve">The MAV believes that there are opportunities to improve the </w:t>
      </w:r>
      <w:r w:rsidR="007C62FF">
        <w:t>draft rates capping and variations framework. The MAV remains concerned that the model as written will present significant barriers to councils discharging their full scope of services and infrastructure. Underpinning this concern is the apparent difficult burden of proof that will be applied to applications (although it is noted that in verbal conversations with ESC there has been an indication that the burden will not be significant), as well as a cap that is set well below the underlying movement in councils’ costs. Perversely, it is apparent that some of the smaller rural shire</w:t>
      </w:r>
      <w:r w:rsidR="00872A19">
        <w:t>s</w:t>
      </w:r>
      <w:r w:rsidR="007C62FF">
        <w:t xml:space="preserve"> that have declinin</w:t>
      </w:r>
      <w:r w:rsidR="00872A19">
        <w:t xml:space="preserve">g populations and high fixed costs through existing infrastructure will be the worst affected. </w:t>
      </w:r>
    </w:p>
    <w:p w14:paraId="71DD131D" w14:textId="1A94B9B9" w:rsidR="008405D9" w:rsidRDefault="008405D9"/>
    <w:p w14:paraId="3565B9C6" w14:textId="619B4850" w:rsidR="008405D9" w:rsidRDefault="005A40AE">
      <w:r>
        <w:t xml:space="preserve">Achieving a satisfactory model should not be rushed and requires further detailed analysis and consultation with councils to avoid potentially quite significant negative impacts on the community from a liveability viewpoint. </w:t>
      </w:r>
    </w:p>
    <w:p w14:paraId="013A455E" w14:textId="77777777" w:rsidR="008405D9" w:rsidRDefault="008405D9"/>
    <w:p w14:paraId="7671CF05" w14:textId="6922148B" w:rsidR="00872A19" w:rsidRPr="00872A19" w:rsidRDefault="00872A19">
      <w:r>
        <w:t xml:space="preserve"> </w:t>
      </w:r>
    </w:p>
    <w:sectPr w:rsidR="00872A19" w:rsidRPr="00872A19" w:rsidSect="00F20114">
      <w:headerReference w:type="even" r:id="rId20"/>
      <w:headerReference w:type="default" r:id="rId21"/>
      <w:footerReference w:type="default" r:id="rId22"/>
      <w:headerReference w:type="first" r:id="rId23"/>
      <w:footerReference w:type="first" r:id="rId24"/>
      <w:pgSz w:w="11907" w:h="16840" w:code="9"/>
      <w:pgMar w:top="1440" w:right="1797" w:bottom="1440"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D8B43" w14:textId="77777777" w:rsidR="0069672D" w:rsidRDefault="0069672D">
      <w:r>
        <w:separator/>
      </w:r>
    </w:p>
  </w:endnote>
  <w:endnote w:type="continuationSeparator" w:id="0">
    <w:p w14:paraId="309C4D0D" w14:textId="77777777" w:rsidR="0069672D" w:rsidRDefault="0069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2B5F7" w14:textId="77777777" w:rsidR="00292483" w:rsidRDefault="00292483">
    <w:pPr>
      <w:pStyle w:val="Footer"/>
      <w:tabs>
        <w:tab w:val="clear" w:pos="4320"/>
        <w:tab w:val="clear" w:pos="8640"/>
      </w:tabs>
    </w:pPr>
    <w:r>
      <w:rPr>
        <w:rStyle w:val="PageNumber"/>
      </w:rPr>
      <w:tab/>
    </w:r>
    <w:r>
      <w:rPr>
        <w:rStyle w:val="PageNumber"/>
        <w:sz w:val="16"/>
      </w:rPr>
      <w:t>Current Practices in Councillor Training: June 2006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B35AE" w14:textId="77777777" w:rsidR="00292483" w:rsidRDefault="00292483">
    <w:pPr>
      <w:pStyle w:val="Footer"/>
      <w:tabs>
        <w:tab w:val="clear" w:pos="4320"/>
        <w:tab w:val="clear" w:pos="8640"/>
      </w:tabs>
      <w:rPr>
        <w:color w:val="FFFFFF"/>
      </w:rPr>
    </w:pPr>
    <w:r>
      <w:rPr>
        <w:rStyle w:val="PageNumber"/>
        <w:color w:val="FFFFFF"/>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D9B87" w14:textId="77DAEA31" w:rsidR="00292483" w:rsidRPr="007D5FD6" w:rsidRDefault="00292483" w:rsidP="00F20114">
    <w:pPr>
      <w:pStyle w:val="Footer"/>
      <w:tabs>
        <w:tab w:val="clear" w:pos="8640"/>
        <w:tab w:val="right" w:pos="8364"/>
      </w:tabs>
      <w:rPr>
        <w:rStyle w:val="FooterChar"/>
      </w:rPr>
    </w:pPr>
    <w:r w:rsidRPr="002907FD">
      <w:rPr>
        <w:rFonts w:cs="Arial"/>
      </w:rPr>
      <w:fldChar w:fldCharType="begin"/>
    </w:r>
    <w:r w:rsidRPr="002907FD">
      <w:rPr>
        <w:rFonts w:cs="Arial"/>
      </w:rPr>
      <w:instrText xml:space="preserve"> PAGE </w:instrText>
    </w:r>
    <w:r w:rsidRPr="002907FD">
      <w:rPr>
        <w:rFonts w:cs="Arial"/>
      </w:rPr>
      <w:fldChar w:fldCharType="separate"/>
    </w:r>
    <w:r w:rsidR="002632A5">
      <w:rPr>
        <w:rFonts w:cs="Arial"/>
        <w:noProof/>
      </w:rPr>
      <w:t>4</w:t>
    </w:r>
    <w:r w:rsidRPr="002907FD">
      <w:rPr>
        <w:rFonts w:cs="Arial"/>
      </w:rPr>
      <w:fldChar w:fldCharType="end"/>
    </w:r>
    <w:r w:rsidRPr="002907FD">
      <w:rPr>
        <w:rFonts w:ascii="Book Antiqua" w:hAnsi="Book Antiqua"/>
        <w:sz w:val="16"/>
        <w:szCs w:val="24"/>
      </w:rPr>
      <w:tab/>
    </w:r>
    <w:r>
      <w:rPr>
        <w:rFonts w:ascii="Book Antiqua" w:hAnsi="Book Antiqua"/>
        <w:sz w:val="16"/>
        <w:szCs w:val="24"/>
      </w:rPr>
      <w:tab/>
    </w:r>
    <w:sdt>
      <w:sdtPr>
        <w:alias w:val="Title"/>
        <w:tag w:val=""/>
        <w:id w:val="527459822"/>
        <w:placeholder>
          <w:docPart w:val="7B6F135C83F64C88B6A12B40991D0E17"/>
        </w:placeholder>
        <w:dataBinding w:prefixMappings="xmlns:ns0='http://purl.org/dc/elements/1.1/' xmlns:ns1='http://schemas.openxmlformats.org/package/2006/metadata/core-properties' " w:xpath="/ns1:coreProperties[1]/ns0:title[1]" w:storeItemID="{6C3C8BC8-F283-45AE-878A-BAB7291924A1}"/>
        <w:text/>
      </w:sdtPr>
      <w:sdtEndPr/>
      <w:sdtContent>
        <w:r w:rsidR="002632A5">
          <w:t>MAV Submission to the draft ESC Rates Framework</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A8F55" w14:textId="77777777" w:rsidR="00292483" w:rsidRPr="00CC322A" w:rsidRDefault="00292483">
    <w:pPr>
      <w:pStyle w:val="Footer"/>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DB8B5" w14:textId="77777777" w:rsidR="0069672D" w:rsidRDefault="0069672D">
      <w:r>
        <w:separator/>
      </w:r>
    </w:p>
  </w:footnote>
  <w:footnote w:type="continuationSeparator" w:id="0">
    <w:p w14:paraId="10F0BFF2" w14:textId="77777777" w:rsidR="0069672D" w:rsidRDefault="0069672D">
      <w:r>
        <w:continuationSeparator/>
      </w:r>
    </w:p>
  </w:footnote>
  <w:footnote w:id="1">
    <w:p w14:paraId="7E06EDCE" w14:textId="77777777" w:rsidR="00292483" w:rsidRDefault="00292483" w:rsidP="00F20114">
      <w:pPr>
        <w:pStyle w:val="FootnoteText"/>
      </w:pPr>
      <w:r>
        <w:rPr>
          <w:rStyle w:val="FootnoteReference"/>
        </w:rPr>
        <w:footnoteRef/>
      </w:r>
      <w:r>
        <w:t xml:space="preserve"> ERPs tend to be subject to greatest revision the further out from a census year</w:t>
      </w:r>
    </w:p>
  </w:footnote>
  <w:footnote w:id="2">
    <w:p w14:paraId="6ADDEC1F" w14:textId="77777777" w:rsidR="00292483" w:rsidRDefault="00292483" w:rsidP="00F20114">
      <w:pPr>
        <w:pStyle w:val="FootnoteText"/>
      </w:pPr>
      <w:r>
        <w:rPr>
          <w:rStyle w:val="FootnoteReference"/>
        </w:rPr>
        <w:footnoteRef/>
      </w:r>
      <w:r>
        <w:t xml:space="preserve"> in fact based on trend growth rates per head could decline </w:t>
      </w:r>
    </w:p>
  </w:footnote>
  <w:footnote w:id="3">
    <w:p w14:paraId="5EB85DDE" w14:textId="77777777" w:rsidR="00292483" w:rsidRDefault="00292483" w:rsidP="00F20114">
      <w:pPr>
        <w:pStyle w:val="FootnoteText"/>
      </w:pPr>
      <w:r>
        <w:rPr>
          <w:rStyle w:val="FootnoteReference"/>
        </w:rPr>
        <w:footnoteRef/>
      </w:r>
      <w:r>
        <w:t xml:space="preserve"> Assessment numbers have been sourced from the VGC return and have been accepted at face value.  The timing of supplementary assessments may impact these findings.</w:t>
      </w:r>
    </w:p>
  </w:footnote>
  <w:footnote w:id="4">
    <w:p w14:paraId="61F5EA2F" w14:textId="0F1F45AC" w:rsidR="00292483" w:rsidRDefault="00292483" w:rsidP="00F20114">
      <w:pPr>
        <w:pStyle w:val="FootnoteText"/>
      </w:pPr>
      <w:r>
        <w:rPr>
          <w:rStyle w:val="FootnoteReference"/>
        </w:rPr>
        <w:footnoteRef/>
      </w:r>
      <w:r>
        <w:t xml:space="preserve"> </w:t>
      </w:r>
      <w:proofErr w:type="gramStart"/>
      <w:r>
        <w:t>while</w:t>
      </w:r>
      <w:proofErr w:type="gramEnd"/>
      <w:r>
        <w:t xml:space="preserve"> service rates can make service users more conscious of the cost of waste collection services there is conjecture as to whether they really send strong signals to consumers unless they are more accurately related to respective volumes, the frequency of needed collections, and weight transported and disposed to landfill.</w:t>
      </w:r>
    </w:p>
  </w:footnote>
  <w:footnote w:id="5">
    <w:p w14:paraId="3225F36D" w14:textId="77777777" w:rsidR="00292483" w:rsidRDefault="00292483" w:rsidP="00F20114">
      <w:pPr>
        <w:pStyle w:val="FootnoteText"/>
      </w:pPr>
      <w:r>
        <w:rPr>
          <w:rStyle w:val="FootnoteReference"/>
        </w:rPr>
        <w:footnoteRef/>
      </w:r>
      <w:r>
        <w:t xml:space="preserve"> </w:t>
      </w:r>
      <w:proofErr w:type="gramStart"/>
      <w:r>
        <w:t>subsequent</w:t>
      </w:r>
      <w:proofErr w:type="gramEnd"/>
      <w:r>
        <w:t xml:space="preserve"> years only have partial coverage.  The STEP data is considered much more reliable than that used by the AG in comparing overall renewal spending and depreciation.  </w:t>
      </w:r>
    </w:p>
  </w:footnote>
  <w:footnote w:id="6">
    <w:p w14:paraId="74F87B14" w14:textId="77777777" w:rsidR="00292483" w:rsidRDefault="00292483" w:rsidP="00F20114">
      <w:pPr>
        <w:pStyle w:val="FootnoteText"/>
      </w:pPr>
      <w:r>
        <w:rPr>
          <w:rStyle w:val="FootnoteReference"/>
        </w:rPr>
        <w:footnoteRef/>
      </w:r>
      <w:r>
        <w:t xml:space="preserve"> five year average annual renewal demand gap shows a very similar picture but figures are considered less reliable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7D081" w14:textId="77777777" w:rsidR="00292483" w:rsidRDefault="00292483"/>
  <w:p w14:paraId="55068754" w14:textId="77777777" w:rsidR="00292483" w:rsidRDefault="002924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37F01" w14:textId="77777777" w:rsidR="00292483" w:rsidRDefault="00292483" w:rsidP="00F20114">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93708" w14:textId="77777777" w:rsidR="00292483" w:rsidRDefault="002924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26F20" w14:textId="77777777" w:rsidR="00292483" w:rsidRDefault="00292483" w:rsidP="00F20114">
    <w:pPr>
      <w:pStyle w:val="Header"/>
      <w:jc w:val="right"/>
    </w:pPr>
    <w:r>
      <w:rPr>
        <w:noProof/>
        <w:lang w:eastAsia="en-AU"/>
      </w:rPr>
      <w:drawing>
        <wp:inline distT="0" distB="0" distL="0" distR="0" wp14:anchorId="30E3EF1E" wp14:editId="335925AB">
          <wp:extent cx="1524000" cy="502920"/>
          <wp:effectExtent l="0" t="0" r="0" b="0"/>
          <wp:docPr id="3" name="Picture 3" descr="mav_b&amp;w_logo_for_d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_b&amp;w_logo_for_do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02920"/>
                  </a:xfrm>
                  <a:prstGeom prst="rect">
                    <a:avLst/>
                  </a:prstGeom>
                  <a:noFill/>
                  <a:ln>
                    <a:noFill/>
                  </a:ln>
                </pic:spPr>
              </pic:pic>
            </a:graphicData>
          </a:graphic>
        </wp:inline>
      </w:drawing>
    </w:r>
  </w:p>
  <w:p w14:paraId="1B3E01E8" w14:textId="77777777" w:rsidR="00292483" w:rsidRPr="002907FD" w:rsidRDefault="00292483" w:rsidP="00F20114">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E0959" w14:textId="77777777" w:rsidR="00292483" w:rsidRDefault="002924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9692D"/>
    <w:multiLevelType w:val="hybridMultilevel"/>
    <w:tmpl w:val="816A4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B840474"/>
    <w:multiLevelType w:val="hybridMultilevel"/>
    <w:tmpl w:val="EE08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0814DE6"/>
    <w:multiLevelType w:val="hybridMultilevel"/>
    <w:tmpl w:val="89A85232"/>
    <w:lvl w:ilvl="0" w:tplc="0C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1186B25"/>
    <w:multiLevelType w:val="hybridMultilevel"/>
    <w:tmpl w:val="95E03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64F0727"/>
    <w:multiLevelType w:val="hybridMultilevel"/>
    <w:tmpl w:val="35DA6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683782F"/>
    <w:multiLevelType w:val="multilevel"/>
    <w:tmpl w:val="2BC0DD72"/>
    <w:lvl w:ilvl="0">
      <w:start w:val="1"/>
      <w:numFmt w:val="decimal"/>
      <w:lvlRestart w:val="0"/>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6">
    <w:nsid w:val="72DB7BF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770F5A43"/>
    <w:multiLevelType w:val="hybridMultilevel"/>
    <w:tmpl w:val="2B560DEE"/>
    <w:lvl w:ilvl="0" w:tplc="D2A0BF12">
      <w:start w:val="1"/>
      <w:numFmt w:val="bullet"/>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E8C0B06"/>
    <w:multiLevelType w:val="hybridMultilevel"/>
    <w:tmpl w:val="1604D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0"/>
  </w:num>
  <w:num w:numId="5">
    <w:abstractNumId w:val="4"/>
  </w:num>
  <w:num w:numId="6">
    <w:abstractNumId w:val="1"/>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912"/>
    <w:rsid w:val="000843FF"/>
    <w:rsid w:val="0009256E"/>
    <w:rsid w:val="000A7DCE"/>
    <w:rsid w:val="000E66FD"/>
    <w:rsid w:val="001138FA"/>
    <w:rsid w:val="0012356D"/>
    <w:rsid w:val="00166F7A"/>
    <w:rsid w:val="001D699A"/>
    <w:rsid w:val="001F2BCA"/>
    <w:rsid w:val="002632A5"/>
    <w:rsid w:val="00263D8F"/>
    <w:rsid w:val="00292483"/>
    <w:rsid w:val="002930D5"/>
    <w:rsid w:val="0030496D"/>
    <w:rsid w:val="00371D42"/>
    <w:rsid w:val="003871EE"/>
    <w:rsid w:val="00424A4B"/>
    <w:rsid w:val="00463AAA"/>
    <w:rsid w:val="004B4CEE"/>
    <w:rsid w:val="00516578"/>
    <w:rsid w:val="005A40AE"/>
    <w:rsid w:val="005C3C5C"/>
    <w:rsid w:val="005D7661"/>
    <w:rsid w:val="005F0E18"/>
    <w:rsid w:val="00611408"/>
    <w:rsid w:val="00624E7A"/>
    <w:rsid w:val="00625FE0"/>
    <w:rsid w:val="0069672D"/>
    <w:rsid w:val="006F56C7"/>
    <w:rsid w:val="007C62FF"/>
    <w:rsid w:val="007E5060"/>
    <w:rsid w:val="00825303"/>
    <w:rsid w:val="008405D9"/>
    <w:rsid w:val="00853A2D"/>
    <w:rsid w:val="00872A19"/>
    <w:rsid w:val="008C598C"/>
    <w:rsid w:val="009029FF"/>
    <w:rsid w:val="00943961"/>
    <w:rsid w:val="00A14ADF"/>
    <w:rsid w:val="00AC695B"/>
    <w:rsid w:val="00AF34D6"/>
    <w:rsid w:val="00B10727"/>
    <w:rsid w:val="00B20F1B"/>
    <w:rsid w:val="00B37A23"/>
    <w:rsid w:val="00BA1A30"/>
    <w:rsid w:val="00BB2DE5"/>
    <w:rsid w:val="00C05912"/>
    <w:rsid w:val="00C62F85"/>
    <w:rsid w:val="00C93A42"/>
    <w:rsid w:val="00CC235C"/>
    <w:rsid w:val="00CE28B5"/>
    <w:rsid w:val="00D20723"/>
    <w:rsid w:val="00D574B1"/>
    <w:rsid w:val="00D81674"/>
    <w:rsid w:val="00DB0758"/>
    <w:rsid w:val="00E117D9"/>
    <w:rsid w:val="00E54990"/>
    <w:rsid w:val="00E63CAC"/>
    <w:rsid w:val="00E714E8"/>
    <w:rsid w:val="00EB53E6"/>
    <w:rsid w:val="00ED4F32"/>
    <w:rsid w:val="00EE2D4D"/>
    <w:rsid w:val="00F0714B"/>
    <w:rsid w:val="00F20114"/>
    <w:rsid w:val="00F26DC0"/>
    <w:rsid w:val="00F4638D"/>
    <w:rsid w:val="00F54145"/>
    <w:rsid w:val="00FF67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665A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12"/>
    <w:rPr>
      <w:rFonts w:eastAsia="Times New Roman" w:cs="Times New Roman"/>
      <w:szCs w:val="20"/>
    </w:rPr>
  </w:style>
  <w:style w:type="paragraph" w:styleId="Heading1">
    <w:name w:val="heading 1"/>
    <w:basedOn w:val="Normal"/>
    <w:next w:val="Normal"/>
    <w:link w:val="Heading1Char"/>
    <w:qFormat/>
    <w:rsid w:val="00C05912"/>
    <w:pPr>
      <w:keepNext/>
      <w:numPr>
        <w:numId w:val="9"/>
      </w:numPr>
      <w:outlineLvl w:val="0"/>
    </w:pPr>
    <w:rPr>
      <w:kern w:val="28"/>
      <w:sz w:val="28"/>
    </w:rPr>
  </w:style>
  <w:style w:type="paragraph" w:styleId="Heading2">
    <w:name w:val="heading 2"/>
    <w:basedOn w:val="Normal"/>
    <w:next w:val="Normal"/>
    <w:link w:val="Heading2Char"/>
    <w:qFormat/>
    <w:rsid w:val="00C05912"/>
    <w:pPr>
      <w:keepNext/>
      <w:numPr>
        <w:ilvl w:val="1"/>
        <w:numId w:val="9"/>
      </w:numPr>
      <w:outlineLvl w:val="1"/>
    </w:pPr>
    <w:rPr>
      <w:b/>
    </w:rPr>
  </w:style>
  <w:style w:type="paragraph" w:styleId="Heading3">
    <w:name w:val="heading 3"/>
    <w:basedOn w:val="Normal"/>
    <w:next w:val="Normal"/>
    <w:link w:val="Heading3Char"/>
    <w:qFormat/>
    <w:rsid w:val="00C05912"/>
    <w:pPr>
      <w:keepNext/>
      <w:numPr>
        <w:ilvl w:val="2"/>
        <w:numId w:val="9"/>
      </w:numPr>
      <w:outlineLvl w:val="2"/>
    </w:pPr>
    <w:rPr>
      <w:rFonts w:cs="Arial"/>
      <w:u w:val="single"/>
    </w:rPr>
  </w:style>
  <w:style w:type="paragraph" w:styleId="Heading4">
    <w:name w:val="heading 4"/>
    <w:basedOn w:val="Normal"/>
    <w:next w:val="Normal"/>
    <w:link w:val="Heading4Char"/>
    <w:uiPriority w:val="9"/>
    <w:unhideWhenUsed/>
    <w:qFormat/>
    <w:rsid w:val="00F20114"/>
    <w:pPr>
      <w:keepNext/>
      <w:keepLines/>
      <w:numPr>
        <w:ilvl w:val="3"/>
        <w:numId w:val="9"/>
      </w:numPr>
      <w:spacing w:before="200"/>
      <w:outlineLvl w:val="3"/>
    </w:pPr>
    <w:rPr>
      <w:rFonts w:eastAsiaTheme="majorEastAsia" w:cstheme="majorBidi"/>
      <w:bCs/>
      <w:i/>
      <w:iCs/>
    </w:rPr>
  </w:style>
  <w:style w:type="paragraph" w:styleId="Heading5">
    <w:name w:val="heading 5"/>
    <w:basedOn w:val="Normal"/>
    <w:next w:val="Normal"/>
    <w:link w:val="Heading5Char"/>
    <w:uiPriority w:val="9"/>
    <w:semiHidden/>
    <w:unhideWhenUsed/>
    <w:qFormat/>
    <w:rsid w:val="005F0E18"/>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F0E1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F0E1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F0E18"/>
    <w:pPr>
      <w:keepNext/>
      <w:keepLines/>
      <w:numPr>
        <w:ilvl w:val="7"/>
        <w:numId w:val="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F0E18"/>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5912"/>
    <w:rPr>
      <w:rFonts w:eastAsia="Times New Roman" w:cs="Times New Roman"/>
      <w:kern w:val="28"/>
      <w:sz w:val="28"/>
      <w:szCs w:val="20"/>
    </w:rPr>
  </w:style>
  <w:style w:type="character" w:customStyle="1" w:styleId="Heading2Char">
    <w:name w:val="Heading 2 Char"/>
    <w:basedOn w:val="DefaultParagraphFont"/>
    <w:link w:val="Heading2"/>
    <w:rsid w:val="00C05912"/>
    <w:rPr>
      <w:rFonts w:eastAsia="Times New Roman" w:cs="Times New Roman"/>
      <w:b/>
      <w:szCs w:val="20"/>
    </w:rPr>
  </w:style>
  <w:style w:type="character" w:customStyle="1" w:styleId="Heading3Char">
    <w:name w:val="Heading 3 Char"/>
    <w:basedOn w:val="DefaultParagraphFont"/>
    <w:link w:val="Heading3"/>
    <w:rsid w:val="00C05912"/>
    <w:rPr>
      <w:rFonts w:eastAsia="Times New Roman" w:cs="Arial"/>
      <w:szCs w:val="20"/>
      <w:u w:val="single"/>
    </w:rPr>
  </w:style>
  <w:style w:type="character" w:styleId="Hyperlink">
    <w:name w:val="Hyperlink"/>
    <w:basedOn w:val="DefaultParagraphFont"/>
    <w:uiPriority w:val="99"/>
    <w:rsid w:val="00C05912"/>
    <w:rPr>
      <w:color w:val="0000FF"/>
      <w:u w:val="single"/>
    </w:rPr>
  </w:style>
  <w:style w:type="paragraph" w:styleId="Header">
    <w:name w:val="header"/>
    <w:basedOn w:val="Normal"/>
    <w:link w:val="HeaderChar"/>
    <w:rsid w:val="00C05912"/>
    <w:pPr>
      <w:tabs>
        <w:tab w:val="center" w:pos="4320"/>
        <w:tab w:val="right" w:pos="8640"/>
      </w:tabs>
    </w:pPr>
  </w:style>
  <w:style w:type="character" w:customStyle="1" w:styleId="HeaderChar">
    <w:name w:val="Header Char"/>
    <w:basedOn w:val="DefaultParagraphFont"/>
    <w:link w:val="Header"/>
    <w:rsid w:val="00C05912"/>
    <w:rPr>
      <w:rFonts w:eastAsia="Times New Roman" w:cs="Times New Roman"/>
      <w:szCs w:val="20"/>
    </w:rPr>
  </w:style>
  <w:style w:type="paragraph" w:styleId="Footer">
    <w:name w:val="footer"/>
    <w:basedOn w:val="Normal"/>
    <w:link w:val="FooterChar"/>
    <w:rsid w:val="00C05912"/>
    <w:pPr>
      <w:tabs>
        <w:tab w:val="center" w:pos="4320"/>
        <w:tab w:val="right" w:pos="8640"/>
      </w:tabs>
    </w:pPr>
    <w:rPr>
      <w:sz w:val="20"/>
    </w:rPr>
  </w:style>
  <w:style w:type="character" w:customStyle="1" w:styleId="FooterChar">
    <w:name w:val="Footer Char"/>
    <w:basedOn w:val="DefaultParagraphFont"/>
    <w:link w:val="Footer"/>
    <w:rsid w:val="00C05912"/>
    <w:rPr>
      <w:rFonts w:eastAsia="Times New Roman" w:cs="Times New Roman"/>
      <w:sz w:val="20"/>
      <w:szCs w:val="20"/>
    </w:rPr>
  </w:style>
  <w:style w:type="character" w:styleId="PageNumber">
    <w:name w:val="page number"/>
    <w:basedOn w:val="DefaultParagraphFont"/>
    <w:rsid w:val="00C05912"/>
  </w:style>
  <w:style w:type="paragraph" w:styleId="TOC1">
    <w:name w:val="toc 1"/>
    <w:basedOn w:val="Normal"/>
    <w:next w:val="Normal"/>
    <w:autoRedefine/>
    <w:uiPriority w:val="39"/>
    <w:rsid w:val="00C05912"/>
    <w:pPr>
      <w:tabs>
        <w:tab w:val="left" w:pos="400"/>
        <w:tab w:val="right" w:leader="dot" w:pos="8636"/>
      </w:tabs>
      <w:spacing w:before="120"/>
    </w:pPr>
    <w:rPr>
      <w:bCs/>
      <w:i/>
      <w:iCs/>
      <w:szCs w:val="28"/>
    </w:rPr>
  </w:style>
  <w:style w:type="paragraph" w:styleId="TOC2">
    <w:name w:val="toc 2"/>
    <w:basedOn w:val="Normal"/>
    <w:next w:val="Normal"/>
    <w:autoRedefine/>
    <w:uiPriority w:val="39"/>
    <w:rsid w:val="00C05912"/>
    <w:pPr>
      <w:tabs>
        <w:tab w:val="left" w:pos="600"/>
        <w:tab w:val="right" w:leader="dot" w:pos="8636"/>
      </w:tabs>
      <w:spacing w:before="120"/>
      <w:ind w:left="198"/>
    </w:pPr>
    <w:rPr>
      <w:rFonts w:cs="Arial"/>
      <w:i/>
      <w:noProof/>
      <w:szCs w:val="26"/>
    </w:rPr>
  </w:style>
  <w:style w:type="paragraph" w:customStyle="1" w:styleId="TableHeading">
    <w:name w:val="Table Heading"/>
    <w:basedOn w:val="Normal"/>
    <w:rsid w:val="00C05912"/>
    <w:pPr>
      <w:spacing w:before="40" w:after="40"/>
    </w:pPr>
    <w:rPr>
      <w:rFonts w:cs="Arial"/>
      <w:b/>
      <w:szCs w:val="22"/>
    </w:rPr>
  </w:style>
  <w:style w:type="paragraph" w:customStyle="1" w:styleId="Tabletext">
    <w:name w:val="Table text"/>
    <w:basedOn w:val="Normal"/>
    <w:rsid w:val="00C05912"/>
    <w:pPr>
      <w:spacing w:before="40" w:after="40"/>
    </w:pPr>
    <w:rPr>
      <w:rFonts w:cs="Arial"/>
      <w:szCs w:val="22"/>
    </w:rPr>
  </w:style>
  <w:style w:type="paragraph" w:customStyle="1" w:styleId="Source">
    <w:name w:val="Source"/>
    <w:basedOn w:val="Normal"/>
    <w:rsid w:val="00C05912"/>
    <w:pPr>
      <w:spacing w:before="120" w:after="120"/>
      <w:jc w:val="both"/>
    </w:pPr>
    <w:rPr>
      <w:rFonts w:cs="Arial"/>
      <w:i/>
      <w:iCs/>
      <w:sz w:val="16"/>
    </w:rPr>
  </w:style>
  <w:style w:type="paragraph" w:customStyle="1" w:styleId="References">
    <w:name w:val="References"/>
    <w:basedOn w:val="Normal"/>
    <w:rsid w:val="00C05912"/>
    <w:pPr>
      <w:spacing w:before="120" w:after="120"/>
      <w:ind w:left="567" w:hanging="567"/>
      <w:jc w:val="both"/>
    </w:pPr>
    <w:rPr>
      <w:rFonts w:cs="Arial"/>
    </w:rPr>
  </w:style>
  <w:style w:type="character" w:customStyle="1" w:styleId="StyleBold">
    <w:name w:val="Style Bold"/>
    <w:basedOn w:val="DefaultParagraphFont"/>
    <w:rsid w:val="00C05912"/>
    <w:rPr>
      <w:rFonts w:ascii="Arial" w:hAnsi="Arial"/>
      <w:bCs/>
      <w:sz w:val="28"/>
    </w:rPr>
  </w:style>
  <w:style w:type="paragraph" w:customStyle="1" w:styleId="Disclaimer">
    <w:name w:val="Disclaimer"/>
    <w:basedOn w:val="Normal"/>
    <w:rsid w:val="00C05912"/>
    <w:pPr>
      <w:autoSpaceDE w:val="0"/>
      <w:autoSpaceDN w:val="0"/>
      <w:adjustRightInd w:val="0"/>
      <w:ind w:left="720"/>
    </w:pPr>
    <w:rPr>
      <w:rFonts w:cs="Arial"/>
      <w:i/>
      <w:iCs/>
      <w:color w:val="000000"/>
      <w:sz w:val="20"/>
    </w:rPr>
  </w:style>
  <w:style w:type="paragraph" w:customStyle="1" w:styleId="DisclaimerBold">
    <w:name w:val="Disclaimer Bold"/>
    <w:basedOn w:val="Disclaimer"/>
    <w:rsid w:val="00C05912"/>
    <w:rPr>
      <w:b/>
    </w:rPr>
  </w:style>
  <w:style w:type="paragraph" w:styleId="BalloonText">
    <w:name w:val="Balloon Text"/>
    <w:basedOn w:val="Normal"/>
    <w:link w:val="BalloonTextChar"/>
    <w:uiPriority w:val="99"/>
    <w:semiHidden/>
    <w:unhideWhenUsed/>
    <w:rsid w:val="00C05912"/>
    <w:rPr>
      <w:rFonts w:ascii="Tahoma" w:hAnsi="Tahoma" w:cs="Tahoma"/>
      <w:sz w:val="16"/>
      <w:szCs w:val="16"/>
    </w:rPr>
  </w:style>
  <w:style w:type="character" w:customStyle="1" w:styleId="BalloonTextChar">
    <w:name w:val="Balloon Text Char"/>
    <w:basedOn w:val="DefaultParagraphFont"/>
    <w:link w:val="BalloonText"/>
    <w:uiPriority w:val="99"/>
    <w:semiHidden/>
    <w:rsid w:val="00C05912"/>
    <w:rPr>
      <w:rFonts w:ascii="Tahoma" w:eastAsia="Times New Roman" w:hAnsi="Tahoma" w:cs="Tahoma"/>
      <w:sz w:val="16"/>
      <w:szCs w:val="16"/>
    </w:rPr>
  </w:style>
  <w:style w:type="character" w:styleId="Emphasis">
    <w:name w:val="Emphasis"/>
    <w:basedOn w:val="DefaultParagraphFont"/>
    <w:uiPriority w:val="20"/>
    <w:qFormat/>
    <w:rsid w:val="00EB53E6"/>
    <w:rPr>
      <w:i/>
      <w:iCs/>
    </w:rPr>
  </w:style>
  <w:style w:type="paragraph" w:styleId="Title">
    <w:name w:val="Title"/>
    <w:basedOn w:val="Header"/>
    <w:next w:val="Normal"/>
    <w:link w:val="TitleChar"/>
    <w:uiPriority w:val="10"/>
    <w:qFormat/>
    <w:rsid w:val="002632A5"/>
    <w:pPr>
      <w:tabs>
        <w:tab w:val="clear" w:pos="4320"/>
        <w:tab w:val="clear" w:pos="8640"/>
      </w:tabs>
      <w:jc w:val="right"/>
    </w:pPr>
    <w:rPr>
      <w:rFonts w:cs="Arial"/>
      <w:b/>
      <w:bCs/>
      <w:sz w:val="36"/>
      <w:szCs w:val="36"/>
    </w:rPr>
  </w:style>
  <w:style w:type="character" w:customStyle="1" w:styleId="TitleChar">
    <w:name w:val="Title Char"/>
    <w:basedOn w:val="DefaultParagraphFont"/>
    <w:link w:val="Title"/>
    <w:uiPriority w:val="10"/>
    <w:rsid w:val="002632A5"/>
    <w:rPr>
      <w:rFonts w:eastAsia="Times New Roman" w:cs="Arial"/>
      <w:b/>
      <w:bCs/>
      <w:sz w:val="36"/>
      <w:szCs w:val="36"/>
    </w:rPr>
  </w:style>
  <w:style w:type="character" w:styleId="PlaceholderText">
    <w:name w:val="Placeholder Text"/>
    <w:basedOn w:val="DefaultParagraphFont"/>
    <w:uiPriority w:val="99"/>
    <w:semiHidden/>
    <w:rsid w:val="0030496D"/>
    <w:rPr>
      <w:color w:val="808080"/>
    </w:rPr>
  </w:style>
  <w:style w:type="paragraph" w:styleId="Subtitle">
    <w:name w:val="Subtitle"/>
    <w:basedOn w:val="Normal"/>
    <w:next w:val="Normal"/>
    <w:link w:val="SubtitleChar"/>
    <w:uiPriority w:val="11"/>
    <w:qFormat/>
    <w:rsid w:val="002632A5"/>
    <w:pPr>
      <w:pBdr>
        <w:top w:val="single" w:sz="6" w:space="1" w:color="FFFFFF"/>
        <w:left w:val="single" w:sz="6" w:space="1" w:color="FFFFFF"/>
        <w:bottom w:val="single" w:sz="6" w:space="1" w:color="FFFFFF"/>
        <w:right w:val="single" w:sz="6" w:space="0" w:color="FFFFFF"/>
      </w:pBdr>
      <w:jc w:val="right"/>
    </w:pPr>
    <w:rPr>
      <w:rFonts w:cs="Arial"/>
      <w:b/>
      <w:szCs w:val="24"/>
    </w:rPr>
  </w:style>
  <w:style w:type="character" w:customStyle="1" w:styleId="SubtitleChar">
    <w:name w:val="Subtitle Char"/>
    <w:basedOn w:val="DefaultParagraphFont"/>
    <w:link w:val="Subtitle"/>
    <w:uiPriority w:val="11"/>
    <w:rsid w:val="002632A5"/>
    <w:rPr>
      <w:rFonts w:eastAsia="Times New Roman" w:cs="Arial"/>
      <w:b/>
      <w:szCs w:val="24"/>
    </w:rPr>
  </w:style>
  <w:style w:type="paragraph" w:styleId="Revision">
    <w:name w:val="Revision"/>
    <w:hidden/>
    <w:uiPriority w:val="99"/>
    <w:semiHidden/>
    <w:rsid w:val="00E714E8"/>
    <w:rPr>
      <w:rFonts w:eastAsia="Times New Roman" w:cs="Times New Roman"/>
      <w:szCs w:val="20"/>
    </w:rPr>
  </w:style>
  <w:style w:type="paragraph" w:styleId="FootnoteText">
    <w:name w:val="footnote text"/>
    <w:basedOn w:val="Normal"/>
    <w:link w:val="FootnoteTextChar"/>
    <w:uiPriority w:val="99"/>
    <w:semiHidden/>
    <w:unhideWhenUsed/>
    <w:rsid w:val="00F20114"/>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F20114"/>
    <w:rPr>
      <w:rFonts w:asciiTheme="minorHAnsi" w:hAnsiTheme="minorHAnsi"/>
      <w:sz w:val="20"/>
      <w:szCs w:val="20"/>
    </w:rPr>
  </w:style>
  <w:style w:type="character" w:styleId="FootnoteReference">
    <w:name w:val="footnote reference"/>
    <w:basedOn w:val="DefaultParagraphFont"/>
    <w:uiPriority w:val="99"/>
    <w:semiHidden/>
    <w:unhideWhenUsed/>
    <w:rsid w:val="00F20114"/>
    <w:rPr>
      <w:vertAlign w:val="superscript"/>
    </w:rPr>
  </w:style>
  <w:style w:type="paragraph" w:styleId="ListParagraph">
    <w:name w:val="List Paragraph"/>
    <w:basedOn w:val="Normal"/>
    <w:uiPriority w:val="34"/>
    <w:qFormat/>
    <w:rsid w:val="00F20114"/>
    <w:pPr>
      <w:spacing w:after="200" w:line="276" w:lineRule="auto"/>
      <w:ind w:left="720"/>
      <w:contextualSpacing/>
    </w:pPr>
    <w:rPr>
      <w:rFonts w:eastAsiaTheme="minorHAnsi" w:cstheme="minorBidi"/>
      <w:szCs w:val="22"/>
    </w:rPr>
  </w:style>
  <w:style w:type="character" w:styleId="FollowedHyperlink">
    <w:name w:val="FollowedHyperlink"/>
    <w:basedOn w:val="DefaultParagraphFont"/>
    <w:uiPriority w:val="99"/>
    <w:semiHidden/>
    <w:unhideWhenUsed/>
    <w:rsid w:val="00F20114"/>
    <w:rPr>
      <w:color w:val="800080"/>
      <w:u w:val="single"/>
    </w:rPr>
  </w:style>
  <w:style w:type="paragraph" w:customStyle="1" w:styleId="xl63">
    <w:name w:val="xl63"/>
    <w:basedOn w:val="Normal"/>
    <w:rsid w:val="00F2011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Times New Roman" w:hAnsi="Times New Roman"/>
      <w:sz w:val="18"/>
      <w:szCs w:val="18"/>
      <w:lang w:eastAsia="en-AU"/>
    </w:rPr>
  </w:style>
  <w:style w:type="paragraph" w:customStyle="1" w:styleId="xl64">
    <w:name w:val="xl64"/>
    <w:basedOn w:val="Normal"/>
    <w:rsid w:val="00F20114"/>
    <w:pPr>
      <w:pBdr>
        <w:top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hAnsi="Times New Roman"/>
      <w:b/>
      <w:bCs/>
      <w:sz w:val="18"/>
      <w:szCs w:val="18"/>
      <w:lang w:eastAsia="en-AU"/>
    </w:rPr>
  </w:style>
  <w:style w:type="paragraph" w:customStyle="1" w:styleId="xl65">
    <w:name w:val="xl65"/>
    <w:basedOn w:val="Normal"/>
    <w:rsid w:val="00F2011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hAnsi="Times New Roman"/>
      <w:b/>
      <w:bCs/>
      <w:sz w:val="18"/>
      <w:szCs w:val="18"/>
      <w:lang w:eastAsia="en-AU"/>
    </w:rPr>
  </w:style>
  <w:style w:type="paragraph" w:customStyle="1" w:styleId="xl66">
    <w:name w:val="xl66"/>
    <w:basedOn w:val="Normal"/>
    <w:rsid w:val="00F201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Times New Roman" w:hAnsi="Times New Roman"/>
      <w:b/>
      <w:bCs/>
      <w:sz w:val="18"/>
      <w:szCs w:val="18"/>
      <w:lang w:eastAsia="en-AU"/>
    </w:rPr>
  </w:style>
  <w:style w:type="paragraph" w:customStyle="1" w:styleId="xl67">
    <w:name w:val="xl67"/>
    <w:basedOn w:val="Normal"/>
    <w:rsid w:val="00F20114"/>
    <w:pPr>
      <w:spacing w:before="100" w:beforeAutospacing="1" w:after="100" w:afterAutospacing="1"/>
    </w:pPr>
    <w:rPr>
      <w:rFonts w:ascii="Times New Roman" w:hAnsi="Times New Roman"/>
      <w:sz w:val="18"/>
      <w:szCs w:val="18"/>
      <w:lang w:eastAsia="en-AU"/>
    </w:rPr>
  </w:style>
  <w:style w:type="paragraph" w:customStyle="1" w:styleId="xl68">
    <w:name w:val="xl68"/>
    <w:basedOn w:val="Normal"/>
    <w:rsid w:val="00F2011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Times New Roman" w:hAnsi="Times New Roman"/>
      <w:b/>
      <w:bCs/>
      <w:sz w:val="18"/>
      <w:szCs w:val="18"/>
      <w:lang w:eastAsia="en-AU"/>
    </w:rPr>
  </w:style>
  <w:style w:type="paragraph" w:customStyle="1" w:styleId="xl69">
    <w:name w:val="xl69"/>
    <w:basedOn w:val="Normal"/>
    <w:rsid w:val="00F201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Times New Roman" w:hAnsi="Times New Roman"/>
      <w:b/>
      <w:bCs/>
      <w:sz w:val="18"/>
      <w:szCs w:val="18"/>
      <w:lang w:eastAsia="en-AU"/>
    </w:rPr>
  </w:style>
  <w:style w:type="paragraph" w:customStyle="1" w:styleId="xl70">
    <w:name w:val="xl70"/>
    <w:basedOn w:val="Normal"/>
    <w:rsid w:val="00F2011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Times New Roman" w:hAnsi="Times New Roman"/>
      <w:sz w:val="18"/>
      <w:szCs w:val="18"/>
      <w:lang w:eastAsia="en-AU"/>
    </w:rPr>
  </w:style>
  <w:style w:type="paragraph" w:customStyle="1" w:styleId="xl71">
    <w:name w:val="xl71"/>
    <w:basedOn w:val="Normal"/>
    <w:rsid w:val="00F2011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hAnsi="Times New Roman"/>
      <w:b/>
      <w:bCs/>
      <w:sz w:val="18"/>
      <w:szCs w:val="18"/>
      <w:lang w:eastAsia="en-AU"/>
    </w:rPr>
  </w:style>
  <w:style w:type="paragraph" w:customStyle="1" w:styleId="xl72">
    <w:name w:val="xl72"/>
    <w:basedOn w:val="Normal"/>
    <w:rsid w:val="00F2011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hAnsi="Times New Roman"/>
      <w:b/>
      <w:bCs/>
      <w:sz w:val="18"/>
      <w:szCs w:val="18"/>
      <w:lang w:eastAsia="en-AU"/>
    </w:rPr>
  </w:style>
  <w:style w:type="paragraph" w:customStyle="1" w:styleId="xl73">
    <w:name w:val="xl73"/>
    <w:basedOn w:val="Normal"/>
    <w:rsid w:val="00F201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hAnsi="Times New Roman"/>
      <w:b/>
      <w:bCs/>
      <w:sz w:val="18"/>
      <w:szCs w:val="18"/>
      <w:lang w:eastAsia="en-AU"/>
    </w:rPr>
  </w:style>
  <w:style w:type="paragraph" w:customStyle="1" w:styleId="xl74">
    <w:name w:val="xl74"/>
    <w:basedOn w:val="Normal"/>
    <w:rsid w:val="00F201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8"/>
      <w:szCs w:val="18"/>
      <w:lang w:eastAsia="en-AU"/>
    </w:rPr>
  </w:style>
  <w:style w:type="paragraph" w:customStyle="1" w:styleId="xl75">
    <w:name w:val="xl75"/>
    <w:basedOn w:val="Normal"/>
    <w:rsid w:val="00F2011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hAnsi="Times New Roman"/>
      <w:sz w:val="18"/>
      <w:szCs w:val="18"/>
      <w:lang w:eastAsia="en-AU"/>
    </w:rPr>
  </w:style>
  <w:style w:type="paragraph" w:customStyle="1" w:styleId="xl76">
    <w:name w:val="xl76"/>
    <w:basedOn w:val="Normal"/>
    <w:rsid w:val="00F2011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rFonts w:ascii="Times New Roman" w:hAnsi="Times New Roman"/>
      <w:sz w:val="18"/>
      <w:szCs w:val="18"/>
      <w:lang w:eastAsia="en-AU"/>
    </w:rPr>
  </w:style>
  <w:style w:type="paragraph" w:customStyle="1" w:styleId="xl77">
    <w:name w:val="xl77"/>
    <w:basedOn w:val="Normal"/>
    <w:rsid w:val="00F2011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rFonts w:ascii="Times New Roman" w:hAnsi="Times New Roman"/>
      <w:sz w:val="18"/>
      <w:szCs w:val="18"/>
      <w:lang w:eastAsia="en-AU"/>
    </w:rPr>
  </w:style>
  <w:style w:type="paragraph" w:customStyle="1" w:styleId="xl78">
    <w:name w:val="xl78"/>
    <w:basedOn w:val="Normal"/>
    <w:rsid w:val="00F201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hAnsi="Times New Roman"/>
      <w:sz w:val="18"/>
      <w:szCs w:val="18"/>
      <w:lang w:eastAsia="en-AU"/>
    </w:rPr>
  </w:style>
  <w:style w:type="paragraph" w:customStyle="1" w:styleId="xl79">
    <w:name w:val="xl79"/>
    <w:basedOn w:val="Normal"/>
    <w:rsid w:val="00F20114"/>
    <w:pPr>
      <w:pBdr>
        <w:left w:val="single" w:sz="8" w:space="0" w:color="auto"/>
        <w:bottom w:val="single" w:sz="4" w:space="0" w:color="auto"/>
        <w:right w:val="single" w:sz="4" w:space="0" w:color="auto"/>
      </w:pBdr>
      <w:shd w:val="clear" w:color="000000" w:fill="DAEEF3"/>
      <w:spacing w:before="100" w:beforeAutospacing="1" w:after="100" w:afterAutospacing="1"/>
    </w:pPr>
    <w:rPr>
      <w:rFonts w:ascii="Times New Roman" w:hAnsi="Times New Roman"/>
      <w:sz w:val="20"/>
      <w:lang w:eastAsia="en-AU"/>
    </w:rPr>
  </w:style>
  <w:style w:type="paragraph" w:customStyle="1" w:styleId="xl80">
    <w:name w:val="xl80"/>
    <w:basedOn w:val="Normal"/>
    <w:rsid w:val="00F20114"/>
    <w:pPr>
      <w:pBdr>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hAnsi="Times New Roman"/>
      <w:sz w:val="20"/>
      <w:lang w:eastAsia="en-AU"/>
    </w:rPr>
  </w:style>
  <w:style w:type="paragraph" w:customStyle="1" w:styleId="xl81">
    <w:name w:val="xl81"/>
    <w:basedOn w:val="Normal"/>
    <w:rsid w:val="00F20114"/>
    <w:pPr>
      <w:pBdr>
        <w:left w:val="single" w:sz="4" w:space="0" w:color="auto"/>
        <w:bottom w:val="single" w:sz="4" w:space="0" w:color="auto"/>
        <w:right w:val="single" w:sz="8" w:space="0" w:color="auto"/>
      </w:pBdr>
      <w:shd w:val="clear" w:color="000000" w:fill="DAEEF3"/>
      <w:spacing w:before="100" w:beforeAutospacing="1" w:after="100" w:afterAutospacing="1"/>
    </w:pPr>
    <w:rPr>
      <w:rFonts w:ascii="Times New Roman" w:hAnsi="Times New Roman"/>
      <w:sz w:val="20"/>
      <w:lang w:eastAsia="en-AU"/>
    </w:rPr>
  </w:style>
  <w:style w:type="paragraph" w:customStyle="1" w:styleId="xl82">
    <w:name w:val="xl82"/>
    <w:basedOn w:val="Normal"/>
    <w:rsid w:val="00F20114"/>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pPr>
    <w:rPr>
      <w:rFonts w:ascii="Times New Roman" w:hAnsi="Times New Roman"/>
      <w:sz w:val="20"/>
      <w:lang w:eastAsia="en-AU"/>
    </w:rPr>
  </w:style>
  <w:style w:type="paragraph" w:customStyle="1" w:styleId="xl83">
    <w:name w:val="xl83"/>
    <w:basedOn w:val="Normal"/>
    <w:rsid w:val="00F201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hAnsi="Times New Roman"/>
      <w:sz w:val="20"/>
      <w:lang w:eastAsia="en-AU"/>
    </w:rPr>
  </w:style>
  <w:style w:type="paragraph" w:customStyle="1" w:styleId="xl84">
    <w:name w:val="xl84"/>
    <w:basedOn w:val="Normal"/>
    <w:rsid w:val="00F20114"/>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Times New Roman" w:hAnsi="Times New Roman"/>
      <w:sz w:val="20"/>
      <w:lang w:eastAsia="en-AU"/>
    </w:rPr>
  </w:style>
  <w:style w:type="paragraph" w:customStyle="1" w:styleId="xl85">
    <w:name w:val="xl85"/>
    <w:basedOn w:val="Normal"/>
    <w:rsid w:val="00F20114"/>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pPr>
    <w:rPr>
      <w:rFonts w:ascii="Times New Roman" w:hAnsi="Times New Roman"/>
      <w:sz w:val="20"/>
      <w:lang w:eastAsia="en-AU"/>
    </w:rPr>
  </w:style>
  <w:style w:type="paragraph" w:customStyle="1" w:styleId="xl86">
    <w:name w:val="xl86"/>
    <w:basedOn w:val="Normal"/>
    <w:rsid w:val="00F20114"/>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pPr>
    <w:rPr>
      <w:rFonts w:ascii="Times New Roman" w:hAnsi="Times New Roman"/>
      <w:sz w:val="20"/>
      <w:lang w:eastAsia="en-AU"/>
    </w:rPr>
  </w:style>
  <w:style w:type="paragraph" w:customStyle="1" w:styleId="xl87">
    <w:name w:val="xl87"/>
    <w:basedOn w:val="Normal"/>
    <w:rsid w:val="00F20114"/>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pPr>
    <w:rPr>
      <w:rFonts w:ascii="Times New Roman" w:hAnsi="Times New Roman"/>
      <w:sz w:val="20"/>
      <w:lang w:eastAsia="en-AU"/>
    </w:rPr>
  </w:style>
  <w:style w:type="paragraph" w:customStyle="1" w:styleId="xl88">
    <w:name w:val="xl88"/>
    <w:basedOn w:val="Normal"/>
    <w:rsid w:val="00F20114"/>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jc w:val="center"/>
    </w:pPr>
    <w:rPr>
      <w:rFonts w:ascii="Times New Roman" w:hAnsi="Times New Roman"/>
      <w:b/>
      <w:bCs/>
      <w:sz w:val="20"/>
      <w:lang w:eastAsia="en-AU"/>
    </w:rPr>
  </w:style>
  <w:style w:type="paragraph" w:customStyle="1" w:styleId="xl89">
    <w:name w:val="xl89"/>
    <w:basedOn w:val="Normal"/>
    <w:rsid w:val="00F20114"/>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pPr>
    <w:rPr>
      <w:rFonts w:ascii="Times New Roman" w:hAnsi="Times New Roman"/>
      <w:b/>
      <w:bCs/>
      <w:sz w:val="20"/>
      <w:lang w:eastAsia="en-AU"/>
    </w:rPr>
  </w:style>
  <w:style w:type="paragraph" w:customStyle="1" w:styleId="xl90">
    <w:name w:val="xl90"/>
    <w:basedOn w:val="Normal"/>
    <w:rsid w:val="00F20114"/>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center"/>
    </w:pPr>
    <w:rPr>
      <w:rFonts w:ascii="Times New Roman" w:hAnsi="Times New Roman"/>
      <w:b/>
      <w:bCs/>
      <w:sz w:val="20"/>
      <w:lang w:eastAsia="en-AU"/>
    </w:rPr>
  </w:style>
  <w:style w:type="paragraph" w:customStyle="1" w:styleId="xl91">
    <w:name w:val="xl91"/>
    <w:basedOn w:val="Normal"/>
    <w:rsid w:val="00F20114"/>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Times New Roman" w:hAnsi="Times New Roman"/>
      <w:b/>
      <w:bCs/>
      <w:sz w:val="20"/>
      <w:lang w:eastAsia="en-AU"/>
    </w:rPr>
  </w:style>
  <w:style w:type="paragraph" w:customStyle="1" w:styleId="xl92">
    <w:name w:val="xl92"/>
    <w:basedOn w:val="Normal"/>
    <w:rsid w:val="00F20114"/>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Times New Roman" w:hAnsi="Times New Roman"/>
      <w:b/>
      <w:bCs/>
      <w:sz w:val="20"/>
      <w:lang w:eastAsia="en-AU"/>
    </w:rPr>
  </w:style>
  <w:style w:type="paragraph" w:customStyle="1" w:styleId="xl93">
    <w:name w:val="xl93"/>
    <w:basedOn w:val="Normal"/>
    <w:rsid w:val="00F20114"/>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Times New Roman" w:hAnsi="Times New Roman"/>
      <w:b/>
      <w:bCs/>
      <w:sz w:val="20"/>
      <w:lang w:eastAsia="en-AU"/>
    </w:rPr>
  </w:style>
  <w:style w:type="paragraph" w:customStyle="1" w:styleId="xl94">
    <w:name w:val="xl94"/>
    <w:basedOn w:val="Normal"/>
    <w:rsid w:val="00F20114"/>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Times New Roman" w:hAnsi="Times New Roman"/>
      <w:b/>
      <w:bCs/>
      <w:sz w:val="20"/>
      <w:lang w:eastAsia="en-AU"/>
    </w:rPr>
  </w:style>
  <w:style w:type="paragraph" w:customStyle="1" w:styleId="xl95">
    <w:name w:val="xl95"/>
    <w:basedOn w:val="Normal"/>
    <w:rsid w:val="00F20114"/>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hAnsi="Times New Roman"/>
      <w:b/>
      <w:bCs/>
      <w:sz w:val="20"/>
      <w:lang w:eastAsia="en-AU"/>
    </w:rPr>
  </w:style>
  <w:style w:type="paragraph" w:customStyle="1" w:styleId="xl96">
    <w:name w:val="xl96"/>
    <w:basedOn w:val="Normal"/>
    <w:rsid w:val="00F20114"/>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hAnsi="Times New Roman"/>
      <w:b/>
      <w:bCs/>
      <w:sz w:val="20"/>
      <w:lang w:eastAsia="en-AU"/>
    </w:rPr>
  </w:style>
  <w:style w:type="paragraph" w:customStyle="1" w:styleId="xl97">
    <w:name w:val="xl97"/>
    <w:basedOn w:val="Normal"/>
    <w:rsid w:val="00F20114"/>
    <w:pPr>
      <w:pBdr>
        <w:top w:val="single" w:sz="8" w:space="0" w:color="auto"/>
        <w:left w:val="single" w:sz="8" w:space="0" w:color="auto"/>
        <w:bottom w:val="single" w:sz="4" w:space="0" w:color="auto"/>
        <w:right w:val="single" w:sz="4" w:space="0" w:color="auto"/>
      </w:pBdr>
      <w:shd w:val="clear" w:color="000000" w:fill="DAEEF3"/>
      <w:spacing w:before="100" w:beforeAutospacing="1" w:after="100" w:afterAutospacing="1"/>
      <w:jc w:val="center"/>
    </w:pPr>
    <w:rPr>
      <w:rFonts w:ascii="Times New Roman" w:hAnsi="Times New Roman"/>
      <w:b/>
      <w:bCs/>
      <w:sz w:val="20"/>
      <w:lang w:eastAsia="en-AU"/>
    </w:rPr>
  </w:style>
  <w:style w:type="paragraph" w:customStyle="1" w:styleId="xl98">
    <w:name w:val="xl98"/>
    <w:basedOn w:val="Normal"/>
    <w:rsid w:val="00F20114"/>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Times New Roman" w:hAnsi="Times New Roman"/>
      <w:b/>
      <w:bCs/>
      <w:sz w:val="20"/>
      <w:lang w:eastAsia="en-AU"/>
    </w:rPr>
  </w:style>
  <w:style w:type="paragraph" w:customStyle="1" w:styleId="xl99">
    <w:name w:val="xl99"/>
    <w:basedOn w:val="Normal"/>
    <w:rsid w:val="00F20114"/>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Times New Roman" w:hAnsi="Times New Roman"/>
      <w:b/>
      <w:bCs/>
      <w:sz w:val="20"/>
      <w:lang w:eastAsia="en-AU"/>
    </w:rPr>
  </w:style>
  <w:style w:type="character" w:styleId="CommentReference">
    <w:name w:val="annotation reference"/>
    <w:basedOn w:val="DefaultParagraphFont"/>
    <w:uiPriority w:val="99"/>
    <w:semiHidden/>
    <w:unhideWhenUsed/>
    <w:rsid w:val="00F20114"/>
    <w:rPr>
      <w:sz w:val="16"/>
      <w:szCs w:val="16"/>
    </w:rPr>
  </w:style>
  <w:style w:type="paragraph" w:styleId="CommentText">
    <w:name w:val="annotation text"/>
    <w:basedOn w:val="Normal"/>
    <w:link w:val="CommentTextChar"/>
    <w:uiPriority w:val="99"/>
    <w:semiHidden/>
    <w:unhideWhenUsed/>
    <w:rsid w:val="00F20114"/>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F2011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F20114"/>
    <w:rPr>
      <w:b/>
      <w:bCs/>
    </w:rPr>
  </w:style>
  <w:style w:type="character" w:customStyle="1" w:styleId="CommentSubjectChar">
    <w:name w:val="Comment Subject Char"/>
    <w:basedOn w:val="CommentTextChar"/>
    <w:link w:val="CommentSubject"/>
    <w:uiPriority w:val="99"/>
    <w:semiHidden/>
    <w:rsid w:val="00F20114"/>
    <w:rPr>
      <w:rFonts w:asciiTheme="minorHAnsi" w:hAnsiTheme="minorHAnsi"/>
      <w:b/>
      <w:bCs/>
      <w:sz w:val="20"/>
      <w:szCs w:val="20"/>
    </w:rPr>
  </w:style>
  <w:style w:type="character" w:customStyle="1" w:styleId="Heading4Char">
    <w:name w:val="Heading 4 Char"/>
    <w:basedOn w:val="DefaultParagraphFont"/>
    <w:link w:val="Heading4"/>
    <w:uiPriority w:val="9"/>
    <w:rsid w:val="00F20114"/>
    <w:rPr>
      <w:rFonts w:eastAsiaTheme="majorEastAsia" w:cstheme="majorBidi"/>
      <w:bCs/>
      <w:i/>
      <w:iCs/>
      <w:szCs w:val="20"/>
    </w:rPr>
  </w:style>
  <w:style w:type="character" w:customStyle="1" w:styleId="Heading5Char">
    <w:name w:val="Heading 5 Char"/>
    <w:basedOn w:val="DefaultParagraphFont"/>
    <w:link w:val="Heading5"/>
    <w:uiPriority w:val="9"/>
    <w:semiHidden/>
    <w:rsid w:val="005F0E18"/>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semiHidden/>
    <w:rsid w:val="005F0E18"/>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9"/>
    <w:semiHidden/>
    <w:rsid w:val="005F0E18"/>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5F0E1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F0E18"/>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12"/>
    <w:rPr>
      <w:rFonts w:eastAsia="Times New Roman" w:cs="Times New Roman"/>
      <w:szCs w:val="20"/>
    </w:rPr>
  </w:style>
  <w:style w:type="paragraph" w:styleId="Heading1">
    <w:name w:val="heading 1"/>
    <w:basedOn w:val="Normal"/>
    <w:next w:val="Normal"/>
    <w:link w:val="Heading1Char"/>
    <w:qFormat/>
    <w:rsid w:val="00C05912"/>
    <w:pPr>
      <w:keepNext/>
      <w:numPr>
        <w:numId w:val="9"/>
      </w:numPr>
      <w:outlineLvl w:val="0"/>
    </w:pPr>
    <w:rPr>
      <w:kern w:val="28"/>
      <w:sz w:val="28"/>
    </w:rPr>
  </w:style>
  <w:style w:type="paragraph" w:styleId="Heading2">
    <w:name w:val="heading 2"/>
    <w:basedOn w:val="Normal"/>
    <w:next w:val="Normal"/>
    <w:link w:val="Heading2Char"/>
    <w:qFormat/>
    <w:rsid w:val="00C05912"/>
    <w:pPr>
      <w:keepNext/>
      <w:numPr>
        <w:ilvl w:val="1"/>
        <w:numId w:val="9"/>
      </w:numPr>
      <w:outlineLvl w:val="1"/>
    </w:pPr>
    <w:rPr>
      <w:b/>
    </w:rPr>
  </w:style>
  <w:style w:type="paragraph" w:styleId="Heading3">
    <w:name w:val="heading 3"/>
    <w:basedOn w:val="Normal"/>
    <w:next w:val="Normal"/>
    <w:link w:val="Heading3Char"/>
    <w:qFormat/>
    <w:rsid w:val="00C05912"/>
    <w:pPr>
      <w:keepNext/>
      <w:numPr>
        <w:ilvl w:val="2"/>
        <w:numId w:val="9"/>
      </w:numPr>
      <w:outlineLvl w:val="2"/>
    </w:pPr>
    <w:rPr>
      <w:rFonts w:cs="Arial"/>
      <w:u w:val="single"/>
    </w:rPr>
  </w:style>
  <w:style w:type="paragraph" w:styleId="Heading4">
    <w:name w:val="heading 4"/>
    <w:basedOn w:val="Normal"/>
    <w:next w:val="Normal"/>
    <w:link w:val="Heading4Char"/>
    <w:uiPriority w:val="9"/>
    <w:unhideWhenUsed/>
    <w:qFormat/>
    <w:rsid w:val="00F20114"/>
    <w:pPr>
      <w:keepNext/>
      <w:keepLines/>
      <w:numPr>
        <w:ilvl w:val="3"/>
        <w:numId w:val="9"/>
      </w:numPr>
      <w:spacing w:before="200"/>
      <w:outlineLvl w:val="3"/>
    </w:pPr>
    <w:rPr>
      <w:rFonts w:eastAsiaTheme="majorEastAsia" w:cstheme="majorBidi"/>
      <w:bCs/>
      <w:i/>
      <w:iCs/>
    </w:rPr>
  </w:style>
  <w:style w:type="paragraph" w:styleId="Heading5">
    <w:name w:val="heading 5"/>
    <w:basedOn w:val="Normal"/>
    <w:next w:val="Normal"/>
    <w:link w:val="Heading5Char"/>
    <w:uiPriority w:val="9"/>
    <w:semiHidden/>
    <w:unhideWhenUsed/>
    <w:qFormat/>
    <w:rsid w:val="005F0E18"/>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F0E1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F0E1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F0E18"/>
    <w:pPr>
      <w:keepNext/>
      <w:keepLines/>
      <w:numPr>
        <w:ilvl w:val="7"/>
        <w:numId w:val="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F0E18"/>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5912"/>
    <w:rPr>
      <w:rFonts w:eastAsia="Times New Roman" w:cs="Times New Roman"/>
      <w:kern w:val="28"/>
      <w:sz w:val="28"/>
      <w:szCs w:val="20"/>
    </w:rPr>
  </w:style>
  <w:style w:type="character" w:customStyle="1" w:styleId="Heading2Char">
    <w:name w:val="Heading 2 Char"/>
    <w:basedOn w:val="DefaultParagraphFont"/>
    <w:link w:val="Heading2"/>
    <w:rsid w:val="00C05912"/>
    <w:rPr>
      <w:rFonts w:eastAsia="Times New Roman" w:cs="Times New Roman"/>
      <w:b/>
      <w:szCs w:val="20"/>
    </w:rPr>
  </w:style>
  <w:style w:type="character" w:customStyle="1" w:styleId="Heading3Char">
    <w:name w:val="Heading 3 Char"/>
    <w:basedOn w:val="DefaultParagraphFont"/>
    <w:link w:val="Heading3"/>
    <w:rsid w:val="00C05912"/>
    <w:rPr>
      <w:rFonts w:eastAsia="Times New Roman" w:cs="Arial"/>
      <w:szCs w:val="20"/>
      <w:u w:val="single"/>
    </w:rPr>
  </w:style>
  <w:style w:type="character" w:styleId="Hyperlink">
    <w:name w:val="Hyperlink"/>
    <w:basedOn w:val="DefaultParagraphFont"/>
    <w:uiPriority w:val="99"/>
    <w:rsid w:val="00C05912"/>
    <w:rPr>
      <w:color w:val="0000FF"/>
      <w:u w:val="single"/>
    </w:rPr>
  </w:style>
  <w:style w:type="paragraph" w:styleId="Header">
    <w:name w:val="header"/>
    <w:basedOn w:val="Normal"/>
    <w:link w:val="HeaderChar"/>
    <w:rsid w:val="00C05912"/>
    <w:pPr>
      <w:tabs>
        <w:tab w:val="center" w:pos="4320"/>
        <w:tab w:val="right" w:pos="8640"/>
      </w:tabs>
    </w:pPr>
  </w:style>
  <w:style w:type="character" w:customStyle="1" w:styleId="HeaderChar">
    <w:name w:val="Header Char"/>
    <w:basedOn w:val="DefaultParagraphFont"/>
    <w:link w:val="Header"/>
    <w:rsid w:val="00C05912"/>
    <w:rPr>
      <w:rFonts w:eastAsia="Times New Roman" w:cs="Times New Roman"/>
      <w:szCs w:val="20"/>
    </w:rPr>
  </w:style>
  <w:style w:type="paragraph" w:styleId="Footer">
    <w:name w:val="footer"/>
    <w:basedOn w:val="Normal"/>
    <w:link w:val="FooterChar"/>
    <w:rsid w:val="00C05912"/>
    <w:pPr>
      <w:tabs>
        <w:tab w:val="center" w:pos="4320"/>
        <w:tab w:val="right" w:pos="8640"/>
      </w:tabs>
    </w:pPr>
    <w:rPr>
      <w:sz w:val="20"/>
    </w:rPr>
  </w:style>
  <w:style w:type="character" w:customStyle="1" w:styleId="FooterChar">
    <w:name w:val="Footer Char"/>
    <w:basedOn w:val="DefaultParagraphFont"/>
    <w:link w:val="Footer"/>
    <w:rsid w:val="00C05912"/>
    <w:rPr>
      <w:rFonts w:eastAsia="Times New Roman" w:cs="Times New Roman"/>
      <w:sz w:val="20"/>
      <w:szCs w:val="20"/>
    </w:rPr>
  </w:style>
  <w:style w:type="character" w:styleId="PageNumber">
    <w:name w:val="page number"/>
    <w:basedOn w:val="DefaultParagraphFont"/>
    <w:rsid w:val="00C05912"/>
  </w:style>
  <w:style w:type="paragraph" w:styleId="TOC1">
    <w:name w:val="toc 1"/>
    <w:basedOn w:val="Normal"/>
    <w:next w:val="Normal"/>
    <w:autoRedefine/>
    <w:uiPriority w:val="39"/>
    <w:rsid w:val="00C05912"/>
    <w:pPr>
      <w:tabs>
        <w:tab w:val="left" w:pos="400"/>
        <w:tab w:val="right" w:leader="dot" w:pos="8636"/>
      </w:tabs>
      <w:spacing w:before="120"/>
    </w:pPr>
    <w:rPr>
      <w:bCs/>
      <w:i/>
      <w:iCs/>
      <w:szCs w:val="28"/>
    </w:rPr>
  </w:style>
  <w:style w:type="paragraph" w:styleId="TOC2">
    <w:name w:val="toc 2"/>
    <w:basedOn w:val="Normal"/>
    <w:next w:val="Normal"/>
    <w:autoRedefine/>
    <w:uiPriority w:val="39"/>
    <w:rsid w:val="00C05912"/>
    <w:pPr>
      <w:tabs>
        <w:tab w:val="left" w:pos="600"/>
        <w:tab w:val="right" w:leader="dot" w:pos="8636"/>
      </w:tabs>
      <w:spacing w:before="120"/>
      <w:ind w:left="198"/>
    </w:pPr>
    <w:rPr>
      <w:rFonts w:cs="Arial"/>
      <w:i/>
      <w:noProof/>
      <w:szCs w:val="26"/>
    </w:rPr>
  </w:style>
  <w:style w:type="paragraph" w:customStyle="1" w:styleId="TableHeading">
    <w:name w:val="Table Heading"/>
    <w:basedOn w:val="Normal"/>
    <w:rsid w:val="00C05912"/>
    <w:pPr>
      <w:spacing w:before="40" w:after="40"/>
    </w:pPr>
    <w:rPr>
      <w:rFonts w:cs="Arial"/>
      <w:b/>
      <w:szCs w:val="22"/>
    </w:rPr>
  </w:style>
  <w:style w:type="paragraph" w:customStyle="1" w:styleId="Tabletext">
    <w:name w:val="Table text"/>
    <w:basedOn w:val="Normal"/>
    <w:rsid w:val="00C05912"/>
    <w:pPr>
      <w:spacing w:before="40" w:after="40"/>
    </w:pPr>
    <w:rPr>
      <w:rFonts w:cs="Arial"/>
      <w:szCs w:val="22"/>
    </w:rPr>
  </w:style>
  <w:style w:type="paragraph" w:customStyle="1" w:styleId="Source">
    <w:name w:val="Source"/>
    <w:basedOn w:val="Normal"/>
    <w:rsid w:val="00C05912"/>
    <w:pPr>
      <w:spacing w:before="120" w:after="120"/>
      <w:jc w:val="both"/>
    </w:pPr>
    <w:rPr>
      <w:rFonts w:cs="Arial"/>
      <w:i/>
      <w:iCs/>
      <w:sz w:val="16"/>
    </w:rPr>
  </w:style>
  <w:style w:type="paragraph" w:customStyle="1" w:styleId="References">
    <w:name w:val="References"/>
    <w:basedOn w:val="Normal"/>
    <w:rsid w:val="00C05912"/>
    <w:pPr>
      <w:spacing w:before="120" w:after="120"/>
      <w:ind w:left="567" w:hanging="567"/>
      <w:jc w:val="both"/>
    </w:pPr>
    <w:rPr>
      <w:rFonts w:cs="Arial"/>
    </w:rPr>
  </w:style>
  <w:style w:type="character" w:customStyle="1" w:styleId="StyleBold">
    <w:name w:val="Style Bold"/>
    <w:basedOn w:val="DefaultParagraphFont"/>
    <w:rsid w:val="00C05912"/>
    <w:rPr>
      <w:rFonts w:ascii="Arial" w:hAnsi="Arial"/>
      <w:bCs/>
      <w:sz w:val="28"/>
    </w:rPr>
  </w:style>
  <w:style w:type="paragraph" w:customStyle="1" w:styleId="Disclaimer">
    <w:name w:val="Disclaimer"/>
    <w:basedOn w:val="Normal"/>
    <w:rsid w:val="00C05912"/>
    <w:pPr>
      <w:autoSpaceDE w:val="0"/>
      <w:autoSpaceDN w:val="0"/>
      <w:adjustRightInd w:val="0"/>
      <w:ind w:left="720"/>
    </w:pPr>
    <w:rPr>
      <w:rFonts w:cs="Arial"/>
      <w:i/>
      <w:iCs/>
      <w:color w:val="000000"/>
      <w:sz w:val="20"/>
    </w:rPr>
  </w:style>
  <w:style w:type="paragraph" w:customStyle="1" w:styleId="DisclaimerBold">
    <w:name w:val="Disclaimer Bold"/>
    <w:basedOn w:val="Disclaimer"/>
    <w:rsid w:val="00C05912"/>
    <w:rPr>
      <w:b/>
    </w:rPr>
  </w:style>
  <w:style w:type="paragraph" w:styleId="BalloonText">
    <w:name w:val="Balloon Text"/>
    <w:basedOn w:val="Normal"/>
    <w:link w:val="BalloonTextChar"/>
    <w:uiPriority w:val="99"/>
    <w:semiHidden/>
    <w:unhideWhenUsed/>
    <w:rsid w:val="00C05912"/>
    <w:rPr>
      <w:rFonts w:ascii="Tahoma" w:hAnsi="Tahoma" w:cs="Tahoma"/>
      <w:sz w:val="16"/>
      <w:szCs w:val="16"/>
    </w:rPr>
  </w:style>
  <w:style w:type="character" w:customStyle="1" w:styleId="BalloonTextChar">
    <w:name w:val="Balloon Text Char"/>
    <w:basedOn w:val="DefaultParagraphFont"/>
    <w:link w:val="BalloonText"/>
    <w:uiPriority w:val="99"/>
    <w:semiHidden/>
    <w:rsid w:val="00C05912"/>
    <w:rPr>
      <w:rFonts w:ascii="Tahoma" w:eastAsia="Times New Roman" w:hAnsi="Tahoma" w:cs="Tahoma"/>
      <w:sz w:val="16"/>
      <w:szCs w:val="16"/>
    </w:rPr>
  </w:style>
  <w:style w:type="character" w:styleId="Emphasis">
    <w:name w:val="Emphasis"/>
    <w:basedOn w:val="DefaultParagraphFont"/>
    <w:uiPriority w:val="20"/>
    <w:qFormat/>
    <w:rsid w:val="00EB53E6"/>
    <w:rPr>
      <w:i/>
      <w:iCs/>
    </w:rPr>
  </w:style>
  <w:style w:type="paragraph" w:styleId="Title">
    <w:name w:val="Title"/>
    <w:basedOn w:val="Header"/>
    <w:next w:val="Normal"/>
    <w:link w:val="TitleChar"/>
    <w:uiPriority w:val="10"/>
    <w:qFormat/>
    <w:rsid w:val="002632A5"/>
    <w:pPr>
      <w:tabs>
        <w:tab w:val="clear" w:pos="4320"/>
        <w:tab w:val="clear" w:pos="8640"/>
      </w:tabs>
      <w:jc w:val="right"/>
    </w:pPr>
    <w:rPr>
      <w:rFonts w:cs="Arial"/>
      <w:b/>
      <w:bCs/>
      <w:sz w:val="36"/>
      <w:szCs w:val="36"/>
    </w:rPr>
  </w:style>
  <w:style w:type="character" w:customStyle="1" w:styleId="TitleChar">
    <w:name w:val="Title Char"/>
    <w:basedOn w:val="DefaultParagraphFont"/>
    <w:link w:val="Title"/>
    <w:uiPriority w:val="10"/>
    <w:rsid w:val="002632A5"/>
    <w:rPr>
      <w:rFonts w:eastAsia="Times New Roman" w:cs="Arial"/>
      <w:b/>
      <w:bCs/>
      <w:sz w:val="36"/>
      <w:szCs w:val="36"/>
    </w:rPr>
  </w:style>
  <w:style w:type="character" w:styleId="PlaceholderText">
    <w:name w:val="Placeholder Text"/>
    <w:basedOn w:val="DefaultParagraphFont"/>
    <w:uiPriority w:val="99"/>
    <w:semiHidden/>
    <w:rsid w:val="0030496D"/>
    <w:rPr>
      <w:color w:val="808080"/>
    </w:rPr>
  </w:style>
  <w:style w:type="paragraph" w:styleId="Subtitle">
    <w:name w:val="Subtitle"/>
    <w:basedOn w:val="Normal"/>
    <w:next w:val="Normal"/>
    <w:link w:val="SubtitleChar"/>
    <w:uiPriority w:val="11"/>
    <w:qFormat/>
    <w:rsid w:val="002632A5"/>
    <w:pPr>
      <w:pBdr>
        <w:top w:val="single" w:sz="6" w:space="1" w:color="FFFFFF"/>
        <w:left w:val="single" w:sz="6" w:space="1" w:color="FFFFFF"/>
        <w:bottom w:val="single" w:sz="6" w:space="1" w:color="FFFFFF"/>
        <w:right w:val="single" w:sz="6" w:space="0" w:color="FFFFFF"/>
      </w:pBdr>
      <w:jc w:val="right"/>
    </w:pPr>
    <w:rPr>
      <w:rFonts w:cs="Arial"/>
      <w:b/>
      <w:szCs w:val="24"/>
    </w:rPr>
  </w:style>
  <w:style w:type="character" w:customStyle="1" w:styleId="SubtitleChar">
    <w:name w:val="Subtitle Char"/>
    <w:basedOn w:val="DefaultParagraphFont"/>
    <w:link w:val="Subtitle"/>
    <w:uiPriority w:val="11"/>
    <w:rsid w:val="002632A5"/>
    <w:rPr>
      <w:rFonts w:eastAsia="Times New Roman" w:cs="Arial"/>
      <w:b/>
      <w:szCs w:val="24"/>
    </w:rPr>
  </w:style>
  <w:style w:type="paragraph" w:styleId="Revision">
    <w:name w:val="Revision"/>
    <w:hidden/>
    <w:uiPriority w:val="99"/>
    <w:semiHidden/>
    <w:rsid w:val="00E714E8"/>
    <w:rPr>
      <w:rFonts w:eastAsia="Times New Roman" w:cs="Times New Roman"/>
      <w:szCs w:val="20"/>
    </w:rPr>
  </w:style>
  <w:style w:type="paragraph" w:styleId="FootnoteText">
    <w:name w:val="footnote text"/>
    <w:basedOn w:val="Normal"/>
    <w:link w:val="FootnoteTextChar"/>
    <w:uiPriority w:val="99"/>
    <w:semiHidden/>
    <w:unhideWhenUsed/>
    <w:rsid w:val="00F20114"/>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F20114"/>
    <w:rPr>
      <w:rFonts w:asciiTheme="minorHAnsi" w:hAnsiTheme="minorHAnsi"/>
      <w:sz w:val="20"/>
      <w:szCs w:val="20"/>
    </w:rPr>
  </w:style>
  <w:style w:type="character" w:styleId="FootnoteReference">
    <w:name w:val="footnote reference"/>
    <w:basedOn w:val="DefaultParagraphFont"/>
    <w:uiPriority w:val="99"/>
    <w:semiHidden/>
    <w:unhideWhenUsed/>
    <w:rsid w:val="00F20114"/>
    <w:rPr>
      <w:vertAlign w:val="superscript"/>
    </w:rPr>
  </w:style>
  <w:style w:type="paragraph" w:styleId="ListParagraph">
    <w:name w:val="List Paragraph"/>
    <w:basedOn w:val="Normal"/>
    <w:uiPriority w:val="34"/>
    <w:qFormat/>
    <w:rsid w:val="00F20114"/>
    <w:pPr>
      <w:spacing w:after="200" w:line="276" w:lineRule="auto"/>
      <w:ind w:left="720"/>
      <w:contextualSpacing/>
    </w:pPr>
    <w:rPr>
      <w:rFonts w:eastAsiaTheme="minorHAnsi" w:cstheme="minorBidi"/>
      <w:szCs w:val="22"/>
    </w:rPr>
  </w:style>
  <w:style w:type="character" w:styleId="FollowedHyperlink">
    <w:name w:val="FollowedHyperlink"/>
    <w:basedOn w:val="DefaultParagraphFont"/>
    <w:uiPriority w:val="99"/>
    <w:semiHidden/>
    <w:unhideWhenUsed/>
    <w:rsid w:val="00F20114"/>
    <w:rPr>
      <w:color w:val="800080"/>
      <w:u w:val="single"/>
    </w:rPr>
  </w:style>
  <w:style w:type="paragraph" w:customStyle="1" w:styleId="xl63">
    <w:name w:val="xl63"/>
    <w:basedOn w:val="Normal"/>
    <w:rsid w:val="00F2011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Times New Roman" w:hAnsi="Times New Roman"/>
      <w:sz w:val="18"/>
      <w:szCs w:val="18"/>
      <w:lang w:eastAsia="en-AU"/>
    </w:rPr>
  </w:style>
  <w:style w:type="paragraph" w:customStyle="1" w:styleId="xl64">
    <w:name w:val="xl64"/>
    <w:basedOn w:val="Normal"/>
    <w:rsid w:val="00F20114"/>
    <w:pPr>
      <w:pBdr>
        <w:top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hAnsi="Times New Roman"/>
      <w:b/>
      <w:bCs/>
      <w:sz w:val="18"/>
      <w:szCs w:val="18"/>
      <w:lang w:eastAsia="en-AU"/>
    </w:rPr>
  </w:style>
  <w:style w:type="paragraph" w:customStyle="1" w:styleId="xl65">
    <w:name w:val="xl65"/>
    <w:basedOn w:val="Normal"/>
    <w:rsid w:val="00F2011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hAnsi="Times New Roman"/>
      <w:b/>
      <w:bCs/>
      <w:sz w:val="18"/>
      <w:szCs w:val="18"/>
      <w:lang w:eastAsia="en-AU"/>
    </w:rPr>
  </w:style>
  <w:style w:type="paragraph" w:customStyle="1" w:styleId="xl66">
    <w:name w:val="xl66"/>
    <w:basedOn w:val="Normal"/>
    <w:rsid w:val="00F201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Times New Roman" w:hAnsi="Times New Roman"/>
      <w:b/>
      <w:bCs/>
      <w:sz w:val="18"/>
      <w:szCs w:val="18"/>
      <w:lang w:eastAsia="en-AU"/>
    </w:rPr>
  </w:style>
  <w:style w:type="paragraph" w:customStyle="1" w:styleId="xl67">
    <w:name w:val="xl67"/>
    <w:basedOn w:val="Normal"/>
    <w:rsid w:val="00F20114"/>
    <w:pPr>
      <w:spacing w:before="100" w:beforeAutospacing="1" w:after="100" w:afterAutospacing="1"/>
    </w:pPr>
    <w:rPr>
      <w:rFonts w:ascii="Times New Roman" w:hAnsi="Times New Roman"/>
      <w:sz w:val="18"/>
      <w:szCs w:val="18"/>
      <w:lang w:eastAsia="en-AU"/>
    </w:rPr>
  </w:style>
  <w:style w:type="paragraph" w:customStyle="1" w:styleId="xl68">
    <w:name w:val="xl68"/>
    <w:basedOn w:val="Normal"/>
    <w:rsid w:val="00F2011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Times New Roman" w:hAnsi="Times New Roman"/>
      <w:b/>
      <w:bCs/>
      <w:sz w:val="18"/>
      <w:szCs w:val="18"/>
      <w:lang w:eastAsia="en-AU"/>
    </w:rPr>
  </w:style>
  <w:style w:type="paragraph" w:customStyle="1" w:styleId="xl69">
    <w:name w:val="xl69"/>
    <w:basedOn w:val="Normal"/>
    <w:rsid w:val="00F201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Times New Roman" w:hAnsi="Times New Roman"/>
      <w:b/>
      <w:bCs/>
      <w:sz w:val="18"/>
      <w:szCs w:val="18"/>
      <w:lang w:eastAsia="en-AU"/>
    </w:rPr>
  </w:style>
  <w:style w:type="paragraph" w:customStyle="1" w:styleId="xl70">
    <w:name w:val="xl70"/>
    <w:basedOn w:val="Normal"/>
    <w:rsid w:val="00F2011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Times New Roman" w:hAnsi="Times New Roman"/>
      <w:sz w:val="18"/>
      <w:szCs w:val="18"/>
      <w:lang w:eastAsia="en-AU"/>
    </w:rPr>
  </w:style>
  <w:style w:type="paragraph" w:customStyle="1" w:styleId="xl71">
    <w:name w:val="xl71"/>
    <w:basedOn w:val="Normal"/>
    <w:rsid w:val="00F2011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hAnsi="Times New Roman"/>
      <w:b/>
      <w:bCs/>
      <w:sz w:val="18"/>
      <w:szCs w:val="18"/>
      <w:lang w:eastAsia="en-AU"/>
    </w:rPr>
  </w:style>
  <w:style w:type="paragraph" w:customStyle="1" w:styleId="xl72">
    <w:name w:val="xl72"/>
    <w:basedOn w:val="Normal"/>
    <w:rsid w:val="00F2011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hAnsi="Times New Roman"/>
      <w:b/>
      <w:bCs/>
      <w:sz w:val="18"/>
      <w:szCs w:val="18"/>
      <w:lang w:eastAsia="en-AU"/>
    </w:rPr>
  </w:style>
  <w:style w:type="paragraph" w:customStyle="1" w:styleId="xl73">
    <w:name w:val="xl73"/>
    <w:basedOn w:val="Normal"/>
    <w:rsid w:val="00F201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hAnsi="Times New Roman"/>
      <w:b/>
      <w:bCs/>
      <w:sz w:val="18"/>
      <w:szCs w:val="18"/>
      <w:lang w:eastAsia="en-AU"/>
    </w:rPr>
  </w:style>
  <w:style w:type="paragraph" w:customStyle="1" w:styleId="xl74">
    <w:name w:val="xl74"/>
    <w:basedOn w:val="Normal"/>
    <w:rsid w:val="00F201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8"/>
      <w:szCs w:val="18"/>
      <w:lang w:eastAsia="en-AU"/>
    </w:rPr>
  </w:style>
  <w:style w:type="paragraph" w:customStyle="1" w:styleId="xl75">
    <w:name w:val="xl75"/>
    <w:basedOn w:val="Normal"/>
    <w:rsid w:val="00F2011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hAnsi="Times New Roman"/>
      <w:sz w:val="18"/>
      <w:szCs w:val="18"/>
      <w:lang w:eastAsia="en-AU"/>
    </w:rPr>
  </w:style>
  <w:style w:type="paragraph" w:customStyle="1" w:styleId="xl76">
    <w:name w:val="xl76"/>
    <w:basedOn w:val="Normal"/>
    <w:rsid w:val="00F2011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rFonts w:ascii="Times New Roman" w:hAnsi="Times New Roman"/>
      <w:sz w:val="18"/>
      <w:szCs w:val="18"/>
      <w:lang w:eastAsia="en-AU"/>
    </w:rPr>
  </w:style>
  <w:style w:type="paragraph" w:customStyle="1" w:styleId="xl77">
    <w:name w:val="xl77"/>
    <w:basedOn w:val="Normal"/>
    <w:rsid w:val="00F2011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rFonts w:ascii="Times New Roman" w:hAnsi="Times New Roman"/>
      <w:sz w:val="18"/>
      <w:szCs w:val="18"/>
      <w:lang w:eastAsia="en-AU"/>
    </w:rPr>
  </w:style>
  <w:style w:type="paragraph" w:customStyle="1" w:styleId="xl78">
    <w:name w:val="xl78"/>
    <w:basedOn w:val="Normal"/>
    <w:rsid w:val="00F201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hAnsi="Times New Roman"/>
      <w:sz w:val="18"/>
      <w:szCs w:val="18"/>
      <w:lang w:eastAsia="en-AU"/>
    </w:rPr>
  </w:style>
  <w:style w:type="paragraph" w:customStyle="1" w:styleId="xl79">
    <w:name w:val="xl79"/>
    <w:basedOn w:val="Normal"/>
    <w:rsid w:val="00F20114"/>
    <w:pPr>
      <w:pBdr>
        <w:left w:val="single" w:sz="8" w:space="0" w:color="auto"/>
        <w:bottom w:val="single" w:sz="4" w:space="0" w:color="auto"/>
        <w:right w:val="single" w:sz="4" w:space="0" w:color="auto"/>
      </w:pBdr>
      <w:shd w:val="clear" w:color="000000" w:fill="DAEEF3"/>
      <w:spacing w:before="100" w:beforeAutospacing="1" w:after="100" w:afterAutospacing="1"/>
    </w:pPr>
    <w:rPr>
      <w:rFonts w:ascii="Times New Roman" w:hAnsi="Times New Roman"/>
      <w:sz w:val="20"/>
      <w:lang w:eastAsia="en-AU"/>
    </w:rPr>
  </w:style>
  <w:style w:type="paragraph" w:customStyle="1" w:styleId="xl80">
    <w:name w:val="xl80"/>
    <w:basedOn w:val="Normal"/>
    <w:rsid w:val="00F20114"/>
    <w:pPr>
      <w:pBdr>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hAnsi="Times New Roman"/>
      <w:sz w:val="20"/>
      <w:lang w:eastAsia="en-AU"/>
    </w:rPr>
  </w:style>
  <w:style w:type="paragraph" w:customStyle="1" w:styleId="xl81">
    <w:name w:val="xl81"/>
    <w:basedOn w:val="Normal"/>
    <w:rsid w:val="00F20114"/>
    <w:pPr>
      <w:pBdr>
        <w:left w:val="single" w:sz="4" w:space="0" w:color="auto"/>
        <w:bottom w:val="single" w:sz="4" w:space="0" w:color="auto"/>
        <w:right w:val="single" w:sz="8" w:space="0" w:color="auto"/>
      </w:pBdr>
      <w:shd w:val="clear" w:color="000000" w:fill="DAEEF3"/>
      <w:spacing w:before="100" w:beforeAutospacing="1" w:after="100" w:afterAutospacing="1"/>
    </w:pPr>
    <w:rPr>
      <w:rFonts w:ascii="Times New Roman" w:hAnsi="Times New Roman"/>
      <w:sz w:val="20"/>
      <w:lang w:eastAsia="en-AU"/>
    </w:rPr>
  </w:style>
  <w:style w:type="paragraph" w:customStyle="1" w:styleId="xl82">
    <w:name w:val="xl82"/>
    <w:basedOn w:val="Normal"/>
    <w:rsid w:val="00F20114"/>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pPr>
    <w:rPr>
      <w:rFonts w:ascii="Times New Roman" w:hAnsi="Times New Roman"/>
      <w:sz w:val="20"/>
      <w:lang w:eastAsia="en-AU"/>
    </w:rPr>
  </w:style>
  <w:style w:type="paragraph" w:customStyle="1" w:styleId="xl83">
    <w:name w:val="xl83"/>
    <w:basedOn w:val="Normal"/>
    <w:rsid w:val="00F201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hAnsi="Times New Roman"/>
      <w:sz w:val="20"/>
      <w:lang w:eastAsia="en-AU"/>
    </w:rPr>
  </w:style>
  <w:style w:type="paragraph" w:customStyle="1" w:styleId="xl84">
    <w:name w:val="xl84"/>
    <w:basedOn w:val="Normal"/>
    <w:rsid w:val="00F20114"/>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Times New Roman" w:hAnsi="Times New Roman"/>
      <w:sz w:val="20"/>
      <w:lang w:eastAsia="en-AU"/>
    </w:rPr>
  </w:style>
  <w:style w:type="paragraph" w:customStyle="1" w:styleId="xl85">
    <w:name w:val="xl85"/>
    <w:basedOn w:val="Normal"/>
    <w:rsid w:val="00F20114"/>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pPr>
    <w:rPr>
      <w:rFonts w:ascii="Times New Roman" w:hAnsi="Times New Roman"/>
      <w:sz w:val="20"/>
      <w:lang w:eastAsia="en-AU"/>
    </w:rPr>
  </w:style>
  <w:style w:type="paragraph" w:customStyle="1" w:styleId="xl86">
    <w:name w:val="xl86"/>
    <w:basedOn w:val="Normal"/>
    <w:rsid w:val="00F20114"/>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pPr>
    <w:rPr>
      <w:rFonts w:ascii="Times New Roman" w:hAnsi="Times New Roman"/>
      <w:sz w:val="20"/>
      <w:lang w:eastAsia="en-AU"/>
    </w:rPr>
  </w:style>
  <w:style w:type="paragraph" w:customStyle="1" w:styleId="xl87">
    <w:name w:val="xl87"/>
    <w:basedOn w:val="Normal"/>
    <w:rsid w:val="00F20114"/>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pPr>
    <w:rPr>
      <w:rFonts w:ascii="Times New Roman" w:hAnsi="Times New Roman"/>
      <w:sz w:val="20"/>
      <w:lang w:eastAsia="en-AU"/>
    </w:rPr>
  </w:style>
  <w:style w:type="paragraph" w:customStyle="1" w:styleId="xl88">
    <w:name w:val="xl88"/>
    <w:basedOn w:val="Normal"/>
    <w:rsid w:val="00F20114"/>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jc w:val="center"/>
    </w:pPr>
    <w:rPr>
      <w:rFonts w:ascii="Times New Roman" w:hAnsi="Times New Roman"/>
      <w:b/>
      <w:bCs/>
      <w:sz w:val="20"/>
      <w:lang w:eastAsia="en-AU"/>
    </w:rPr>
  </w:style>
  <w:style w:type="paragraph" w:customStyle="1" w:styleId="xl89">
    <w:name w:val="xl89"/>
    <w:basedOn w:val="Normal"/>
    <w:rsid w:val="00F20114"/>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pPr>
    <w:rPr>
      <w:rFonts w:ascii="Times New Roman" w:hAnsi="Times New Roman"/>
      <w:b/>
      <w:bCs/>
      <w:sz w:val="20"/>
      <w:lang w:eastAsia="en-AU"/>
    </w:rPr>
  </w:style>
  <w:style w:type="paragraph" w:customStyle="1" w:styleId="xl90">
    <w:name w:val="xl90"/>
    <w:basedOn w:val="Normal"/>
    <w:rsid w:val="00F20114"/>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center"/>
    </w:pPr>
    <w:rPr>
      <w:rFonts w:ascii="Times New Roman" w:hAnsi="Times New Roman"/>
      <w:b/>
      <w:bCs/>
      <w:sz w:val="20"/>
      <w:lang w:eastAsia="en-AU"/>
    </w:rPr>
  </w:style>
  <w:style w:type="paragraph" w:customStyle="1" w:styleId="xl91">
    <w:name w:val="xl91"/>
    <w:basedOn w:val="Normal"/>
    <w:rsid w:val="00F20114"/>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Times New Roman" w:hAnsi="Times New Roman"/>
      <w:b/>
      <w:bCs/>
      <w:sz w:val="20"/>
      <w:lang w:eastAsia="en-AU"/>
    </w:rPr>
  </w:style>
  <w:style w:type="paragraph" w:customStyle="1" w:styleId="xl92">
    <w:name w:val="xl92"/>
    <w:basedOn w:val="Normal"/>
    <w:rsid w:val="00F20114"/>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Times New Roman" w:hAnsi="Times New Roman"/>
      <w:b/>
      <w:bCs/>
      <w:sz w:val="20"/>
      <w:lang w:eastAsia="en-AU"/>
    </w:rPr>
  </w:style>
  <w:style w:type="paragraph" w:customStyle="1" w:styleId="xl93">
    <w:name w:val="xl93"/>
    <w:basedOn w:val="Normal"/>
    <w:rsid w:val="00F20114"/>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Times New Roman" w:hAnsi="Times New Roman"/>
      <w:b/>
      <w:bCs/>
      <w:sz w:val="20"/>
      <w:lang w:eastAsia="en-AU"/>
    </w:rPr>
  </w:style>
  <w:style w:type="paragraph" w:customStyle="1" w:styleId="xl94">
    <w:name w:val="xl94"/>
    <w:basedOn w:val="Normal"/>
    <w:rsid w:val="00F20114"/>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Times New Roman" w:hAnsi="Times New Roman"/>
      <w:b/>
      <w:bCs/>
      <w:sz w:val="20"/>
      <w:lang w:eastAsia="en-AU"/>
    </w:rPr>
  </w:style>
  <w:style w:type="paragraph" w:customStyle="1" w:styleId="xl95">
    <w:name w:val="xl95"/>
    <w:basedOn w:val="Normal"/>
    <w:rsid w:val="00F20114"/>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hAnsi="Times New Roman"/>
      <w:b/>
      <w:bCs/>
      <w:sz w:val="20"/>
      <w:lang w:eastAsia="en-AU"/>
    </w:rPr>
  </w:style>
  <w:style w:type="paragraph" w:customStyle="1" w:styleId="xl96">
    <w:name w:val="xl96"/>
    <w:basedOn w:val="Normal"/>
    <w:rsid w:val="00F20114"/>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hAnsi="Times New Roman"/>
      <w:b/>
      <w:bCs/>
      <w:sz w:val="20"/>
      <w:lang w:eastAsia="en-AU"/>
    </w:rPr>
  </w:style>
  <w:style w:type="paragraph" w:customStyle="1" w:styleId="xl97">
    <w:name w:val="xl97"/>
    <w:basedOn w:val="Normal"/>
    <w:rsid w:val="00F20114"/>
    <w:pPr>
      <w:pBdr>
        <w:top w:val="single" w:sz="8" w:space="0" w:color="auto"/>
        <w:left w:val="single" w:sz="8" w:space="0" w:color="auto"/>
        <w:bottom w:val="single" w:sz="4" w:space="0" w:color="auto"/>
        <w:right w:val="single" w:sz="4" w:space="0" w:color="auto"/>
      </w:pBdr>
      <w:shd w:val="clear" w:color="000000" w:fill="DAEEF3"/>
      <w:spacing w:before="100" w:beforeAutospacing="1" w:after="100" w:afterAutospacing="1"/>
      <w:jc w:val="center"/>
    </w:pPr>
    <w:rPr>
      <w:rFonts w:ascii="Times New Roman" w:hAnsi="Times New Roman"/>
      <w:b/>
      <w:bCs/>
      <w:sz w:val="20"/>
      <w:lang w:eastAsia="en-AU"/>
    </w:rPr>
  </w:style>
  <w:style w:type="paragraph" w:customStyle="1" w:styleId="xl98">
    <w:name w:val="xl98"/>
    <w:basedOn w:val="Normal"/>
    <w:rsid w:val="00F20114"/>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Times New Roman" w:hAnsi="Times New Roman"/>
      <w:b/>
      <w:bCs/>
      <w:sz w:val="20"/>
      <w:lang w:eastAsia="en-AU"/>
    </w:rPr>
  </w:style>
  <w:style w:type="paragraph" w:customStyle="1" w:styleId="xl99">
    <w:name w:val="xl99"/>
    <w:basedOn w:val="Normal"/>
    <w:rsid w:val="00F20114"/>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Times New Roman" w:hAnsi="Times New Roman"/>
      <w:b/>
      <w:bCs/>
      <w:sz w:val="20"/>
      <w:lang w:eastAsia="en-AU"/>
    </w:rPr>
  </w:style>
  <w:style w:type="character" w:styleId="CommentReference">
    <w:name w:val="annotation reference"/>
    <w:basedOn w:val="DefaultParagraphFont"/>
    <w:uiPriority w:val="99"/>
    <w:semiHidden/>
    <w:unhideWhenUsed/>
    <w:rsid w:val="00F20114"/>
    <w:rPr>
      <w:sz w:val="16"/>
      <w:szCs w:val="16"/>
    </w:rPr>
  </w:style>
  <w:style w:type="paragraph" w:styleId="CommentText">
    <w:name w:val="annotation text"/>
    <w:basedOn w:val="Normal"/>
    <w:link w:val="CommentTextChar"/>
    <w:uiPriority w:val="99"/>
    <w:semiHidden/>
    <w:unhideWhenUsed/>
    <w:rsid w:val="00F20114"/>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F2011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F20114"/>
    <w:rPr>
      <w:b/>
      <w:bCs/>
    </w:rPr>
  </w:style>
  <w:style w:type="character" w:customStyle="1" w:styleId="CommentSubjectChar">
    <w:name w:val="Comment Subject Char"/>
    <w:basedOn w:val="CommentTextChar"/>
    <w:link w:val="CommentSubject"/>
    <w:uiPriority w:val="99"/>
    <w:semiHidden/>
    <w:rsid w:val="00F20114"/>
    <w:rPr>
      <w:rFonts w:asciiTheme="minorHAnsi" w:hAnsiTheme="minorHAnsi"/>
      <w:b/>
      <w:bCs/>
      <w:sz w:val="20"/>
      <w:szCs w:val="20"/>
    </w:rPr>
  </w:style>
  <w:style w:type="character" w:customStyle="1" w:styleId="Heading4Char">
    <w:name w:val="Heading 4 Char"/>
    <w:basedOn w:val="DefaultParagraphFont"/>
    <w:link w:val="Heading4"/>
    <w:uiPriority w:val="9"/>
    <w:rsid w:val="00F20114"/>
    <w:rPr>
      <w:rFonts w:eastAsiaTheme="majorEastAsia" w:cstheme="majorBidi"/>
      <w:bCs/>
      <w:i/>
      <w:iCs/>
      <w:szCs w:val="20"/>
    </w:rPr>
  </w:style>
  <w:style w:type="character" w:customStyle="1" w:styleId="Heading5Char">
    <w:name w:val="Heading 5 Char"/>
    <w:basedOn w:val="DefaultParagraphFont"/>
    <w:link w:val="Heading5"/>
    <w:uiPriority w:val="9"/>
    <w:semiHidden/>
    <w:rsid w:val="005F0E18"/>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semiHidden/>
    <w:rsid w:val="005F0E18"/>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9"/>
    <w:semiHidden/>
    <w:rsid w:val="005F0E18"/>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5F0E1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F0E1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1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23" Type="http://schemas.openxmlformats.org/officeDocument/2006/relationships/header" Target="header5.xml"/><Relationship Id="rId15" Type="http://schemas.openxmlformats.org/officeDocument/2006/relationships/image" Target="media/image1.jpeg"/><Relationship Id="rId10" Type="http://schemas.microsoft.com/office/2007/relationships/stylesWithEffects" Target="stylesWithEffects.xml"/><Relationship Id="rId19" Type="http://schemas.openxmlformats.org/officeDocument/2006/relationships/footer" Target="footer2.xml"/><Relationship Id="rId27" Type="http://schemas.openxmlformats.org/officeDocument/2006/relationships/theme" Target="theme/theme1.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6F135C83F64C88B6A12B40991D0E17"/>
        <w:category>
          <w:name w:val="General"/>
          <w:gallery w:val="placeholder"/>
        </w:category>
        <w:types>
          <w:type w:val="bbPlcHdr"/>
        </w:types>
        <w:behaviors>
          <w:behavior w:val="content"/>
        </w:behaviors>
        <w:guid w:val="{122FE1B3-FC0A-47AA-8BAE-97A9C619B94A}"/>
      </w:docPartPr>
      <w:docPartBody>
        <w:p w:rsidR="00997489" w:rsidRDefault="00BF0DFF">
          <w:r w:rsidRPr="0047067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DFF"/>
    <w:rsid w:val="00147F5D"/>
    <w:rsid w:val="001F41D2"/>
    <w:rsid w:val="005C65F1"/>
    <w:rsid w:val="00697A04"/>
    <w:rsid w:val="00740369"/>
    <w:rsid w:val="007C092F"/>
    <w:rsid w:val="008B600D"/>
    <w:rsid w:val="00997489"/>
    <w:rsid w:val="00AC1701"/>
    <w:rsid w:val="00B07BBF"/>
    <w:rsid w:val="00BF0DFF"/>
    <w:rsid w:val="00F22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671608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369"/>
    <w:rPr>
      <w:color w:val="808080"/>
    </w:rPr>
  </w:style>
  <w:style w:type="paragraph" w:customStyle="1" w:styleId="94F01C6DC38B4B3BB931B366A0C5361F">
    <w:name w:val="94F01C6DC38B4B3BB931B366A0C5361F"/>
    <w:rsid w:val="007C092F"/>
  </w:style>
  <w:style w:type="paragraph" w:customStyle="1" w:styleId="719EE2A56BF8446ABA2EE75F5BF3FA87">
    <w:name w:val="719EE2A56BF8446ABA2EE75F5BF3FA87"/>
    <w:rsid w:val="007C092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369"/>
    <w:rPr>
      <w:color w:val="808080"/>
    </w:rPr>
  </w:style>
  <w:style w:type="paragraph" w:customStyle="1" w:styleId="94F01C6DC38B4B3BB931B366A0C5361F">
    <w:name w:val="94F01C6DC38B4B3BB931B366A0C5361F"/>
    <w:rsid w:val="007C092F"/>
  </w:style>
  <w:style w:type="paragraph" w:customStyle="1" w:styleId="719EE2A56BF8446ABA2EE75F5BF3FA87">
    <w:name w:val="719EE2A56BF8446ABA2EE75F5BF3FA87"/>
    <w:rsid w:val="007C09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Type Month Year</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b2999bd9-dba0-46e4-8521-1f182c80fbb9">
      <Value>27</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Rates</TermName>
          <TermId xmlns="http://schemas.microsoft.com/office/infopath/2007/PartnerControls">8da53da8-5f41-48cf-be35-5e71cef9c546</TermId>
        </TermInfo>
      </Terms>
    </AGLSSubjectHTField0>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MAV Report" ma:contentTypeID="0x010100DD242800CF7516419AB0B961499C9D6001007BD8EB0CB05DA3439942566A25756C6C" ma:contentTypeVersion="4" ma:contentTypeDescription="" ma:contentTypeScope="" ma:versionID="37f5b10b60ef8c88574af57071c1342e">
  <xsd:schema xmlns:xsd="http://www.w3.org/2001/XMLSchema" xmlns:xs="http://www.w3.org/2001/XMLSchema" xmlns:p="http://schemas.microsoft.com/office/2006/metadata/properties" xmlns:ns2="fc64a6d2-c0db-4bd5-9754-b0b83581d785" xmlns:ns3="6f1422fb-2028-4185-8ac3-58d55a1bdfd2" targetNamespace="http://schemas.microsoft.com/office/2006/metadata/properties" ma:root="true" ma:fieldsID="d655562cf051c2cec4c960df92847876" ns2:_="" ns3:_="">
    <xsd:import namespace="fc64a6d2-c0db-4bd5-9754-b0b83581d785"/>
    <xsd:import namespace="6f1422fb-2028-4185-8ac3-58d55a1bdfd2"/>
    <xsd:element name="properties">
      <xsd:complexType>
        <xsd:sequence>
          <xsd:element name="documentManagement">
            <xsd:complexType>
              <xsd:all>
                <xsd:element ref="ns2:Document_x0020_Description" minOccurs="0"/>
                <xsd:element ref="ns3:k0b54e78e42441dfa425127a2b71fc85" minOccurs="0"/>
                <xsd:element ref="ns3:TaxCatchAll" minOccurs="0"/>
                <xsd:element ref="ns3:d83176152cb9456187ae86efb122927b" minOccurs="0"/>
                <xsd:element ref="ns3:k5331b621ba0468e9100f98046902b25" minOccurs="0"/>
                <xsd:element ref="ns3:o75964cf8a7848bcbe173c8e46ed4578" minOccurs="0"/>
                <xsd:element ref="ns3:i47f3095e8cd42b2a4f90d0e032a4a0a" minOccurs="0"/>
                <xsd:element ref="ns2:l5977635003b4fae9e5c5dd94568964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4a6d2-c0db-4bd5-9754-b0b83581d785"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fault="" ma:description="A textual description of the content and/or purpose of the resource." ma:internalName="Document_x0020_Description" ma:readOnly="false">
      <xsd:simpleType>
        <xsd:restriction base="dms:Note">
          <xsd:maxLength value="255"/>
        </xsd:restriction>
      </xsd:simpleType>
    </xsd:element>
    <xsd:element name="l5977635003b4fae9e5c5dd94568964a" ma:index="21" nillable="true" ma:taxonomy="true" ma:internalName="l5977635003b4fae9e5c5dd94568964a" ma:taxonomyFieldName="Project" ma:displayName="Project" ma:readOnly="false" ma:default="" ma:fieldId="{55977635-003b-4fae-9e5c-5dd94568964a}" ma:sspId="707edd6b-bcd8-4d82-9e36-5e836165b7db" ma:termSetId="92f7cff1-1195-4c08-af70-9462b7076f7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1422fb-2028-4185-8ac3-58d55a1bdfd2" elementFormDefault="qualified">
    <xsd:import namespace="http://schemas.microsoft.com/office/2006/documentManagement/types"/>
    <xsd:import namespace="http://schemas.microsoft.com/office/infopath/2007/PartnerControls"/>
    <xsd:element name="k0b54e78e42441dfa425127a2b71fc85" ma:index="15" ma:taxonomy="true" ma:internalName="k0b54e78e42441dfa425127a2b71fc85" ma:taxonomyFieldName="Doc_x0020_Type" ma:displayName="Doc Type" ma:readOnly="false" ma:default="" ma:fieldId="{40b54e78-e424-41df-a425-127a2b71fc85}" ma:sspId="707edd6b-bcd8-4d82-9e36-5e836165b7db" ma:termSetId="34f10eaa-5417-4633-8775-0616c2ee193a"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6d5cc0e3-e685-4de6-820e-7e2006cd9b98}" ma:internalName="TaxCatchAll" ma:showField="CatchAllData" ma:web="6f1422fb-2028-4185-8ac3-58d55a1bdfd2">
      <xsd:complexType>
        <xsd:complexContent>
          <xsd:extension base="dms:MultiChoiceLookup">
            <xsd:sequence>
              <xsd:element name="Value" type="dms:Lookup" maxOccurs="unbounded" minOccurs="0" nillable="true"/>
            </xsd:sequence>
          </xsd:extension>
        </xsd:complexContent>
      </xsd:complexType>
    </xsd:element>
    <xsd:element name="d83176152cb9456187ae86efb122927b" ma:index="17" nillable="true" ma:taxonomy="true" ma:internalName="d83176152cb9456187ae86efb122927b" ma:taxonomyFieldName="Month" ma:displayName="Month" ma:readOnly="false" ma:default="" ma:fieldId="{d8317615-2cb9-4561-87ae-86efb122927b}" ma:sspId="707edd6b-bcd8-4d82-9e36-5e836165b7db" ma:termSetId="93d674fd-138a-4c5d-b264-c0eb5d48ff27" ma:anchorId="00000000-0000-0000-0000-000000000000" ma:open="false" ma:isKeyword="false">
      <xsd:complexType>
        <xsd:sequence>
          <xsd:element ref="pc:Terms" minOccurs="0" maxOccurs="1"/>
        </xsd:sequence>
      </xsd:complexType>
    </xsd:element>
    <xsd:element name="k5331b621ba0468e9100f98046902b25" ma:index="18" nillable="true" ma:taxonomy="true" ma:internalName="k5331b621ba0468e9100f98046902b25" ma:taxonomyFieldName="Year" ma:displayName="Year" ma:readOnly="false" ma:default="" ma:fieldId="{45331b62-1ba0-468e-9100-f98046902b25}" ma:sspId="707edd6b-bcd8-4d82-9e36-5e836165b7db" ma:termSetId="aaffa071-a142-4ca5-b031-c794790264a6" ma:anchorId="00000000-0000-0000-0000-000000000000" ma:open="false" ma:isKeyword="false">
      <xsd:complexType>
        <xsd:sequence>
          <xsd:element ref="pc:Terms" minOccurs="0" maxOccurs="1"/>
        </xsd:sequence>
      </xsd:complexType>
    </xsd:element>
    <xsd:element name="o75964cf8a7848bcbe173c8e46ed4578" ma:index="19" nillable="true" ma:taxonomy="true" ma:internalName="o75964cf8a7848bcbe173c8e46ed4578" ma:taxonomyFieldName="Stakeholders" ma:displayName="Stakeholders" ma:readOnly="false" ma:default="" ma:fieldId="{875964cf-8a78-48bc-be17-3c8e46ed4578}" ma:sspId="707edd6b-bcd8-4d82-9e36-5e836165b7db" ma:termSetId="876bfadc-2860-426d-8e51-012174624128" ma:anchorId="00000000-0000-0000-0000-000000000000" ma:open="false" ma:isKeyword="false">
      <xsd:complexType>
        <xsd:sequence>
          <xsd:element ref="pc:Terms" minOccurs="0" maxOccurs="1"/>
        </xsd:sequence>
      </xsd:complexType>
    </xsd:element>
    <xsd:element name="i47f3095e8cd42b2a4f90d0e032a4a0a" ma:index="20" nillable="true" ma:taxonomy="true" ma:internalName="i47f3095e8cd42b2a4f90d0e032a4a0a" ma:taxonomyFieldName="Topic" ma:displayName="Topic" ma:readOnly="false" ma:default="" ma:fieldId="{247f3095-e8cd-42b2-a4f9-0d0e032a4a0a}" ma:sspId="707edd6b-bcd8-4d82-9e36-5e836165b7db" ma:termSetId="41c7ede2-9c1a-429f-a2e9-76c737bbbe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DocAve xmlns="http://www.AvePoint.com/sharepoint2007/v5/contenttype/list" CTID="0x010100801A03BAF923BB4A9A6902AB019B677B0C008069DB908602F344B6CDB9ABDB89C838"/>
</file>

<file path=customXml/item6.xml><?xml version="1.0" encoding="utf-8"?>
<ct:contentTypeSchema xmlns:ct="http://schemas.microsoft.com/office/2006/metadata/contentType" xmlns:ma="http://schemas.microsoft.com/office/2006/metadata/properties/metaAttributes" ct:_="" ma:_="" ma:contentTypeName="Document" ma:contentTypeID="0x0101007B96FE425E684442A8094C4528A98200" ma:contentTypeVersion="3" ma:contentTypeDescription="Create a new document." ma:contentTypeScope="" ma:versionID="c017eb6ab94ddb2415660d3e1a15e829">
  <xsd:schema xmlns:xsd="http://www.w3.org/2001/XMLSchema" xmlns:xs="http://www.w3.org/2001/XMLSchema" xmlns:p="http://schemas.microsoft.com/office/2006/metadata/properties" xmlns:ns1="http://schemas.microsoft.com/sharepoint/v3" xmlns:ns2="b2999bd9-dba0-46e4-8521-1f182c80fbb9" xmlns:ns4="c9f238dd-bb73-4aef-a7a5-d644ad823e52" targetNamespace="http://schemas.microsoft.com/office/2006/metadata/properties" ma:root="true" ma:fieldsID="39dc64db618f5dd940f1d5983aa0496f" ns1:_="" ns2:_="" ns4:_="">
    <xsd:import namespace="http://schemas.microsoft.com/sharepoint/v3"/>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22F23369-13DF-4869-9D0F-F47B259AB56C}"/>
</file>

<file path=customXml/itemProps3.xml><?xml version="1.0" encoding="utf-8"?>
<ds:datastoreItem xmlns:ds="http://schemas.openxmlformats.org/officeDocument/2006/customXml" ds:itemID="{D24DA5F4-1C72-4E27-94F4-E1E4EA134F03}"/>
</file>

<file path=customXml/itemProps4.xml><?xml version="1.0" encoding="utf-8"?>
<ds:datastoreItem xmlns:ds="http://schemas.openxmlformats.org/officeDocument/2006/customXml" ds:itemID="{341C7977-319E-4EA5-B7F5-CF1E0B4D9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4a6d2-c0db-4bd5-9754-b0b83581d785"/>
    <ds:schemaRef ds:uri="6f1422fb-2028-4185-8ac3-58d55a1bd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A93309-43E1-4D88-AA8F-956D98A7B1A4}">
  <ds:schemaRefs>
    <ds:schemaRef ds:uri="http://www.AvePoint.com/sharepoint2007/v5/contenttype/list"/>
  </ds:schemaRefs>
</ds:datastoreItem>
</file>

<file path=customXml/itemProps6.xml><?xml version="1.0" encoding="utf-8"?>
<ds:datastoreItem xmlns:ds="http://schemas.openxmlformats.org/officeDocument/2006/customXml" ds:itemID="{61DFFE81-172C-42C5-B0BD-579C1426063B}"/>
</file>

<file path=customXml/itemProps7.xml><?xml version="1.0" encoding="utf-8"?>
<ds:datastoreItem xmlns:ds="http://schemas.openxmlformats.org/officeDocument/2006/customXml" ds:itemID="{D0B8BB21-790E-4676-9B69-979CBE181094}"/>
</file>

<file path=docProps/app.xml><?xml version="1.0" encoding="utf-8"?>
<Properties xmlns="http://schemas.openxmlformats.org/officeDocument/2006/extended-properties" xmlns:vt="http://schemas.openxmlformats.org/officeDocument/2006/docPropsVTypes">
  <Template>Normal.dotm</Template>
  <TotalTime>1</TotalTime>
  <Pages>26</Pages>
  <Words>8426</Words>
  <Characters>48033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MAV Submission to the draft ESC Rates Framework</vt:lpstr>
    </vt:vector>
  </TitlesOfParts>
  <Company/>
  <LinksUpToDate>false</LinksUpToDate>
  <CharactersWithSpaces>56347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 submission to ESC draft rates capping and variation framework - Aug 2015</dc:title>
  <dc:creator>Owen Harvey-Beavis</dc:creator>
  <cp:lastModifiedBy>Michael Green</cp:lastModifiedBy>
  <cp:revision>3</cp:revision>
  <dcterms:created xsi:type="dcterms:W3CDTF">2015-09-02T02:42:00Z</dcterms:created>
  <dcterms:modified xsi:type="dcterms:W3CDTF">2015-09-02T02:44:00Z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0x0101007B96FE425E684442A8094C4528A98200</vt:lpwstr>
  </property>
  <property fmtid="{D5CDD505-2E9C-101B-9397-08002B2CF9AE}" pid="3" name="Year">
    <vt:lpwstr>157;#2015|ad6819b0-ff8d-40b9-a541-b6bee189b9b4</vt:lpwstr>
  </property>
  <property fmtid="{D5CDD505-2E9C-101B-9397-08002B2CF9AE}" pid="4" name="Month">
    <vt:lpwstr>2;#August|0ee7e083-2d14-431c-8ed5-a452f1cf9fc4</vt:lpwstr>
  </property>
  <property fmtid="{D5CDD505-2E9C-101B-9397-08002B2CF9AE}" pid="5" name="Stakeholders">
    <vt:lpwstr/>
  </property>
  <property fmtid="{D5CDD505-2E9C-101B-9397-08002B2CF9AE}" pid="6" name="Issue (Comms)">
    <vt:lpwstr/>
  </property>
  <property fmtid="{D5CDD505-2E9C-101B-9397-08002B2CF9AE}" pid="7" name="Doc Type">
    <vt:lpwstr>5;#Submission|0f45a96c-2fb6-448e-b14e-285c9a1f224d</vt:lpwstr>
  </property>
  <property fmtid="{D5CDD505-2E9C-101B-9397-08002B2CF9AE}" pid="8" name="Project">
    <vt:lpwstr/>
  </property>
  <property fmtid="{D5CDD505-2E9C-101B-9397-08002B2CF9AE}" pid="9" name="Topic">
    <vt:lpwstr>52;#Rates|f5542255-6ceb-4049-a74c-44543f8a86af</vt:lpwstr>
  </property>
  <property fmtid="{D5CDD505-2E9C-101B-9397-08002B2CF9AE}" pid="10" name="AGLSSubject">
    <vt:lpwstr>27;#Rates|8da53da8-5f41-48cf-be35-5e71cef9c546</vt:lpwstr>
  </property>
</Properties>
</file>