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6CB18A" w14:textId="171200EE" w:rsidR="00286BB4" w:rsidRDefault="00286BB4" w:rsidP="00286BB4">
      <w:bookmarkStart w:id="0" w:name="_GoBack"/>
      <w:bookmarkEnd w:id="0"/>
    </w:p>
    <w:p w14:paraId="76E3C383" w14:textId="77777777" w:rsidR="00286BB4" w:rsidRDefault="00286BB4" w:rsidP="00286BB4"/>
    <w:p w14:paraId="1AD06444" w14:textId="77777777" w:rsidR="00286BB4" w:rsidRDefault="00286BB4" w:rsidP="00286BB4">
      <w:pPr>
        <w:jc w:val="right"/>
      </w:pPr>
    </w:p>
    <w:p w14:paraId="47A338EE" w14:textId="77777777" w:rsidR="00286BB4" w:rsidRDefault="00286BB4" w:rsidP="00286BB4">
      <w:pPr>
        <w:jc w:val="right"/>
      </w:pPr>
    </w:p>
    <w:p w14:paraId="5BCBCD17" w14:textId="77777777" w:rsidR="00286BB4" w:rsidRDefault="00286BB4" w:rsidP="00286BB4">
      <w:pPr>
        <w:jc w:val="right"/>
      </w:pPr>
    </w:p>
    <w:p w14:paraId="3487C1E6" w14:textId="77777777" w:rsidR="00286BB4" w:rsidRDefault="00182B22" w:rsidP="00286BB4">
      <w:r>
        <w:rPr>
          <w:noProof/>
          <w:lang w:val="en-AU" w:eastAsia="en-AU"/>
        </w:rPr>
        <mc:AlternateContent>
          <mc:Choice Requires="wps">
            <w:drawing>
              <wp:anchor distT="0" distB="0" distL="114300" distR="114300" simplePos="0" relativeHeight="251658240" behindDoc="0" locked="0" layoutInCell="1" allowOverlap="1" wp14:anchorId="6F12ECDB" wp14:editId="44157615">
                <wp:simplePos x="0" y="0"/>
                <wp:positionH relativeFrom="column">
                  <wp:posOffset>1167765</wp:posOffset>
                </wp:positionH>
                <wp:positionV relativeFrom="paragraph">
                  <wp:posOffset>-137160</wp:posOffset>
                </wp:positionV>
                <wp:extent cx="0" cy="6859905"/>
                <wp:effectExtent l="24765" t="24765" r="22860" b="2095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9905"/>
                        </a:xfrm>
                        <a:prstGeom prst="line">
                          <a:avLst/>
                        </a:prstGeom>
                        <a:noFill/>
                        <a:ln w="38100">
                          <a:solidFill>
                            <a:srgbClr val="FCB51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10.8pt" to="91.95pt,5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" strokecolor="#fcb514" strokeweight="3pt"/>
            </w:pict>
          </mc:Fallback>
        </mc:AlternateContent>
      </w:r>
    </w:p>
    <w:p w14:paraId="57266686" w14:textId="77777777" w:rsidR="00286BB4" w:rsidRDefault="00286BB4" w:rsidP="00286BB4">
      <w:pPr>
        <w:jc w:val="right"/>
      </w:pPr>
      <w:r>
        <w:br w:type="textWrapping" w:clear="all"/>
      </w:r>
    </w:p>
    <w:p w14:paraId="773817F0" w14:textId="77777777" w:rsidR="00286BB4" w:rsidRDefault="00286BB4" w:rsidP="00286BB4"/>
    <w:p w14:paraId="7BAB5056" w14:textId="77777777" w:rsidR="00FE78D4" w:rsidRPr="000C3436" w:rsidRDefault="00FE78D4" w:rsidP="00F052E8">
      <w:pPr>
        <w:keepNext/>
        <w:pBdr>
          <w:top w:val="single" w:sz="6" w:space="1" w:color="FFFFFF"/>
          <w:left w:val="single" w:sz="6" w:space="1" w:color="FFFFFF"/>
          <w:bottom w:val="single" w:sz="6" w:space="1" w:color="FFFFFF"/>
          <w:right w:val="single" w:sz="6" w:space="0" w:color="FFFFFF"/>
        </w:pBdr>
        <w:jc w:val="right"/>
        <w:rPr>
          <w:rFonts w:cs="Arial"/>
          <w:b/>
          <w:bCs/>
          <w:sz w:val="36"/>
          <w:szCs w:val="36"/>
        </w:rPr>
      </w:pPr>
    </w:p>
    <w:p w14:paraId="19D8152E" w14:textId="2D123627" w:rsidR="00FE78D4" w:rsidRDefault="00FE78D4" w:rsidP="00F052E8">
      <w:pPr>
        <w:pBdr>
          <w:top w:val="single" w:sz="6" w:space="1" w:color="FFFFFF"/>
          <w:left w:val="single" w:sz="6" w:space="1" w:color="FFFFFF"/>
          <w:bottom w:val="single" w:sz="6" w:space="1" w:color="FFFFFF"/>
          <w:right w:val="single" w:sz="6" w:space="0" w:color="FFFFFF"/>
        </w:pBdr>
        <w:jc w:val="right"/>
        <w:rPr>
          <w:b/>
          <w:sz w:val="36"/>
          <w:szCs w:val="36"/>
        </w:rPr>
      </w:pPr>
      <w:r w:rsidRPr="00FE78D4">
        <w:rPr>
          <w:b/>
          <w:sz w:val="36"/>
          <w:szCs w:val="36"/>
        </w:rPr>
        <w:t>Victorian Land Capability</w:t>
      </w:r>
    </w:p>
    <w:p w14:paraId="433C0FF7" w14:textId="11B14DCC" w:rsidR="00F052E8" w:rsidRDefault="00FE78D4" w:rsidP="00F052E8">
      <w:pPr>
        <w:pBdr>
          <w:top w:val="single" w:sz="6" w:space="1" w:color="FFFFFF"/>
          <w:left w:val="single" w:sz="6" w:space="1" w:color="FFFFFF"/>
          <w:bottom w:val="single" w:sz="6" w:space="1" w:color="FFFFFF"/>
          <w:right w:val="single" w:sz="6" w:space="0" w:color="FFFFFF"/>
        </w:pBdr>
        <w:jc w:val="right"/>
        <w:rPr>
          <w:rFonts w:cs="Arial"/>
          <w:szCs w:val="24"/>
        </w:rPr>
      </w:pPr>
      <w:r w:rsidRPr="00FE78D4">
        <w:rPr>
          <w:b/>
          <w:sz w:val="36"/>
          <w:szCs w:val="36"/>
        </w:rPr>
        <w:t>Assessment Framework</w:t>
      </w:r>
    </w:p>
    <w:sdt>
      <w:sdtPr>
        <w:rPr>
          <w:rFonts w:cs="Arial"/>
          <w:b/>
          <w:szCs w:val="24"/>
        </w:rPr>
        <w:alias w:val="Publish Date"/>
        <w:tag w:val="Publish Date"/>
        <w:id w:val="7414065"/>
        <w:placeholder>
          <w:docPart w:val="0022E576AC1446A2B186D388B80B77AA"/>
        </w:placeholder>
        <w:dataBinding w:prefixMappings="xmlns:ns0='http://schemas.microsoft.com/office/2006/coverPageProps' " w:xpath="/ns0:CoverPageProperties[1]/ns0:PublishDate[1]" w:storeItemID="{55AF091B-3C7A-41E3-B477-F2FDAA23CFDA}"/>
        <w:date w:fullDate="2014-01-01T00:00:00Z">
          <w:dateFormat w:val="MMMM yyyy"/>
          <w:lid w:val="en-AU"/>
          <w:storeMappedDataAs w:val="dateTime"/>
          <w:calendar w:val="gregorian"/>
        </w:date>
      </w:sdtPr>
      <w:sdtEndPr/>
      <w:sdtContent>
        <w:p w14:paraId="723D59A2" w14:textId="66E1E532" w:rsidR="00286BB4" w:rsidRPr="000C3436" w:rsidRDefault="009751E6" w:rsidP="00F052E8">
          <w:pPr>
            <w:pBdr>
              <w:top w:val="single" w:sz="6" w:space="1" w:color="FFFFFF"/>
              <w:left w:val="single" w:sz="6" w:space="1" w:color="FFFFFF"/>
              <w:bottom w:val="single" w:sz="6" w:space="1" w:color="FFFFFF"/>
              <w:right w:val="single" w:sz="6" w:space="0" w:color="FFFFFF"/>
            </w:pBdr>
            <w:jc w:val="right"/>
            <w:rPr>
              <w:rFonts w:cs="Arial"/>
              <w:szCs w:val="24"/>
            </w:rPr>
          </w:pPr>
          <w:r>
            <w:rPr>
              <w:rFonts w:cs="Arial"/>
              <w:b/>
              <w:szCs w:val="24"/>
            </w:rPr>
            <w:t>January 2014</w:t>
          </w:r>
        </w:p>
      </w:sdtContent>
    </w:sdt>
    <w:p w14:paraId="36A49310" w14:textId="77777777" w:rsidR="00170172" w:rsidRDefault="00170172" w:rsidP="00286BB4">
      <w:pPr>
        <w:jc w:val="center"/>
      </w:pPr>
    </w:p>
    <w:p w14:paraId="62AAA65A" w14:textId="77777777" w:rsidR="00286BB4" w:rsidRDefault="00286BB4" w:rsidP="00286BB4">
      <w:pPr>
        <w:jc w:val="center"/>
      </w:pPr>
    </w:p>
    <w:p w14:paraId="47BCA6DB" w14:textId="77777777" w:rsidR="00286BB4" w:rsidRDefault="00286BB4" w:rsidP="00286BB4">
      <w:pPr>
        <w:jc w:val="center"/>
      </w:pPr>
    </w:p>
    <w:p w14:paraId="2B5A096F" w14:textId="77777777" w:rsidR="00286BB4" w:rsidRDefault="00286BB4" w:rsidP="00286BB4">
      <w:pPr>
        <w:jc w:val="center"/>
      </w:pPr>
    </w:p>
    <w:p w14:paraId="3828B40D" w14:textId="77777777" w:rsidR="00286BB4" w:rsidRDefault="00286BB4" w:rsidP="00286BB4">
      <w:pPr>
        <w:jc w:val="center"/>
      </w:pPr>
    </w:p>
    <w:p w14:paraId="3F95E443" w14:textId="48386AC9" w:rsidR="00286BB4" w:rsidRDefault="007155DD" w:rsidP="00C45565">
      <w:pPr>
        <w:spacing w:after="0" w:line="240" w:lineRule="auto"/>
      </w:pPr>
      <w:r>
        <w:br w:type="page"/>
      </w:r>
    </w:p>
    <w:p w14:paraId="7462AA51" w14:textId="77777777" w:rsidR="00286BB4" w:rsidRDefault="00286BB4" w:rsidP="00871A83">
      <w:pPr>
        <w:sectPr w:rsidR="00286BB4" w:rsidSect="00A86F9C">
          <w:footerReference w:type="default" r:id="rId15"/>
          <w:pgSz w:w="12240" w:h="15840"/>
          <w:pgMar w:top="1440" w:right="1440" w:bottom="1440" w:left="1440" w:header="708" w:footer="708" w:gutter="0"/>
          <w:cols w:space="708"/>
          <w:titlePg/>
          <w:docGrid w:linePitch="360"/>
        </w:sectPr>
      </w:pPr>
    </w:p>
    <w:p w14:paraId="605CF8F8" w14:textId="77777777" w:rsidR="00871A83" w:rsidRPr="008A6E86" w:rsidRDefault="00871A83" w:rsidP="008A6E86">
      <w:pPr>
        <w:pStyle w:val="Body"/>
      </w:pPr>
    </w:p>
    <w:p w14:paraId="021C197C" w14:textId="77777777" w:rsidR="00871A83" w:rsidRPr="006D4B7C" w:rsidRDefault="00871A83" w:rsidP="00871A83">
      <w:pPr>
        <w:pStyle w:val="DisclaimerBold"/>
        <w:ind w:left="0"/>
      </w:pPr>
      <w:r>
        <w:t xml:space="preserve">© Copyright Municipal Association of Victoria </w:t>
      </w:r>
      <w:r w:rsidRPr="006D4B7C">
        <w:t xml:space="preserve">and DSE, </w:t>
      </w:r>
      <w:r w:rsidRPr="006D4B7C">
        <w:rPr>
          <w:color w:val="231F20"/>
        </w:rPr>
        <w:t>1</w:t>
      </w:r>
      <w:r w:rsidRPr="006D4B7C">
        <w:rPr>
          <w:color w:val="231F20"/>
          <w:vertAlign w:val="superscript"/>
        </w:rPr>
        <w:t>st</w:t>
      </w:r>
      <w:r w:rsidRPr="006D4B7C">
        <w:rPr>
          <w:color w:val="231F20"/>
        </w:rPr>
        <w:t xml:space="preserve"> Edition February 2006</w:t>
      </w:r>
    </w:p>
    <w:p w14:paraId="0B0A5775" w14:textId="77777777" w:rsidR="00871A83" w:rsidRPr="006D4B7C" w:rsidRDefault="00871A83" w:rsidP="00871A83">
      <w:pPr>
        <w:rPr>
          <w:rFonts w:cs="Arial"/>
          <w:color w:val="000000"/>
          <w:sz w:val="20"/>
          <w:szCs w:val="20"/>
        </w:rPr>
      </w:pPr>
    </w:p>
    <w:p w14:paraId="26C9D9D5" w14:textId="77777777" w:rsidR="00871A83" w:rsidRPr="008A6E86" w:rsidRDefault="00871A83" w:rsidP="008A6E86">
      <w:pPr>
        <w:rPr>
          <w:i/>
          <w:sz w:val="20"/>
          <w:szCs w:val="20"/>
        </w:rPr>
      </w:pPr>
      <w:r w:rsidRPr="008A6E86">
        <w:rPr>
          <w:i/>
          <w:sz w:val="20"/>
          <w:szCs w:val="20"/>
        </w:rPr>
        <w:t>The Victorian Land Capability Assessment Framework (2</w:t>
      </w:r>
      <w:r w:rsidRPr="008A6E86">
        <w:rPr>
          <w:i/>
          <w:sz w:val="20"/>
          <w:szCs w:val="20"/>
          <w:vertAlign w:val="superscript"/>
        </w:rPr>
        <w:t>nd</w:t>
      </w:r>
      <w:r w:rsidRPr="008A6E86">
        <w:rPr>
          <w:i/>
          <w:sz w:val="20"/>
          <w:szCs w:val="20"/>
        </w:rPr>
        <w:t xml:space="preserve"> Edition 2014) should be attributed to the Municipal Association of Victoria (MAV), Department of Environment and Primary Industries (DEPI) and Environment Protection Authority Victoria (EPA) 2</w:t>
      </w:r>
      <w:r w:rsidRPr="008A6E86">
        <w:rPr>
          <w:i/>
          <w:sz w:val="20"/>
          <w:szCs w:val="20"/>
          <w:vertAlign w:val="superscript"/>
        </w:rPr>
        <w:t>nd</w:t>
      </w:r>
      <w:r w:rsidRPr="008A6E86">
        <w:rPr>
          <w:i/>
          <w:sz w:val="20"/>
          <w:szCs w:val="20"/>
        </w:rPr>
        <w:t xml:space="preserve"> Edition 2014.</w:t>
      </w:r>
    </w:p>
    <w:p w14:paraId="7C307B1D" w14:textId="77777777" w:rsidR="00871A83" w:rsidRPr="008A6E86" w:rsidRDefault="00871A83" w:rsidP="008A6E86">
      <w:pPr>
        <w:rPr>
          <w:i/>
          <w:sz w:val="20"/>
          <w:szCs w:val="20"/>
        </w:rPr>
      </w:pPr>
      <w:r w:rsidRPr="008A6E86">
        <w:rPr>
          <w:i/>
          <w:noProof/>
          <w:color w:val="4374B7"/>
          <w:sz w:val="20"/>
          <w:szCs w:val="20"/>
          <w:lang w:val="en-AU" w:eastAsia="en-AU"/>
        </w:rPr>
        <w:drawing>
          <wp:inline distT="0" distB="0" distL="0" distR="0" wp14:anchorId="25CFB1C6" wp14:editId="2BE3CD13">
            <wp:extent cx="838200" cy="295275"/>
            <wp:effectExtent l="0" t="0" r="0" b="9525"/>
            <wp:docPr id="7" name="Picture 7" descr="Creative Commons Licen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6AEFF963" w14:textId="77777777" w:rsidR="00871A83" w:rsidRPr="008A6E86" w:rsidRDefault="00871A83" w:rsidP="008A6E86">
      <w:pPr>
        <w:rPr>
          <w:i/>
          <w:sz w:val="20"/>
          <w:szCs w:val="20"/>
        </w:rPr>
      </w:pPr>
      <w:r w:rsidRPr="008A6E86">
        <w:rPr>
          <w:i/>
          <w:sz w:val="20"/>
          <w:szCs w:val="20"/>
        </w:rPr>
        <w:t xml:space="preserve">The Victorian Land Capability Assessment Framework is licensed under a Creative Commons Attribution 4.0 International licence. In essence, you are free to copy, distribute and adapt the work, as long as you attribute the work and abide by the other licence terms. To view a copy of this licence, visit: </w:t>
      </w:r>
      <w:hyperlink r:id="rId18" w:history="1">
        <w:r w:rsidRPr="008A6E86">
          <w:rPr>
            <w:rStyle w:val="Hyperlink"/>
            <w:rFonts w:cs="Arial"/>
            <w:i/>
            <w:sz w:val="20"/>
            <w:szCs w:val="20"/>
          </w:rPr>
          <w:t>http://creativecommons.org/licenses/by/4.0/</w:t>
        </w:r>
      </w:hyperlink>
      <w:r w:rsidRPr="008A6E86">
        <w:rPr>
          <w:i/>
          <w:sz w:val="20"/>
          <w:szCs w:val="20"/>
        </w:rPr>
        <w:t xml:space="preserve"> </w:t>
      </w:r>
    </w:p>
    <w:p w14:paraId="7B596337" w14:textId="77777777" w:rsidR="00871A83" w:rsidRPr="008A6E86" w:rsidRDefault="00871A83" w:rsidP="008A6E86">
      <w:pPr>
        <w:rPr>
          <w:i/>
          <w:sz w:val="20"/>
          <w:szCs w:val="20"/>
        </w:rPr>
      </w:pPr>
      <w:r w:rsidRPr="008A6E86">
        <w:rPr>
          <w:i/>
          <w:sz w:val="20"/>
          <w:szCs w:val="20"/>
        </w:rPr>
        <w:t>This document was originally developed in 2006 as part of the Victorian Government’s Country Towns Water Supply and Sewerage Program. It was prepared by Whitehead &amp; Associates Environmental Consultants Pty Ltd in accordance with EPA Victoria’s Septic Tank Code of Practice Publication 891 and Land Capability Assessment for Onsite Domestic Wastewater Management Publication 746.1, and the Australian/New Zealand Standard 1547 (as amended) On-site Domestic Wastewater Management.</w:t>
      </w:r>
    </w:p>
    <w:p w14:paraId="5F2B1E7C" w14:textId="4BCC9B3E" w:rsidR="00871A83" w:rsidRPr="00B375CE" w:rsidRDefault="00871A83" w:rsidP="008A6E86">
      <w:pPr>
        <w:rPr>
          <w:sz w:val="20"/>
          <w:szCs w:val="20"/>
        </w:rPr>
      </w:pPr>
      <w:r w:rsidRPr="008A6E86">
        <w:rPr>
          <w:i/>
          <w:sz w:val="20"/>
          <w:szCs w:val="20"/>
        </w:rPr>
        <w:t>It has been revised by Whitehead &amp; Associates in accordance with EPA Victoria’s Code of Practice, Onsite Wastewater Management (Publication 891.3, 2013) and the Australian/New Zealand Standard AS/NZS 1547:2012 On-site domestic wastewater management.</w:t>
      </w:r>
      <w:r w:rsidR="00E81770">
        <w:rPr>
          <w:sz w:val="20"/>
          <w:szCs w:val="20"/>
        </w:rPr>
        <w:t xml:space="preserve"> </w:t>
      </w:r>
      <w:r w:rsidR="00E81770" w:rsidRPr="005570B6">
        <w:rPr>
          <w:i/>
          <w:sz w:val="20"/>
          <w:szCs w:val="20"/>
        </w:rPr>
        <w:t>Whe</w:t>
      </w:r>
      <w:r w:rsidR="005570B6">
        <w:rPr>
          <w:i/>
          <w:sz w:val="20"/>
          <w:szCs w:val="20"/>
        </w:rPr>
        <w:t>re</w:t>
      </w:r>
      <w:r w:rsidR="00E81770" w:rsidRPr="005570B6">
        <w:rPr>
          <w:i/>
          <w:sz w:val="20"/>
          <w:szCs w:val="20"/>
        </w:rPr>
        <w:t xml:space="preserve"> the Code of Practice (Pub. </w:t>
      </w:r>
      <w:r w:rsidR="005570B6">
        <w:rPr>
          <w:i/>
          <w:sz w:val="20"/>
          <w:szCs w:val="20"/>
        </w:rPr>
        <w:t>891 series</w:t>
      </w:r>
      <w:r w:rsidR="00E81770" w:rsidRPr="005570B6">
        <w:rPr>
          <w:i/>
          <w:sz w:val="20"/>
          <w:szCs w:val="20"/>
        </w:rPr>
        <w:t>) and AS/NZS 1547 are revised, use the latest version in conjunction with this LCA Framework.</w:t>
      </w:r>
    </w:p>
    <w:p w14:paraId="7A7AA55E" w14:textId="4E26FA2A" w:rsidR="0096018B" w:rsidRDefault="008A6E86" w:rsidP="0096018B">
      <w:pPr>
        <w:spacing w:after="0" w:line="240" w:lineRule="auto"/>
      </w:pPr>
      <w:r>
        <w:br w:type="page"/>
      </w:r>
    </w:p>
    <w:p w14:paraId="4857F034" w14:textId="2129A3DB" w:rsidR="0096018B" w:rsidRDefault="00684C48" w:rsidP="00582E4F">
      <w:pPr>
        <w:pStyle w:val="Heading2"/>
        <w:ind w:left="0"/>
      </w:pPr>
      <w:bookmarkStart w:id="1" w:name="_Toc378688071"/>
      <w:r>
        <w:lastRenderedPageBreak/>
        <w:t>Table of Contents</w:t>
      </w:r>
      <w:bookmarkEnd w:id="1"/>
    </w:p>
    <w:p w14:paraId="41F701BF" w14:textId="77777777" w:rsidR="00384FAD" w:rsidRDefault="00384FAD" w:rsidP="009F0893">
      <w:pPr>
        <w:pStyle w:val="TOC2"/>
        <w:numPr>
          <w:ilvl w:val="0"/>
          <w:numId w:val="0"/>
        </w:numPr>
        <w:ind w:left="360"/>
      </w:pPr>
    </w:p>
    <w:p w14:paraId="3ECC44B5" w14:textId="78027A18" w:rsidR="00B375CE" w:rsidRPr="00B375CE" w:rsidRDefault="0096018B" w:rsidP="009F0893">
      <w:pPr>
        <w:pStyle w:val="TOC2"/>
        <w:numPr>
          <w:ilvl w:val="0"/>
          <w:numId w:val="0"/>
        </w:numPr>
        <w:ind w:left="360"/>
        <w:rPr>
          <w:rFonts w:asciiTheme="minorHAnsi" w:eastAsiaTheme="minorEastAsia" w:hAnsiTheme="minorHAnsi" w:cstheme="minorBidi"/>
          <w:lang w:val="en-AU" w:eastAsia="en-AU"/>
        </w:rPr>
      </w:pPr>
      <w:r w:rsidRPr="00B375CE">
        <w:fldChar w:fldCharType="begin"/>
      </w:r>
      <w:r w:rsidRPr="00B375CE">
        <w:instrText xml:space="preserve"> TOC \o "2-3" \h \z \u \t "Heading 1,1" </w:instrText>
      </w:r>
      <w:r w:rsidRPr="00B375CE">
        <w:fldChar w:fldCharType="separate"/>
      </w:r>
      <w:hyperlink w:anchor="_Toc378688072" w:history="1">
        <w:r w:rsidR="00B375CE" w:rsidRPr="00B375CE">
          <w:rPr>
            <w:rStyle w:val="Hyperlink"/>
            <w:color w:val="auto"/>
          </w:rPr>
          <w:t>Acknowledgements</w:t>
        </w:r>
        <w:r w:rsidR="00B375CE" w:rsidRPr="00B375CE">
          <w:rPr>
            <w:webHidden/>
          </w:rPr>
          <w:tab/>
        </w:r>
        <w:r w:rsidR="00B375CE" w:rsidRPr="00B375CE">
          <w:rPr>
            <w:webHidden/>
          </w:rPr>
          <w:fldChar w:fldCharType="begin"/>
        </w:r>
        <w:r w:rsidR="00B375CE" w:rsidRPr="00B375CE">
          <w:rPr>
            <w:webHidden/>
          </w:rPr>
          <w:instrText xml:space="preserve"> PAGEREF _Toc378688072 \h </w:instrText>
        </w:r>
        <w:r w:rsidR="00B375CE" w:rsidRPr="00B375CE">
          <w:rPr>
            <w:webHidden/>
          </w:rPr>
        </w:r>
        <w:r w:rsidR="00B375CE" w:rsidRPr="00B375CE">
          <w:rPr>
            <w:webHidden/>
          </w:rPr>
          <w:fldChar w:fldCharType="separate"/>
        </w:r>
        <w:r w:rsidR="00B375CE" w:rsidRPr="00B375CE">
          <w:rPr>
            <w:webHidden/>
          </w:rPr>
          <w:t>5</w:t>
        </w:r>
        <w:r w:rsidR="00B375CE" w:rsidRPr="00B375CE">
          <w:rPr>
            <w:webHidden/>
          </w:rPr>
          <w:fldChar w:fldCharType="end"/>
        </w:r>
      </w:hyperlink>
    </w:p>
    <w:p w14:paraId="3D74A919" w14:textId="77777777" w:rsidR="00B375CE" w:rsidRPr="00B375CE" w:rsidRDefault="00A522BC">
      <w:pPr>
        <w:pStyle w:val="TOC1"/>
        <w:rPr>
          <w:rFonts w:asciiTheme="minorHAnsi" w:eastAsiaTheme="minorEastAsia" w:hAnsiTheme="minorHAnsi" w:cstheme="minorBidi"/>
          <w:i w:val="0"/>
          <w:noProof/>
          <w:lang w:val="en-AU" w:eastAsia="en-AU"/>
        </w:rPr>
      </w:pPr>
      <w:hyperlink w:anchor="_Toc378688076" w:history="1">
        <w:r w:rsidR="00B375CE" w:rsidRPr="00B375CE">
          <w:rPr>
            <w:rStyle w:val="Hyperlink"/>
            <w:i w:val="0"/>
            <w:noProof/>
            <w:color w:val="auto"/>
          </w:rPr>
          <w:t>Acronyms</w:t>
        </w:r>
        <w:r w:rsidR="00B375CE" w:rsidRPr="00B375CE">
          <w:rPr>
            <w:i w:val="0"/>
            <w:noProof/>
            <w:webHidden/>
          </w:rPr>
          <w:tab/>
        </w:r>
        <w:r w:rsidR="00B375CE" w:rsidRPr="00B375CE">
          <w:rPr>
            <w:i w:val="0"/>
            <w:noProof/>
            <w:webHidden/>
          </w:rPr>
          <w:fldChar w:fldCharType="begin"/>
        </w:r>
        <w:r w:rsidR="00B375CE" w:rsidRPr="00B375CE">
          <w:rPr>
            <w:i w:val="0"/>
            <w:noProof/>
            <w:webHidden/>
          </w:rPr>
          <w:instrText xml:space="preserve"> PAGEREF _Toc378688076 \h </w:instrText>
        </w:r>
        <w:r w:rsidR="00B375CE" w:rsidRPr="00B375CE">
          <w:rPr>
            <w:i w:val="0"/>
            <w:noProof/>
            <w:webHidden/>
          </w:rPr>
        </w:r>
        <w:r w:rsidR="00B375CE" w:rsidRPr="00B375CE">
          <w:rPr>
            <w:i w:val="0"/>
            <w:noProof/>
            <w:webHidden/>
          </w:rPr>
          <w:fldChar w:fldCharType="separate"/>
        </w:r>
        <w:r w:rsidR="00B375CE" w:rsidRPr="00B375CE">
          <w:rPr>
            <w:i w:val="0"/>
            <w:noProof/>
            <w:webHidden/>
          </w:rPr>
          <w:t>6</w:t>
        </w:r>
        <w:r w:rsidR="00B375CE" w:rsidRPr="00B375CE">
          <w:rPr>
            <w:i w:val="0"/>
            <w:noProof/>
            <w:webHidden/>
          </w:rPr>
          <w:fldChar w:fldCharType="end"/>
        </w:r>
      </w:hyperlink>
    </w:p>
    <w:p w14:paraId="3F87F9A7" w14:textId="5050DF29" w:rsidR="00B375CE" w:rsidRPr="00B375CE" w:rsidRDefault="00A522BC" w:rsidP="009F0893">
      <w:pPr>
        <w:pStyle w:val="TOC2"/>
        <w:rPr>
          <w:rStyle w:val="Hyperlink"/>
          <w:color w:val="auto"/>
        </w:rPr>
      </w:pPr>
      <w:hyperlink w:anchor="_Toc378688077" w:history="1">
        <w:r w:rsidR="00B375CE" w:rsidRPr="00B375CE">
          <w:rPr>
            <w:rStyle w:val="Hyperlink"/>
            <w:color w:val="auto"/>
          </w:rPr>
          <w:t>Introduction</w:t>
        </w:r>
        <w:r w:rsidR="00B375CE" w:rsidRPr="00B375CE">
          <w:rPr>
            <w:rStyle w:val="Hyperlink"/>
            <w:webHidden/>
            <w:color w:val="auto"/>
          </w:rPr>
          <w:tab/>
        </w:r>
        <w:r w:rsidR="00B375CE" w:rsidRPr="00B375CE">
          <w:rPr>
            <w:rStyle w:val="Hyperlink"/>
            <w:webHidden/>
            <w:color w:val="auto"/>
          </w:rPr>
          <w:fldChar w:fldCharType="begin"/>
        </w:r>
        <w:r w:rsidR="00B375CE" w:rsidRPr="00B375CE">
          <w:rPr>
            <w:rStyle w:val="Hyperlink"/>
            <w:webHidden/>
            <w:color w:val="auto"/>
          </w:rPr>
          <w:instrText xml:space="preserve"> PAGEREF _Toc378688077 \h </w:instrText>
        </w:r>
        <w:r w:rsidR="00B375CE" w:rsidRPr="00B375CE">
          <w:rPr>
            <w:rStyle w:val="Hyperlink"/>
            <w:webHidden/>
            <w:color w:val="auto"/>
          </w:rPr>
        </w:r>
        <w:r w:rsidR="00B375CE" w:rsidRPr="00B375CE">
          <w:rPr>
            <w:rStyle w:val="Hyperlink"/>
            <w:webHidden/>
            <w:color w:val="auto"/>
          </w:rPr>
          <w:fldChar w:fldCharType="separate"/>
        </w:r>
        <w:r w:rsidR="00B375CE" w:rsidRPr="00B375CE">
          <w:rPr>
            <w:rStyle w:val="Hyperlink"/>
            <w:webHidden/>
            <w:color w:val="auto"/>
          </w:rPr>
          <w:t>7</w:t>
        </w:r>
        <w:r w:rsidR="00B375CE" w:rsidRPr="00B375CE">
          <w:rPr>
            <w:rStyle w:val="Hyperlink"/>
            <w:webHidden/>
            <w:color w:val="auto"/>
          </w:rPr>
          <w:fldChar w:fldCharType="end"/>
        </w:r>
      </w:hyperlink>
    </w:p>
    <w:p w14:paraId="1F789368" w14:textId="37370940" w:rsidR="00B375CE" w:rsidRPr="00B375CE" w:rsidRDefault="00A522BC" w:rsidP="009F0893">
      <w:pPr>
        <w:pStyle w:val="TOC2"/>
      </w:pPr>
      <w:hyperlink w:anchor="_Toc378688078" w:history="1">
        <w:r w:rsidR="00B375CE" w:rsidRPr="00B375CE">
          <w:rPr>
            <w:rStyle w:val="Hyperlink"/>
            <w:color w:val="auto"/>
          </w:rPr>
          <w:t>When is a Land Capability Assessment required?</w:t>
        </w:r>
        <w:r w:rsidR="00B375CE" w:rsidRPr="00B375CE">
          <w:rPr>
            <w:rStyle w:val="Hyperlink"/>
            <w:webHidden/>
            <w:color w:val="auto"/>
          </w:rPr>
          <w:tab/>
        </w:r>
        <w:r w:rsidR="00B375CE" w:rsidRPr="00B375CE">
          <w:rPr>
            <w:rStyle w:val="Hyperlink"/>
            <w:webHidden/>
            <w:color w:val="auto"/>
          </w:rPr>
          <w:fldChar w:fldCharType="begin"/>
        </w:r>
        <w:r w:rsidR="00B375CE" w:rsidRPr="00B375CE">
          <w:rPr>
            <w:rStyle w:val="Hyperlink"/>
            <w:webHidden/>
            <w:color w:val="auto"/>
          </w:rPr>
          <w:instrText xml:space="preserve"> PAGEREF _Toc378688078 \h </w:instrText>
        </w:r>
        <w:r w:rsidR="00B375CE" w:rsidRPr="00B375CE">
          <w:rPr>
            <w:rStyle w:val="Hyperlink"/>
            <w:webHidden/>
            <w:color w:val="auto"/>
          </w:rPr>
        </w:r>
        <w:r w:rsidR="00B375CE" w:rsidRPr="00B375CE">
          <w:rPr>
            <w:rStyle w:val="Hyperlink"/>
            <w:webHidden/>
            <w:color w:val="auto"/>
          </w:rPr>
          <w:fldChar w:fldCharType="separate"/>
        </w:r>
        <w:r w:rsidR="00B375CE" w:rsidRPr="00B375CE">
          <w:rPr>
            <w:rStyle w:val="Hyperlink"/>
            <w:webHidden/>
            <w:color w:val="auto"/>
          </w:rPr>
          <w:t>8</w:t>
        </w:r>
        <w:r w:rsidR="00B375CE" w:rsidRPr="00B375CE">
          <w:rPr>
            <w:rStyle w:val="Hyperlink"/>
            <w:webHidden/>
            <w:color w:val="auto"/>
          </w:rPr>
          <w:fldChar w:fldCharType="end"/>
        </w:r>
      </w:hyperlink>
    </w:p>
    <w:p w14:paraId="6FBBB5A6" w14:textId="590CEF78" w:rsidR="00B375CE" w:rsidRPr="00B375CE" w:rsidRDefault="00A522BC" w:rsidP="009F0893">
      <w:pPr>
        <w:pStyle w:val="TOC2"/>
        <w:rPr>
          <w:rFonts w:asciiTheme="minorHAnsi" w:eastAsiaTheme="minorEastAsia" w:hAnsiTheme="minorHAnsi" w:cstheme="minorBidi"/>
          <w:lang w:val="en-AU" w:eastAsia="en-AU"/>
        </w:rPr>
      </w:pPr>
      <w:hyperlink w:anchor="_Toc378688080" w:history="1">
        <w:r w:rsidR="00B375CE" w:rsidRPr="00B375CE">
          <w:rPr>
            <w:rStyle w:val="Hyperlink"/>
          </w:rPr>
          <w:t>Who should undertake a Land Capability Assessment?</w:t>
        </w:r>
        <w:r w:rsidR="00B375CE" w:rsidRPr="00B375CE">
          <w:rPr>
            <w:rStyle w:val="Hyperlink"/>
            <w:webHidden/>
          </w:rPr>
          <w:tab/>
        </w:r>
        <w:r w:rsidR="00B375CE" w:rsidRPr="00B375CE">
          <w:rPr>
            <w:rStyle w:val="Hyperlink"/>
            <w:webHidden/>
          </w:rPr>
          <w:fldChar w:fldCharType="begin"/>
        </w:r>
        <w:r w:rsidR="00B375CE" w:rsidRPr="00B375CE">
          <w:rPr>
            <w:rStyle w:val="Hyperlink"/>
            <w:webHidden/>
          </w:rPr>
          <w:instrText xml:space="preserve"> PAGEREF _Toc378688080 \h </w:instrText>
        </w:r>
        <w:r w:rsidR="00B375CE" w:rsidRPr="00B375CE">
          <w:rPr>
            <w:rStyle w:val="Hyperlink"/>
            <w:webHidden/>
          </w:rPr>
        </w:r>
        <w:r w:rsidR="00B375CE" w:rsidRPr="00B375CE">
          <w:rPr>
            <w:rStyle w:val="Hyperlink"/>
            <w:webHidden/>
          </w:rPr>
          <w:fldChar w:fldCharType="separate"/>
        </w:r>
        <w:r w:rsidR="00B375CE" w:rsidRPr="00B375CE">
          <w:rPr>
            <w:rStyle w:val="Hyperlink"/>
            <w:webHidden/>
          </w:rPr>
          <w:t>9</w:t>
        </w:r>
        <w:r w:rsidR="00B375CE" w:rsidRPr="00B375CE">
          <w:rPr>
            <w:rStyle w:val="Hyperlink"/>
            <w:webHidden/>
          </w:rPr>
          <w:fldChar w:fldCharType="end"/>
        </w:r>
      </w:hyperlink>
    </w:p>
    <w:p w14:paraId="705E72D2" w14:textId="1160E8BD" w:rsidR="00B375CE" w:rsidRPr="00384FAD" w:rsidRDefault="00A522BC" w:rsidP="009F0893">
      <w:pPr>
        <w:pStyle w:val="TOC2"/>
        <w:rPr>
          <w:rFonts w:asciiTheme="minorHAnsi" w:eastAsiaTheme="minorEastAsia" w:hAnsiTheme="minorHAnsi" w:cstheme="minorBidi"/>
          <w:lang w:val="en-AU" w:eastAsia="en-AU"/>
        </w:rPr>
      </w:pPr>
      <w:hyperlink w:anchor="_Toc378688082" w:history="1">
        <w:r w:rsidR="00B375CE" w:rsidRPr="00384FAD">
          <w:rPr>
            <w:rStyle w:val="Hyperlink"/>
          </w:rPr>
          <w:t>Undertaking Land Capability Assessments</w:t>
        </w:r>
        <w:r w:rsidR="00B375CE" w:rsidRPr="00384FAD">
          <w:rPr>
            <w:webHidden/>
          </w:rPr>
          <w:tab/>
        </w:r>
        <w:r w:rsidR="00B375CE" w:rsidRPr="00384FAD">
          <w:rPr>
            <w:webHidden/>
          </w:rPr>
          <w:fldChar w:fldCharType="begin"/>
        </w:r>
        <w:r w:rsidR="00B375CE" w:rsidRPr="00384FAD">
          <w:rPr>
            <w:webHidden/>
          </w:rPr>
          <w:instrText xml:space="preserve"> PAGEREF _Toc378688082 \h </w:instrText>
        </w:r>
        <w:r w:rsidR="00B375CE" w:rsidRPr="00384FAD">
          <w:rPr>
            <w:webHidden/>
          </w:rPr>
        </w:r>
        <w:r w:rsidR="00B375CE" w:rsidRPr="00384FAD">
          <w:rPr>
            <w:webHidden/>
          </w:rPr>
          <w:fldChar w:fldCharType="separate"/>
        </w:r>
        <w:r w:rsidR="00B375CE" w:rsidRPr="00384FAD">
          <w:rPr>
            <w:webHidden/>
          </w:rPr>
          <w:t>10</w:t>
        </w:r>
        <w:r w:rsidR="00B375CE" w:rsidRPr="00384FAD">
          <w:rPr>
            <w:webHidden/>
          </w:rPr>
          <w:fldChar w:fldCharType="end"/>
        </w:r>
      </w:hyperlink>
    </w:p>
    <w:p w14:paraId="7267CB7C" w14:textId="77777777" w:rsidR="00B375CE" w:rsidRPr="00B375CE" w:rsidRDefault="009F0893" w:rsidP="009F0893">
      <w:pPr>
        <w:pStyle w:val="TOC2"/>
        <w:numPr>
          <w:ilvl w:val="0"/>
          <w:numId w:val="0"/>
        </w:numPr>
        <w:ind w:left="360"/>
        <w:rPr>
          <w:rFonts w:asciiTheme="minorHAnsi" w:eastAsiaTheme="minorEastAsia" w:hAnsiTheme="minorHAnsi" w:cstheme="minorBidi"/>
          <w:lang w:val="en-AU" w:eastAsia="en-AU"/>
        </w:rPr>
      </w:pPr>
      <w:hyperlink w:anchor="_Toc378688083" w:history="1">
        <w:r w:rsidR="00B375CE" w:rsidRPr="00B375CE">
          <w:rPr>
            <w:rStyle w:val="Hyperlink"/>
          </w:rPr>
          <w:t>Scope the Development, Consult with Stakeholders</w:t>
        </w:r>
        <w:r w:rsidR="00B375CE" w:rsidRPr="00B375CE">
          <w:rPr>
            <w:webHidden/>
          </w:rPr>
          <w:tab/>
        </w:r>
        <w:r w:rsidR="00B375CE" w:rsidRPr="00B375CE">
          <w:rPr>
            <w:webHidden/>
          </w:rPr>
          <w:fldChar w:fldCharType="begin"/>
        </w:r>
        <w:r w:rsidR="00B375CE" w:rsidRPr="00B375CE">
          <w:rPr>
            <w:webHidden/>
          </w:rPr>
          <w:instrText xml:space="preserve"> PAGEREF _Toc378688083 \h </w:instrText>
        </w:r>
        <w:r w:rsidR="00B375CE" w:rsidRPr="00B375CE">
          <w:rPr>
            <w:webHidden/>
          </w:rPr>
        </w:r>
        <w:r w:rsidR="00B375CE" w:rsidRPr="00B375CE">
          <w:rPr>
            <w:webHidden/>
          </w:rPr>
          <w:fldChar w:fldCharType="separate"/>
        </w:r>
        <w:r w:rsidR="00B375CE" w:rsidRPr="00B375CE">
          <w:rPr>
            <w:webHidden/>
          </w:rPr>
          <w:t>10</w:t>
        </w:r>
        <w:r w:rsidR="00B375CE" w:rsidRPr="00B375CE">
          <w:rPr>
            <w:webHidden/>
          </w:rPr>
          <w:fldChar w:fldCharType="end"/>
        </w:r>
      </w:hyperlink>
    </w:p>
    <w:p w14:paraId="12F65527" w14:textId="77777777" w:rsidR="00B375CE" w:rsidRPr="00B375CE" w:rsidRDefault="00A522BC" w:rsidP="009F0893">
      <w:pPr>
        <w:pStyle w:val="TOC2"/>
        <w:numPr>
          <w:ilvl w:val="0"/>
          <w:numId w:val="0"/>
        </w:numPr>
        <w:ind w:left="360"/>
        <w:rPr>
          <w:rFonts w:asciiTheme="minorHAnsi" w:eastAsiaTheme="minorEastAsia" w:hAnsiTheme="minorHAnsi" w:cstheme="minorBidi"/>
          <w:lang w:val="en-AU" w:eastAsia="en-AU"/>
        </w:rPr>
      </w:pPr>
      <w:hyperlink w:anchor="_Toc378688084" w:history="1">
        <w:r w:rsidR="00B375CE" w:rsidRPr="00B375CE">
          <w:rPr>
            <w:rStyle w:val="Hyperlink"/>
          </w:rPr>
          <w:t>Undertake a Desktop Assessment and Plan the LCA</w:t>
        </w:r>
        <w:r w:rsidR="00B375CE" w:rsidRPr="00B375CE">
          <w:rPr>
            <w:webHidden/>
          </w:rPr>
          <w:tab/>
        </w:r>
        <w:r w:rsidR="00B375CE" w:rsidRPr="00B375CE">
          <w:rPr>
            <w:webHidden/>
          </w:rPr>
          <w:fldChar w:fldCharType="begin"/>
        </w:r>
        <w:r w:rsidR="00B375CE" w:rsidRPr="00B375CE">
          <w:rPr>
            <w:webHidden/>
          </w:rPr>
          <w:instrText xml:space="preserve"> PAGEREF _Toc378688084 \h </w:instrText>
        </w:r>
        <w:r w:rsidR="00B375CE" w:rsidRPr="00B375CE">
          <w:rPr>
            <w:webHidden/>
          </w:rPr>
        </w:r>
        <w:r w:rsidR="00B375CE" w:rsidRPr="00B375CE">
          <w:rPr>
            <w:webHidden/>
          </w:rPr>
          <w:fldChar w:fldCharType="separate"/>
        </w:r>
        <w:r w:rsidR="00B375CE" w:rsidRPr="00B375CE">
          <w:rPr>
            <w:webHidden/>
          </w:rPr>
          <w:t>11</w:t>
        </w:r>
        <w:r w:rsidR="00B375CE" w:rsidRPr="00B375CE">
          <w:rPr>
            <w:webHidden/>
          </w:rPr>
          <w:fldChar w:fldCharType="end"/>
        </w:r>
      </w:hyperlink>
    </w:p>
    <w:p w14:paraId="0F2D6B73" w14:textId="77777777" w:rsidR="00B375CE" w:rsidRPr="00B375CE" w:rsidRDefault="00A522BC" w:rsidP="009F0893">
      <w:pPr>
        <w:pStyle w:val="TOC2"/>
        <w:numPr>
          <w:ilvl w:val="0"/>
          <w:numId w:val="0"/>
        </w:numPr>
        <w:ind w:left="360"/>
        <w:rPr>
          <w:rFonts w:asciiTheme="minorHAnsi" w:eastAsiaTheme="minorEastAsia" w:hAnsiTheme="minorHAnsi" w:cstheme="minorBidi"/>
          <w:lang w:val="en-AU" w:eastAsia="en-AU"/>
        </w:rPr>
      </w:pPr>
      <w:hyperlink w:anchor="_Toc378688085" w:history="1">
        <w:r w:rsidR="00B375CE" w:rsidRPr="00B375CE">
          <w:rPr>
            <w:rStyle w:val="Hyperlink"/>
          </w:rPr>
          <w:t>Field Work (Site and Soil Assessment) and Interpretation</w:t>
        </w:r>
        <w:r w:rsidR="00B375CE" w:rsidRPr="00B375CE">
          <w:rPr>
            <w:webHidden/>
          </w:rPr>
          <w:tab/>
        </w:r>
        <w:r w:rsidR="00B375CE" w:rsidRPr="00B375CE">
          <w:rPr>
            <w:webHidden/>
          </w:rPr>
          <w:fldChar w:fldCharType="begin"/>
        </w:r>
        <w:r w:rsidR="00B375CE" w:rsidRPr="00B375CE">
          <w:rPr>
            <w:webHidden/>
          </w:rPr>
          <w:instrText xml:space="preserve"> PAGEREF _Toc378688085 \h </w:instrText>
        </w:r>
        <w:r w:rsidR="00B375CE" w:rsidRPr="00B375CE">
          <w:rPr>
            <w:webHidden/>
          </w:rPr>
        </w:r>
        <w:r w:rsidR="00B375CE" w:rsidRPr="00B375CE">
          <w:rPr>
            <w:webHidden/>
          </w:rPr>
          <w:fldChar w:fldCharType="separate"/>
        </w:r>
        <w:r w:rsidR="00B375CE" w:rsidRPr="00B375CE">
          <w:rPr>
            <w:webHidden/>
          </w:rPr>
          <w:t>12</w:t>
        </w:r>
        <w:r w:rsidR="00B375CE" w:rsidRPr="00B375CE">
          <w:rPr>
            <w:webHidden/>
          </w:rPr>
          <w:fldChar w:fldCharType="end"/>
        </w:r>
      </w:hyperlink>
    </w:p>
    <w:p w14:paraId="5C7FC9AE" w14:textId="77777777" w:rsidR="00B375CE" w:rsidRPr="00B375CE" w:rsidRDefault="00A522BC" w:rsidP="009F0893">
      <w:pPr>
        <w:pStyle w:val="TOC2"/>
        <w:numPr>
          <w:ilvl w:val="0"/>
          <w:numId w:val="0"/>
        </w:numPr>
        <w:ind w:left="360"/>
        <w:rPr>
          <w:rFonts w:asciiTheme="minorHAnsi" w:eastAsiaTheme="minorEastAsia" w:hAnsiTheme="minorHAnsi" w:cstheme="minorBidi"/>
          <w:lang w:val="en-AU" w:eastAsia="en-AU"/>
        </w:rPr>
      </w:pPr>
      <w:hyperlink w:anchor="_Toc378688086" w:history="1">
        <w:r w:rsidR="00B375CE" w:rsidRPr="00B375CE">
          <w:rPr>
            <w:rStyle w:val="Hyperlink"/>
          </w:rPr>
          <w:t>Determine the Land Capability for Onsite Wastewater Management</w:t>
        </w:r>
        <w:r w:rsidR="00B375CE" w:rsidRPr="00B375CE">
          <w:rPr>
            <w:webHidden/>
          </w:rPr>
          <w:tab/>
        </w:r>
        <w:r w:rsidR="00B375CE" w:rsidRPr="00B375CE">
          <w:rPr>
            <w:webHidden/>
          </w:rPr>
          <w:fldChar w:fldCharType="begin"/>
        </w:r>
        <w:r w:rsidR="00B375CE" w:rsidRPr="00B375CE">
          <w:rPr>
            <w:webHidden/>
          </w:rPr>
          <w:instrText xml:space="preserve"> PAGEREF _Toc378688086 \h </w:instrText>
        </w:r>
        <w:r w:rsidR="00B375CE" w:rsidRPr="00B375CE">
          <w:rPr>
            <w:webHidden/>
          </w:rPr>
        </w:r>
        <w:r w:rsidR="00B375CE" w:rsidRPr="00B375CE">
          <w:rPr>
            <w:webHidden/>
          </w:rPr>
          <w:fldChar w:fldCharType="separate"/>
        </w:r>
        <w:r w:rsidR="00B375CE" w:rsidRPr="00B375CE">
          <w:rPr>
            <w:webHidden/>
          </w:rPr>
          <w:t>19</w:t>
        </w:r>
        <w:r w:rsidR="00B375CE" w:rsidRPr="00B375CE">
          <w:rPr>
            <w:webHidden/>
          </w:rPr>
          <w:fldChar w:fldCharType="end"/>
        </w:r>
      </w:hyperlink>
    </w:p>
    <w:p w14:paraId="7CF48741" w14:textId="77777777" w:rsidR="00B375CE" w:rsidRPr="00B375CE" w:rsidRDefault="00A522BC" w:rsidP="009F0893">
      <w:pPr>
        <w:pStyle w:val="TOC2"/>
        <w:numPr>
          <w:ilvl w:val="0"/>
          <w:numId w:val="0"/>
        </w:numPr>
        <w:ind w:left="360"/>
        <w:rPr>
          <w:rFonts w:asciiTheme="minorHAnsi" w:eastAsiaTheme="minorEastAsia" w:hAnsiTheme="minorHAnsi" w:cstheme="minorBidi"/>
          <w:lang w:val="en-AU" w:eastAsia="en-AU"/>
        </w:rPr>
      </w:pPr>
      <w:hyperlink w:anchor="_Toc378688090" w:history="1">
        <w:r w:rsidR="00B375CE" w:rsidRPr="00B375CE">
          <w:rPr>
            <w:rStyle w:val="Hyperlink"/>
          </w:rPr>
          <w:t>Design the Onsite Wastewater Management System</w:t>
        </w:r>
        <w:r w:rsidR="00B375CE" w:rsidRPr="00B375CE">
          <w:rPr>
            <w:webHidden/>
          </w:rPr>
          <w:tab/>
        </w:r>
        <w:r w:rsidR="00B375CE" w:rsidRPr="00B375CE">
          <w:rPr>
            <w:webHidden/>
          </w:rPr>
          <w:fldChar w:fldCharType="begin"/>
        </w:r>
        <w:r w:rsidR="00B375CE" w:rsidRPr="00B375CE">
          <w:rPr>
            <w:webHidden/>
          </w:rPr>
          <w:instrText xml:space="preserve"> PAGEREF _Toc378688090 \h </w:instrText>
        </w:r>
        <w:r w:rsidR="00B375CE" w:rsidRPr="00B375CE">
          <w:rPr>
            <w:webHidden/>
          </w:rPr>
        </w:r>
        <w:r w:rsidR="00B375CE" w:rsidRPr="00B375CE">
          <w:rPr>
            <w:webHidden/>
          </w:rPr>
          <w:fldChar w:fldCharType="separate"/>
        </w:r>
        <w:r w:rsidR="00B375CE" w:rsidRPr="00B375CE">
          <w:rPr>
            <w:webHidden/>
          </w:rPr>
          <w:t>28</w:t>
        </w:r>
        <w:r w:rsidR="00B375CE" w:rsidRPr="00B375CE">
          <w:rPr>
            <w:webHidden/>
          </w:rPr>
          <w:fldChar w:fldCharType="end"/>
        </w:r>
      </w:hyperlink>
    </w:p>
    <w:p w14:paraId="6908F27A" w14:textId="77777777" w:rsidR="00B375CE" w:rsidRPr="00B375CE" w:rsidRDefault="00A522BC" w:rsidP="009F0893">
      <w:pPr>
        <w:pStyle w:val="TOC2"/>
        <w:numPr>
          <w:ilvl w:val="0"/>
          <w:numId w:val="0"/>
        </w:numPr>
        <w:ind w:left="360"/>
        <w:rPr>
          <w:rFonts w:asciiTheme="minorHAnsi" w:eastAsiaTheme="minorEastAsia" w:hAnsiTheme="minorHAnsi" w:cstheme="minorBidi"/>
          <w:lang w:val="en-AU" w:eastAsia="en-AU"/>
        </w:rPr>
      </w:pPr>
      <w:hyperlink w:anchor="_Toc378688102" w:history="1">
        <w:r w:rsidR="00B375CE" w:rsidRPr="00B375CE">
          <w:rPr>
            <w:rStyle w:val="Hyperlink"/>
          </w:rPr>
          <w:t>Prepare a Detailed Site Plan</w:t>
        </w:r>
        <w:r w:rsidR="00B375CE" w:rsidRPr="00B375CE">
          <w:rPr>
            <w:webHidden/>
          </w:rPr>
          <w:tab/>
        </w:r>
        <w:r w:rsidR="00B375CE" w:rsidRPr="00B375CE">
          <w:rPr>
            <w:webHidden/>
          </w:rPr>
          <w:fldChar w:fldCharType="begin"/>
        </w:r>
        <w:r w:rsidR="00B375CE" w:rsidRPr="00B375CE">
          <w:rPr>
            <w:webHidden/>
          </w:rPr>
          <w:instrText xml:space="preserve"> PAGEREF _Toc378688102 \h </w:instrText>
        </w:r>
        <w:r w:rsidR="00B375CE" w:rsidRPr="00B375CE">
          <w:rPr>
            <w:webHidden/>
          </w:rPr>
        </w:r>
        <w:r w:rsidR="00B375CE" w:rsidRPr="00B375CE">
          <w:rPr>
            <w:webHidden/>
          </w:rPr>
          <w:fldChar w:fldCharType="separate"/>
        </w:r>
        <w:r w:rsidR="00B375CE" w:rsidRPr="00B375CE">
          <w:rPr>
            <w:webHidden/>
          </w:rPr>
          <w:t>37</w:t>
        </w:r>
        <w:r w:rsidR="00B375CE" w:rsidRPr="00B375CE">
          <w:rPr>
            <w:webHidden/>
          </w:rPr>
          <w:fldChar w:fldCharType="end"/>
        </w:r>
      </w:hyperlink>
    </w:p>
    <w:p w14:paraId="39C73CE6" w14:textId="09CD59EA" w:rsidR="00B375CE" w:rsidRPr="00384FAD" w:rsidRDefault="00A522BC" w:rsidP="009F0893">
      <w:pPr>
        <w:pStyle w:val="TOC2"/>
        <w:rPr>
          <w:rFonts w:asciiTheme="minorHAnsi" w:eastAsiaTheme="minorEastAsia" w:hAnsiTheme="minorHAnsi" w:cstheme="minorBidi"/>
          <w:lang w:val="en-AU" w:eastAsia="en-AU"/>
        </w:rPr>
      </w:pPr>
      <w:hyperlink w:anchor="_Toc378688104" w:history="1">
        <w:r w:rsidR="00B375CE" w:rsidRPr="00384FAD">
          <w:rPr>
            <w:rStyle w:val="Hyperlink"/>
          </w:rPr>
          <w:t>Broad-scale Land Capability Assessments</w:t>
        </w:r>
        <w:r w:rsidR="00B375CE" w:rsidRPr="00384FAD">
          <w:rPr>
            <w:webHidden/>
          </w:rPr>
          <w:tab/>
        </w:r>
        <w:r w:rsidR="00B375CE" w:rsidRPr="00384FAD">
          <w:rPr>
            <w:webHidden/>
          </w:rPr>
          <w:fldChar w:fldCharType="begin"/>
        </w:r>
        <w:r w:rsidR="00B375CE" w:rsidRPr="00384FAD">
          <w:rPr>
            <w:webHidden/>
          </w:rPr>
          <w:instrText xml:space="preserve"> PAGEREF _Toc378688104 \h </w:instrText>
        </w:r>
        <w:r w:rsidR="00B375CE" w:rsidRPr="00384FAD">
          <w:rPr>
            <w:webHidden/>
          </w:rPr>
        </w:r>
        <w:r w:rsidR="00B375CE" w:rsidRPr="00384FAD">
          <w:rPr>
            <w:webHidden/>
          </w:rPr>
          <w:fldChar w:fldCharType="separate"/>
        </w:r>
        <w:r w:rsidR="00B375CE" w:rsidRPr="00384FAD">
          <w:rPr>
            <w:webHidden/>
          </w:rPr>
          <w:t>39</w:t>
        </w:r>
        <w:r w:rsidR="00B375CE" w:rsidRPr="00384FAD">
          <w:rPr>
            <w:webHidden/>
          </w:rPr>
          <w:fldChar w:fldCharType="end"/>
        </w:r>
      </w:hyperlink>
    </w:p>
    <w:p w14:paraId="36A5848D" w14:textId="77777777" w:rsidR="00B375CE" w:rsidRPr="00B375CE" w:rsidRDefault="00A522BC">
      <w:pPr>
        <w:pStyle w:val="TOC1"/>
        <w:rPr>
          <w:rFonts w:asciiTheme="minorHAnsi" w:eastAsiaTheme="minorEastAsia" w:hAnsiTheme="minorHAnsi" w:cstheme="minorBidi"/>
          <w:i w:val="0"/>
          <w:noProof/>
          <w:lang w:val="en-AU" w:eastAsia="en-AU"/>
        </w:rPr>
      </w:pPr>
      <w:hyperlink w:anchor="_Toc378688106" w:history="1">
        <w:r w:rsidR="00B375CE" w:rsidRPr="00B375CE">
          <w:rPr>
            <w:rStyle w:val="Hyperlink"/>
            <w:i w:val="0"/>
            <w:noProof/>
          </w:rPr>
          <w:t>Appendix 1: Water Balance Calculations</w:t>
        </w:r>
        <w:r w:rsidR="00B375CE" w:rsidRPr="00B375CE">
          <w:rPr>
            <w:i w:val="0"/>
            <w:noProof/>
            <w:webHidden/>
          </w:rPr>
          <w:tab/>
        </w:r>
        <w:r w:rsidR="00B375CE" w:rsidRPr="00B375CE">
          <w:rPr>
            <w:i w:val="0"/>
            <w:noProof/>
            <w:webHidden/>
          </w:rPr>
          <w:fldChar w:fldCharType="begin"/>
        </w:r>
        <w:r w:rsidR="00B375CE" w:rsidRPr="00B375CE">
          <w:rPr>
            <w:i w:val="0"/>
            <w:noProof/>
            <w:webHidden/>
          </w:rPr>
          <w:instrText xml:space="preserve"> PAGEREF _Toc378688106 \h </w:instrText>
        </w:r>
        <w:r w:rsidR="00B375CE" w:rsidRPr="00B375CE">
          <w:rPr>
            <w:i w:val="0"/>
            <w:noProof/>
            <w:webHidden/>
          </w:rPr>
        </w:r>
        <w:r w:rsidR="00B375CE" w:rsidRPr="00B375CE">
          <w:rPr>
            <w:i w:val="0"/>
            <w:noProof/>
            <w:webHidden/>
          </w:rPr>
          <w:fldChar w:fldCharType="separate"/>
        </w:r>
        <w:r w:rsidR="00B375CE" w:rsidRPr="00B375CE">
          <w:rPr>
            <w:i w:val="0"/>
            <w:noProof/>
            <w:webHidden/>
          </w:rPr>
          <w:t>43</w:t>
        </w:r>
        <w:r w:rsidR="00B375CE" w:rsidRPr="00B375CE">
          <w:rPr>
            <w:i w:val="0"/>
            <w:noProof/>
            <w:webHidden/>
          </w:rPr>
          <w:fldChar w:fldCharType="end"/>
        </w:r>
      </w:hyperlink>
    </w:p>
    <w:p w14:paraId="1568C923" w14:textId="483DE258" w:rsidR="00B375CE" w:rsidRPr="00B375CE" w:rsidRDefault="00A522BC">
      <w:pPr>
        <w:pStyle w:val="TOC1"/>
        <w:tabs>
          <w:tab w:val="left" w:pos="880"/>
        </w:tabs>
        <w:rPr>
          <w:rFonts w:asciiTheme="minorHAnsi" w:eastAsiaTheme="minorEastAsia" w:hAnsiTheme="minorHAnsi" w:cstheme="minorBidi"/>
          <w:i w:val="0"/>
          <w:noProof/>
          <w:lang w:val="en-AU" w:eastAsia="en-AU"/>
        </w:rPr>
      </w:pPr>
      <w:hyperlink w:anchor="_Toc378688108" w:history="1">
        <w:r w:rsidR="00B375CE" w:rsidRPr="00B375CE">
          <w:rPr>
            <w:rStyle w:val="Hyperlink"/>
            <w:i w:val="0"/>
            <w:noProof/>
          </w:rPr>
          <w:t>Appendix 2: Nutrient Balance Calculations</w:t>
        </w:r>
        <w:r w:rsidR="00B375CE" w:rsidRPr="00B375CE">
          <w:rPr>
            <w:i w:val="0"/>
            <w:noProof/>
            <w:webHidden/>
          </w:rPr>
          <w:tab/>
        </w:r>
        <w:r w:rsidR="00B375CE" w:rsidRPr="00B375CE">
          <w:rPr>
            <w:i w:val="0"/>
            <w:noProof/>
            <w:webHidden/>
          </w:rPr>
          <w:fldChar w:fldCharType="begin"/>
        </w:r>
        <w:r w:rsidR="00B375CE" w:rsidRPr="00B375CE">
          <w:rPr>
            <w:i w:val="0"/>
            <w:noProof/>
            <w:webHidden/>
          </w:rPr>
          <w:instrText xml:space="preserve"> PAGEREF _Toc378688108 \h </w:instrText>
        </w:r>
        <w:r w:rsidR="00B375CE" w:rsidRPr="00B375CE">
          <w:rPr>
            <w:i w:val="0"/>
            <w:noProof/>
            <w:webHidden/>
          </w:rPr>
        </w:r>
        <w:r w:rsidR="00B375CE" w:rsidRPr="00B375CE">
          <w:rPr>
            <w:i w:val="0"/>
            <w:noProof/>
            <w:webHidden/>
          </w:rPr>
          <w:fldChar w:fldCharType="separate"/>
        </w:r>
        <w:r w:rsidR="00B375CE" w:rsidRPr="00B375CE">
          <w:rPr>
            <w:i w:val="0"/>
            <w:noProof/>
            <w:webHidden/>
          </w:rPr>
          <w:t>45</w:t>
        </w:r>
        <w:r w:rsidR="00B375CE" w:rsidRPr="00B375CE">
          <w:rPr>
            <w:i w:val="0"/>
            <w:noProof/>
            <w:webHidden/>
          </w:rPr>
          <w:fldChar w:fldCharType="end"/>
        </w:r>
      </w:hyperlink>
    </w:p>
    <w:p w14:paraId="6FF90859" w14:textId="77777777" w:rsidR="00B375CE" w:rsidRPr="00B375CE" w:rsidRDefault="00A522BC">
      <w:pPr>
        <w:pStyle w:val="TOC1"/>
        <w:rPr>
          <w:rFonts w:asciiTheme="minorHAnsi" w:eastAsiaTheme="minorEastAsia" w:hAnsiTheme="minorHAnsi" w:cstheme="minorBidi"/>
          <w:i w:val="0"/>
          <w:noProof/>
          <w:lang w:val="en-AU" w:eastAsia="en-AU"/>
        </w:rPr>
      </w:pPr>
      <w:hyperlink w:anchor="_Toc378688109" w:history="1">
        <w:r w:rsidR="00B375CE" w:rsidRPr="00B375CE">
          <w:rPr>
            <w:rStyle w:val="Hyperlink"/>
            <w:i w:val="0"/>
            <w:noProof/>
          </w:rPr>
          <w:t>Appendix 3: Model Land Capability Assessment Report</w:t>
        </w:r>
        <w:r w:rsidR="00B375CE" w:rsidRPr="00B375CE">
          <w:rPr>
            <w:i w:val="0"/>
            <w:noProof/>
            <w:webHidden/>
          </w:rPr>
          <w:tab/>
        </w:r>
        <w:r w:rsidR="00B375CE" w:rsidRPr="00B375CE">
          <w:rPr>
            <w:i w:val="0"/>
            <w:noProof/>
            <w:webHidden/>
          </w:rPr>
          <w:fldChar w:fldCharType="begin"/>
        </w:r>
        <w:r w:rsidR="00B375CE" w:rsidRPr="00B375CE">
          <w:rPr>
            <w:i w:val="0"/>
            <w:noProof/>
            <w:webHidden/>
          </w:rPr>
          <w:instrText xml:space="preserve"> PAGEREF _Toc378688109 \h </w:instrText>
        </w:r>
        <w:r w:rsidR="00B375CE" w:rsidRPr="00B375CE">
          <w:rPr>
            <w:i w:val="0"/>
            <w:noProof/>
            <w:webHidden/>
          </w:rPr>
        </w:r>
        <w:r w:rsidR="00B375CE" w:rsidRPr="00B375CE">
          <w:rPr>
            <w:i w:val="0"/>
            <w:noProof/>
            <w:webHidden/>
          </w:rPr>
          <w:fldChar w:fldCharType="separate"/>
        </w:r>
        <w:r w:rsidR="00B375CE" w:rsidRPr="00B375CE">
          <w:rPr>
            <w:i w:val="0"/>
            <w:noProof/>
            <w:webHidden/>
          </w:rPr>
          <w:t>48</w:t>
        </w:r>
        <w:r w:rsidR="00B375CE" w:rsidRPr="00B375CE">
          <w:rPr>
            <w:i w:val="0"/>
            <w:noProof/>
            <w:webHidden/>
          </w:rPr>
          <w:fldChar w:fldCharType="end"/>
        </w:r>
      </w:hyperlink>
    </w:p>
    <w:p w14:paraId="37433BFA" w14:textId="77777777" w:rsidR="0096018B" w:rsidRDefault="0096018B" w:rsidP="00582E4F">
      <w:pPr>
        <w:pStyle w:val="ListParagraph"/>
        <w:rPr>
          <w:rFonts w:eastAsia="Times New Roman" w:cs="Arial"/>
          <w:b/>
          <w:bCs/>
          <w:szCs w:val="26"/>
        </w:rPr>
      </w:pPr>
      <w:r w:rsidRPr="00B375CE">
        <w:rPr>
          <w:sz w:val="20"/>
          <w:szCs w:val="20"/>
        </w:rPr>
        <w:fldChar w:fldCharType="end"/>
      </w:r>
      <w:r>
        <w:br w:type="page"/>
      </w:r>
    </w:p>
    <w:p w14:paraId="3DBAD6B4" w14:textId="720B5184" w:rsidR="00C45565" w:rsidRPr="00684C48" w:rsidRDefault="00871A83" w:rsidP="00A91CEF">
      <w:pPr>
        <w:pStyle w:val="Heading1"/>
      </w:pPr>
      <w:bookmarkStart w:id="2" w:name="_Toc377562302"/>
      <w:bookmarkStart w:id="3" w:name="_Toc377562877"/>
      <w:bookmarkStart w:id="4" w:name="_Toc378688072"/>
      <w:r w:rsidRPr="00684C48">
        <w:lastRenderedPageBreak/>
        <w:t>Acknowledgements</w:t>
      </w:r>
      <w:bookmarkEnd w:id="2"/>
      <w:bookmarkEnd w:id="3"/>
      <w:bookmarkEnd w:id="4"/>
    </w:p>
    <w:p w14:paraId="6714230D" w14:textId="757A7409" w:rsidR="00871A83" w:rsidRPr="006D4B7C" w:rsidRDefault="00871A83" w:rsidP="00582E4F">
      <w:pPr>
        <w:pStyle w:val="Body2"/>
        <w:ind w:left="0"/>
      </w:pPr>
      <w:bookmarkStart w:id="5" w:name="_Toc377562303"/>
      <w:r w:rsidRPr="006D4B7C">
        <w:t>The assistance of the following members of the in the development of the document prior to industr</w:t>
      </w:r>
      <w:r w:rsidR="002C104E">
        <w:t>y consultation is acknowledged:</w:t>
      </w:r>
      <w:bookmarkEnd w:id="5"/>
    </w:p>
    <w:p w14:paraId="0A919A6B" w14:textId="77777777" w:rsidR="00871A83" w:rsidRPr="00582E4F" w:rsidRDefault="00871A83" w:rsidP="00582E4F">
      <w:pPr>
        <w:pStyle w:val="Heading3"/>
        <w:ind w:left="0"/>
        <w:rPr>
          <w:b/>
          <w:u w:val="none"/>
        </w:rPr>
      </w:pPr>
      <w:bookmarkStart w:id="6" w:name="_Toc377562304"/>
      <w:bookmarkStart w:id="7" w:name="_Toc377562878"/>
      <w:bookmarkStart w:id="8" w:name="_Toc378688073"/>
      <w:r w:rsidRPr="00582E4F">
        <w:rPr>
          <w:b/>
          <w:u w:val="none"/>
        </w:rPr>
        <w:t>First Edition MAV LCA Reference Group</w:t>
      </w:r>
      <w:bookmarkEnd w:id="6"/>
      <w:bookmarkEnd w:id="7"/>
      <w:bookmarkEnd w:id="8"/>
      <w:r w:rsidRPr="00582E4F">
        <w:rPr>
          <w:b/>
          <w:u w:val="none"/>
        </w:rPr>
        <w:t xml:space="preserve"> </w:t>
      </w:r>
    </w:p>
    <w:p w14:paraId="0EDDB58B" w14:textId="77777777" w:rsidR="00871A83" w:rsidRPr="006D4B7C" w:rsidRDefault="00871A83" w:rsidP="00582E4F">
      <w:pPr>
        <w:spacing w:after="0"/>
      </w:pPr>
      <w:r w:rsidRPr="006D4B7C">
        <w:t>Mr Ned Beslagic, Ballarat City Council</w:t>
      </w:r>
    </w:p>
    <w:p w14:paraId="6A8A5196" w14:textId="77777777" w:rsidR="00871A83" w:rsidRPr="006D4B7C" w:rsidRDefault="00871A83" w:rsidP="00582E4F">
      <w:pPr>
        <w:spacing w:after="0"/>
      </w:pPr>
      <w:r w:rsidRPr="006D4B7C">
        <w:t>Mr Bob Ford, Central Highlands Water</w:t>
      </w:r>
    </w:p>
    <w:p w14:paraId="5768DB41" w14:textId="77777777" w:rsidR="00871A83" w:rsidRPr="006D4B7C" w:rsidRDefault="00871A83" w:rsidP="00582E4F">
      <w:pPr>
        <w:spacing w:after="0"/>
      </w:pPr>
      <w:r w:rsidRPr="006D4B7C">
        <w:t>Ms Astrid Hartono, EPA Victoria</w:t>
      </w:r>
    </w:p>
    <w:p w14:paraId="6CB03ECD" w14:textId="77777777" w:rsidR="00871A83" w:rsidRPr="006D4B7C" w:rsidRDefault="00871A83" w:rsidP="00582E4F">
      <w:pPr>
        <w:spacing w:after="0"/>
      </w:pPr>
      <w:r w:rsidRPr="006D4B7C">
        <w:t>Ms Nina Keath, Clearwater</w:t>
      </w:r>
    </w:p>
    <w:p w14:paraId="406637C8" w14:textId="77777777" w:rsidR="00871A83" w:rsidRPr="006D4B7C" w:rsidRDefault="00871A83" w:rsidP="00582E4F">
      <w:pPr>
        <w:spacing w:after="0"/>
      </w:pPr>
      <w:r w:rsidRPr="006D4B7C">
        <w:t>Mr Bruce Pollard, Gannawarra Shire Council</w:t>
      </w:r>
    </w:p>
    <w:p w14:paraId="2C76D07E" w14:textId="77777777" w:rsidR="00871A83" w:rsidRPr="006D4B7C" w:rsidRDefault="00871A83" w:rsidP="00582E4F">
      <w:pPr>
        <w:spacing w:after="0"/>
      </w:pPr>
      <w:r w:rsidRPr="006D4B7C">
        <w:t>Mr Keith Reynard, Department of Primary Industries</w:t>
      </w:r>
    </w:p>
    <w:p w14:paraId="65294DA2" w14:textId="77777777" w:rsidR="00871A83" w:rsidRPr="006D4B7C" w:rsidRDefault="00871A83" w:rsidP="00582E4F">
      <w:pPr>
        <w:spacing w:after="0"/>
        <w:rPr>
          <w:lang w:val="nl-NL"/>
        </w:rPr>
      </w:pPr>
      <w:r w:rsidRPr="006D4B7C">
        <w:rPr>
          <w:lang w:val="nl-NL"/>
        </w:rPr>
        <w:t>Dr Robert van de Graaff, van de Graaff &amp; Associates</w:t>
      </w:r>
    </w:p>
    <w:p w14:paraId="7C943436" w14:textId="77777777" w:rsidR="00871A83" w:rsidRPr="006D4B7C" w:rsidRDefault="00871A83" w:rsidP="00582E4F">
      <w:pPr>
        <w:spacing w:after="0"/>
      </w:pPr>
      <w:r w:rsidRPr="006D4B7C">
        <w:t>Mr Larry White, Melbourne University</w:t>
      </w:r>
    </w:p>
    <w:p w14:paraId="1A81D325" w14:textId="6173EE83" w:rsidR="00871A83" w:rsidRPr="006D4B7C" w:rsidRDefault="00871A83" w:rsidP="00582E4F">
      <w:r w:rsidRPr="006D4B7C">
        <w:t>Mr C</w:t>
      </w:r>
      <w:r w:rsidR="002C104E">
        <w:t>ol Wilkie, Southern Rural Water</w:t>
      </w:r>
    </w:p>
    <w:p w14:paraId="018DEBD7" w14:textId="77777777" w:rsidR="00871A83" w:rsidRPr="00582E4F" w:rsidRDefault="00871A83" w:rsidP="00582E4F">
      <w:pPr>
        <w:pStyle w:val="Heading3"/>
        <w:ind w:left="0"/>
        <w:rPr>
          <w:b/>
          <w:u w:val="none"/>
        </w:rPr>
      </w:pPr>
      <w:bookmarkStart w:id="9" w:name="_Toc377562305"/>
      <w:bookmarkStart w:id="10" w:name="_Toc377562879"/>
      <w:bookmarkStart w:id="11" w:name="_Toc378688074"/>
      <w:r w:rsidRPr="00582E4F">
        <w:rPr>
          <w:b/>
          <w:u w:val="none"/>
        </w:rPr>
        <w:t>Second Edition Reference Group</w:t>
      </w:r>
      <w:bookmarkEnd w:id="9"/>
      <w:bookmarkEnd w:id="10"/>
      <w:bookmarkEnd w:id="11"/>
    </w:p>
    <w:p w14:paraId="3C9D4FD4" w14:textId="77777777" w:rsidR="00871A83" w:rsidRPr="006D4B7C" w:rsidRDefault="00871A83" w:rsidP="00582E4F">
      <w:pPr>
        <w:spacing w:after="0"/>
      </w:pPr>
      <w:r w:rsidRPr="006D4B7C">
        <w:t>Vivian Amenta, Department of Environment and Primary Industries</w:t>
      </w:r>
    </w:p>
    <w:p w14:paraId="7A0C3EBF" w14:textId="77777777" w:rsidR="00871A83" w:rsidRPr="006D4B7C" w:rsidRDefault="00871A83" w:rsidP="00582E4F">
      <w:pPr>
        <w:spacing w:after="0"/>
      </w:pPr>
      <w:r w:rsidRPr="006D4B7C">
        <w:t>Robert Ford, Engineer</w:t>
      </w:r>
    </w:p>
    <w:p w14:paraId="42D01CAC" w14:textId="77777777" w:rsidR="00871A83" w:rsidRPr="006D4B7C" w:rsidRDefault="00871A83" w:rsidP="00582E4F">
      <w:pPr>
        <w:spacing w:after="0"/>
      </w:pPr>
      <w:r w:rsidRPr="006D4B7C">
        <w:t>Sarah West, EPA Victoria</w:t>
      </w:r>
    </w:p>
    <w:p w14:paraId="44E8D2EB" w14:textId="77777777" w:rsidR="00871A83" w:rsidRPr="006D4B7C" w:rsidRDefault="00871A83" w:rsidP="00582E4F">
      <w:pPr>
        <w:spacing w:after="0"/>
      </w:pPr>
      <w:r w:rsidRPr="006D4B7C">
        <w:t>Ben Morris, Municipal Association of Victoria</w:t>
      </w:r>
    </w:p>
    <w:p w14:paraId="4FC28BEE" w14:textId="5A02348B" w:rsidR="00871A83" w:rsidRPr="006D4B7C" w:rsidRDefault="00871A83" w:rsidP="00582E4F">
      <w:pPr>
        <w:spacing w:after="0"/>
      </w:pPr>
      <w:r w:rsidRPr="006D4B7C">
        <w:t>Dr Robert van de Gra</w:t>
      </w:r>
      <w:r w:rsidR="002C104E">
        <w:t>aff, van de Graaff &amp; Associates</w:t>
      </w:r>
    </w:p>
    <w:p w14:paraId="757F11AF" w14:textId="77777777" w:rsidR="00871A83" w:rsidRPr="00684C48" w:rsidRDefault="00871A83" w:rsidP="00A91CEF">
      <w:pPr>
        <w:pStyle w:val="Heading1"/>
      </w:pPr>
      <w:bookmarkStart w:id="12" w:name="_Toc377562306"/>
      <w:bookmarkStart w:id="13" w:name="_Toc377562880"/>
      <w:bookmarkStart w:id="14" w:name="_Toc378688075"/>
      <w:r w:rsidRPr="00684C48">
        <w:t>Disclaimer</w:t>
      </w:r>
      <w:bookmarkEnd w:id="12"/>
      <w:bookmarkEnd w:id="13"/>
      <w:bookmarkEnd w:id="14"/>
    </w:p>
    <w:p w14:paraId="26D659D1" w14:textId="77777777" w:rsidR="00871A83" w:rsidRDefault="00871A83" w:rsidP="00582E4F">
      <w:pPr>
        <w:pStyle w:val="Body3"/>
        <w:ind w:left="0"/>
      </w:pPr>
      <w:bookmarkStart w:id="15" w:name="_Toc377562307"/>
      <w:r w:rsidRPr="006D4B7C">
        <w:t>The views expressed in this document do not necessarily represent the views of the Victorian State Government or the Municipal Association of Victoria.</w:t>
      </w:r>
      <w:bookmarkEnd w:id="15"/>
    </w:p>
    <w:p w14:paraId="336A709A" w14:textId="156E92EC" w:rsidR="0073644F" w:rsidRDefault="0073644F">
      <w:pPr>
        <w:spacing w:after="0" w:line="240" w:lineRule="auto"/>
        <w:rPr>
          <w:rFonts w:cs="Arial"/>
          <w:color w:val="231F20"/>
          <w:szCs w:val="20"/>
        </w:rPr>
      </w:pPr>
      <w:r>
        <w:br w:type="page"/>
      </w:r>
    </w:p>
    <w:p w14:paraId="3A51954E" w14:textId="5DEDBB11" w:rsidR="002C104E" w:rsidRPr="0096018B" w:rsidRDefault="00871A83" w:rsidP="00A91CEF">
      <w:pPr>
        <w:pStyle w:val="Heading1"/>
      </w:pPr>
      <w:bookmarkStart w:id="16" w:name="_Toc377562308"/>
      <w:bookmarkStart w:id="17" w:name="_Toc377562881"/>
      <w:bookmarkStart w:id="18" w:name="_Toc378688076"/>
      <w:r w:rsidRPr="0096018B">
        <w:rPr>
          <w:webHidden/>
        </w:rPr>
        <w:lastRenderedPageBreak/>
        <w:t>Acronyms</w:t>
      </w:r>
      <w:bookmarkEnd w:id="16"/>
      <w:bookmarkEnd w:id="17"/>
      <w:bookmarkEnd w:id="18"/>
    </w:p>
    <w:p w14:paraId="18E54262" w14:textId="664A8B67" w:rsidR="00871A83" w:rsidRPr="006D4B7C" w:rsidRDefault="00871A83" w:rsidP="00582E4F">
      <w:pPr>
        <w:pStyle w:val="Body"/>
        <w:rPr>
          <w:lang w:val="en-AU" w:eastAsia="en-AU"/>
        </w:rPr>
      </w:pPr>
      <w:r w:rsidRPr="006D4B7C">
        <w:rPr>
          <w:lang w:val="en-AU" w:eastAsia="en-AU"/>
        </w:rPr>
        <w:t xml:space="preserve">AEP: </w:t>
      </w:r>
      <w:r w:rsidR="00582E4F">
        <w:rPr>
          <w:lang w:val="en-AU" w:eastAsia="en-AU"/>
        </w:rPr>
        <w:tab/>
      </w:r>
      <w:r w:rsidR="00582E4F">
        <w:rPr>
          <w:lang w:val="en-AU" w:eastAsia="en-AU"/>
        </w:rPr>
        <w:tab/>
      </w:r>
      <w:r w:rsidRPr="006D4B7C">
        <w:rPr>
          <w:lang w:val="en-AU" w:eastAsia="en-AU"/>
        </w:rPr>
        <w:t xml:space="preserve">Annual Exceedance Probability </w:t>
      </w:r>
    </w:p>
    <w:p w14:paraId="2E305789" w14:textId="3A55A43A" w:rsidR="00871A83" w:rsidRPr="006D4B7C" w:rsidRDefault="00871A83" w:rsidP="00582E4F">
      <w:pPr>
        <w:pStyle w:val="Body"/>
        <w:rPr>
          <w:lang w:val="en-AU" w:eastAsia="en-AU"/>
        </w:rPr>
      </w:pPr>
      <w:r w:rsidRPr="006D4B7C">
        <w:rPr>
          <w:lang w:val="en-AU" w:eastAsia="en-AU"/>
        </w:rPr>
        <w:t xml:space="preserve">ARI: </w:t>
      </w:r>
      <w:r w:rsidR="00582E4F">
        <w:rPr>
          <w:lang w:val="en-AU" w:eastAsia="en-AU"/>
        </w:rPr>
        <w:tab/>
      </w:r>
      <w:r w:rsidR="00582E4F">
        <w:rPr>
          <w:lang w:val="en-AU" w:eastAsia="en-AU"/>
        </w:rPr>
        <w:tab/>
      </w:r>
      <w:r w:rsidRPr="006D4B7C">
        <w:rPr>
          <w:lang w:val="en-AU" w:eastAsia="en-AU"/>
        </w:rPr>
        <w:t>Annual Recurrence Interval</w:t>
      </w:r>
    </w:p>
    <w:p w14:paraId="0F9AE383" w14:textId="028A2A27" w:rsidR="00871A83" w:rsidRPr="006D4B7C" w:rsidRDefault="00871A83" w:rsidP="00582E4F">
      <w:pPr>
        <w:pStyle w:val="Body"/>
        <w:rPr>
          <w:lang w:val="en-AU" w:eastAsia="en-AU"/>
        </w:rPr>
      </w:pPr>
      <w:r w:rsidRPr="006D4B7C">
        <w:rPr>
          <w:lang w:val="en-AU" w:eastAsia="en-AU"/>
        </w:rPr>
        <w:t xml:space="preserve">AS/NZS: </w:t>
      </w:r>
      <w:r w:rsidR="00582E4F">
        <w:rPr>
          <w:lang w:val="en-AU" w:eastAsia="en-AU"/>
        </w:rPr>
        <w:tab/>
      </w:r>
      <w:r w:rsidRPr="006D4B7C">
        <w:rPr>
          <w:lang w:val="en-AU" w:eastAsia="en-AU"/>
        </w:rPr>
        <w:t>Australian Standard/New Zealand Standard</w:t>
      </w:r>
    </w:p>
    <w:p w14:paraId="4416C9AB" w14:textId="0731E26C" w:rsidR="00871A83" w:rsidRPr="006D4B7C" w:rsidRDefault="00871A83" w:rsidP="00582E4F">
      <w:pPr>
        <w:pStyle w:val="Body"/>
        <w:rPr>
          <w:lang w:val="en-AU" w:eastAsia="en-AU"/>
        </w:rPr>
      </w:pPr>
      <w:r w:rsidRPr="006D4B7C">
        <w:rPr>
          <w:lang w:val="en-AU" w:eastAsia="en-AU"/>
        </w:rPr>
        <w:t xml:space="preserve">BOD: </w:t>
      </w:r>
      <w:r w:rsidR="00582E4F">
        <w:rPr>
          <w:lang w:val="en-AU" w:eastAsia="en-AU"/>
        </w:rPr>
        <w:tab/>
      </w:r>
      <w:r w:rsidR="00582E4F">
        <w:rPr>
          <w:lang w:val="en-AU" w:eastAsia="en-AU"/>
        </w:rPr>
        <w:tab/>
      </w:r>
      <w:r w:rsidRPr="006D4B7C">
        <w:rPr>
          <w:lang w:val="en-AU" w:eastAsia="en-AU"/>
        </w:rPr>
        <w:t>Biochemical Oxygen Demand</w:t>
      </w:r>
    </w:p>
    <w:p w14:paraId="39437DFD" w14:textId="54D79795" w:rsidR="00871A83" w:rsidRPr="006D4B7C" w:rsidRDefault="00871A83" w:rsidP="00582E4F">
      <w:pPr>
        <w:pStyle w:val="Body"/>
        <w:rPr>
          <w:lang w:val="en-AU" w:eastAsia="en-AU"/>
        </w:rPr>
      </w:pPr>
      <w:r w:rsidRPr="006D4B7C">
        <w:rPr>
          <w:lang w:val="en-AU" w:eastAsia="en-AU"/>
        </w:rPr>
        <w:t xml:space="preserve">BoM: </w:t>
      </w:r>
      <w:r w:rsidR="00582E4F">
        <w:rPr>
          <w:lang w:val="en-AU" w:eastAsia="en-AU"/>
        </w:rPr>
        <w:tab/>
      </w:r>
      <w:r w:rsidR="00582E4F">
        <w:rPr>
          <w:lang w:val="en-AU" w:eastAsia="en-AU"/>
        </w:rPr>
        <w:tab/>
      </w:r>
      <w:r w:rsidRPr="006D4B7C">
        <w:rPr>
          <w:lang w:val="en-AU" w:eastAsia="en-AU"/>
        </w:rPr>
        <w:t>Bureau of Meteorology</w:t>
      </w:r>
    </w:p>
    <w:p w14:paraId="6D4516B8" w14:textId="21BDF461" w:rsidR="00871A83" w:rsidRPr="006D4B7C" w:rsidRDefault="00871A83" w:rsidP="00582E4F">
      <w:pPr>
        <w:pStyle w:val="Body"/>
        <w:rPr>
          <w:lang w:val="en-AU" w:eastAsia="en-AU"/>
        </w:rPr>
      </w:pPr>
      <w:r w:rsidRPr="006D4B7C">
        <w:rPr>
          <w:lang w:val="en-AU" w:eastAsia="en-AU"/>
        </w:rPr>
        <w:t xml:space="preserve">CA: </w:t>
      </w:r>
      <w:r w:rsidR="00582E4F">
        <w:rPr>
          <w:lang w:val="en-AU" w:eastAsia="en-AU"/>
        </w:rPr>
        <w:tab/>
      </w:r>
      <w:r w:rsidR="00582E4F">
        <w:rPr>
          <w:lang w:val="en-AU" w:eastAsia="en-AU"/>
        </w:rPr>
        <w:tab/>
      </w:r>
      <w:r w:rsidRPr="006D4B7C">
        <w:rPr>
          <w:lang w:val="en-AU" w:eastAsia="en-AU"/>
        </w:rPr>
        <w:t>Certificate of Approval</w:t>
      </w:r>
    </w:p>
    <w:p w14:paraId="0E857972" w14:textId="476E5072" w:rsidR="00871A83" w:rsidRPr="006D4B7C" w:rsidRDefault="00871A83" w:rsidP="00582E4F">
      <w:pPr>
        <w:pStyle w:val="Body"/>
        <w:rPr>
          <w:lang w:val="en-AU" w:eastAsia="en-AU"/>
        </w:rPr>
      </w:pPr>
      <w:r w:rsidRPr="006D4B7C">
        <w:rPr>
          <w:lang w:val="en-AU" w:eastAsia="en-AU"/>
        </w:rPr>
        <w:t xml:space="preserve">CEC: </w:t>
      </w:r>
      <w:r w:rsidR="00582E4F">
        <w:rPr>
          <w:lang w:val="en-AU" w:eastAsia="en-AU"/>
        </w:rPr>
        <w:tab/>
      </w:r>
      <w:r w:rsidR="00582E4F">
        <w:rPr>
          <w:lang w:val="en-AU" w:eastAsia="en-AU"/>
        </w:rPr>
        <w:tab/>
      </w:r>
      <w:r w:rsidRPr="006D4B7C">
        <w:rPr>
          <w:lang w:val="en-AU" w:eastAsia="en-AU"/>
        </w:rPr>
        <w:t>Cation Exchange Capacity</w:t>
      </w:r>
    </w:p>
    <w:p w14:paraId="3190D3C5" w14:textId="1AD2CCAC" w:rsidR="00871A83" w:rsidRPr="006D4B7C" w:rsidRDefault="00871A83" w:rsidP="00582E4F">
      <w:pPr>
        <w:pStyle w:val="Body"/>
        <w:rPr>
          <w:lang w:val="en-AU" w:eastAsia="en-AU"/>
        </w:rPr>
      </w:pPr>
      <w:r w:rsidRPr="006D4B7C">
        <w:rPr>
          <w:lang w:val="en-AU" w:eastAsia="en-AU"/>
        </w:rPr>
        <w:t xml:space="preserve">CMA: </w:t>
      </w:r>
      <w:r w:rsidR="00582E4F">
        <w:rPr>
          <w:lang w:val="en-AU" w:eastAsia="en-AU"/>
        </w:rPr>
        <w:tab/>
      </w:r>
      <w:r w:rsidR="00582E4F">
        <w:rPr>
          <w:lang w:val="en-AU" w:eastAsia="en-AU"/>
        </w:rPr>
        <w:tab/>
      </w:r>
      <w:r w:rsidRPr="006D4B7C">
        <w:rPr>
          <w:lang w:val="en-AU" w:eastAsia="en-AU"/>
        </w:rPr>
        <w:t>Catchment Management Authority</w:t>
      </w:r>
    </w:p>
    <w:p w14:paraId="1C18FFBD" w14:textId="11B01682" w:rsidR="00871A83" w:rsidRPr="006D4B7C" w:rsidRDefault="00871A83" w:rsidP="00582E4F">
      <w:pPr>
        <w:pStyle w:val="Body"/>
        <w:rPr>
          <w:lang w:val="en-AU" w:eastAsia="en-AU"/>
        </w:rPr>
      </w:pPr>
      <w:r w:rsidRPr="006D4B7C">
        <w:rPr>
          <w:lang w:val="en-AU" w:eastAsia="en-AU"/>
        </w:rPr>
        <w:t xml:space="preserve">DEPI: </w:t>
      </w:r>
      <w:r w:rsidR="00582E4F">
        <w:rPr>
          <w:lang w:val="en-AU" w:eastAsia="en-AU"/>
        </w:rPr>
        <w:tab/>
      </w:r>
      <w:r w:rsidR="00582E4F">
        <w:rPr>
          <w:lang w:val="en-AU" w:eastAsia="en-AU"/>
        </w:rPr>
        <w:tab/>
      </w:r>
      <w:r w:rsidRPr="006D4B7C">
        <w:rPr>
          <w:lang w:val="en-AU" w:eastAsia="en-AU"/>
        </w:rPr>
        <w:t>Department of Environment and Primary Industries</w:t>
      </w:r>
    </w:p>
    <w:p w14:paraId="0617C0F8" w14:textId="0C3CAF45" w:rsidR="00871A83" w:rsidRPr="006D4B7C" w:rsidRDefault="00871A83" w:rsidP="00582E4F">
      <w:pPr>
        <w:pStyle w:val="Body"/>
        <w:rPr>
          <w:lang w:val="en-AU" w:eastAsia="en-AU"/>
        </w:rPr>
      </w:pPr>
      <w:r w:rsidRPr="006D4B7C">
        <w:rPr>
          <w:lang w:val="en-AU" w:eastAsia="en-AU"/>
        </w:rPr>
        <w:t xml:space="preserve">DIR: </w:t>
      </w:r>
      <w:r w:rsidR="00582E4F">
        <w:rPr>
          <w:lang w:val="en-AU" w:eastAsia="en-AU"/>
        </w:rPr>
        <w:tab/>
      </w:r>
      <w:r w:rsidR="00582E4F">
        <w:rPr>
          <w:lang w:val="en-AU" w:eastAsia="en-AU"/>
        </w:rPr>
        <w:tab/>
      </w:r>
      <w:r w:rsidRPr="006D4B7C">
        <w:rPr>
          <w:lang w:val="en-AU" w:eastAsia="en-AU"/>
        </w:rPr>
        <w:t>Design Irrigation Rate</w:t>
      </w:r>
    </w:p>
    <w:p w14:paraId="58528C43" w14:textId="591C606C" w:rsidR="00871A83" w:rsidRPr="006D4B7C" w:rsidRDefault="00871A83" w:rsidP="00582E4F">
      <w:pPr>
        <w:pStyle w:val="Body"/>
        <w:rPr>
          <w:lang w:val="en-AU" w:eastAsia="en-AU"/>
        </w:rPr>
      </w:pPr>
      <w:r w:rsidRPr="006D4B7C">
        <w:rPr>
          <w:lang w:val="en-AU" w:eastAsia="en-AU"/>
        </w:rPr>
        <w:t xml:space="preserve">DLR: </w:t>
      </w:r>
      <w:r w:rsidR="00582E4F">
        <w:rPr>
          <w:lang w:val="en-AU" w:eastAsia="en-AU"/>
        </w:rPr>
        <w:tab/>
      </w:r>
      <w:r w:rsidR="00582E4F">
        <w:rPr>
          <w:lang w:val="en-AU" w:eastAsia="en-AU"/>
        </w:rPr>
        <w:tab/>
      </w:r>
      <w:r w:rsidRPr="006D4B7C">
        <w:rPr>
          <w:lang w:val="en-AU" w:eastAsia="en-AU"/>
        </w:rPr>
        <w:t>Design Loading Rate</w:t>
      </w:r>
    </w:p>
    <w:p w14:paraId="71DBB995" w14:textId="525D9E6E" w:rsidR="00871A83" w:rsidRPr="006D4B7C" w:rsidRDefault="00871A83" w:rsidP="00582E4F">
      <w:pPr>
        <w:pStyle w:val="Body"/>
        <w:rPr>
          <w:lang w:val="en-AU" w:eastAsia="en-AU"/>
        </w:rPr>
      </w:pPr>
      <w:r w:rsidRPr="006D4B7C">
        <w:rPr>
          <w:lang w:val="en-AU" w:eastAsia="en-AU"/>
        </w:rPr>
        <w:t xml:space="preserve">DSE: </w:t>
      </w:r>
      <w:r w:rsidR="00582E4F">
        <w:rPr>
          <w:lang w:val="en-AU" w:eastAsia="en-AU"/>
        </w:rPr>
        <w:tab/>
      </w:r>
      <w:r w:rsidR="00582E4F">
        <w:rPr>
          <w:lang w:val="en-AU" w:eastAsia="en-AU"/>
        </w:rPr>
        <w:tab/>
      </w:r>
      <w:r w:rsidRPr="006D4B7C">
        <w:rPr>
          <w:lang w:val="en-AU" w:eastAsia="en-AU"/>
        </w:rPr>
        <w:t>Department of Sustainability and Environment</w:t>
      </w:r>
    </w:p>
    <w:p w14:paraId="156B81C4" w14:textId="7B8FAE05" w:rsidR="00871A83" w:rsidRPr="006D4B7C" w:rsidRDefault="00871A83" w:rsidP="00582E4F">
      <w:pPr>
        <w:pStyle w:val="Body"/>
        <w:rPr>
          <w:lang w:val="en-AU" w:eastAsia="en-AU"/>
        </w:rPr>
      </w:pPr>
      <w:r w:rsidRPr="006D4B7C">
        <w:rPr>
          <w:lang w:val="en-AU" w:eastAsia="en-AU"/>
        </w:rPr>
        <w:t xml:space="preserve">EA: </w:t>
      </w:r>
      <w:r w:rsidR="00582E4F">
        <w:rPr>
          <w:lang w:val="en-AU" w:eastAsia="en-AU"/>
        </w:rPr>
        <w:tab/>
      </w:r>
      <w:r w:rsidR="00582E4F">
        <w:rPr>
          <w:lang w:val="en-AU" w:eastAsia="en-AU"/>
        </w:rPr>
        <w:tab/>
      </w:r>
      <w:r w:rsidRPr="006D4B7C">
        <w:rPr>
          <w:lang w:val="en-AU" w:eastAsia="en-AU"/>
        </w:rPr>
        <w:t>Emerson Aggregate</w:t>
      </w:r>
    </w:p>
    <w:p w14:paraId="585E009D" w14:textId="6162001D" w:rsidR="00871A83" w:rsidRPr="006D4B7C" w:rsidRDefault="00871A83" w:rsidP="00582E4F">
      <w:pPr>
        <w:pStyle w:val="Body"/>
        <w:rPr>
          <w:lang w:val="en-AU" w:eastAsia="en-AU"/>
        </w:rPr>
      </w:pPr>
      <w:r w:rsidRPr="006D4B7C">
        <w:rPr>
          <w:lang w:val="en-AU" w:eastAsia="en-AU"/>
        </w:rPr>
        <w:t xml:space="preserve">EAC: </w:t>
      </w:r>
      <w:r w:rsidR="00582E4F">
        <w:rPr>
          <w:lang w:val="en-AU" w:eastAsia="en-AU"/>
        </w:rPr>
        <w:tab/>
      </w:r>
      <w:r w:rsidR="00582E4F">
        <w:rPr>
          <w:lang w:val="en-AU" w:eastAsia="en-AU"/>
        </w:rPr>
        <w:tab/>
      </w:r>
      <w:r w:rsidRPr="006D4B7C">
        <w:rPr>
          <w:lang w:val="en-AU" w:eastAsia="en-AU"/>
        </w:rPr>
        <w:t>Emerson Aggregate Class</w:t>
      </w:r>
    </w:p>
    <w:p w14:paraId="294A5AA8" w14:textId="530241A2" w:rsidR="00871A83" w:rsidRPr="006D4B7C" w:rsidRDefault="00871A83" w:rsidP="00582E4F">
      <w:pPr>
        <w:pStyle w:val="Body"/>
        <w:rPr>
          <w:lang w:val="en-AU" w:eastAsia="en-AU"/>
        </w:rPr>
      </w:pPr>
      <w:r w:rsidRPr="006D4B7C">
        <w:rPr>
          <w:lang w:val="en-AU" w:eastAsia="en-AU"/>
        </w:rPr>
        <w:t xml:space="preserve">EC: </w:t>
      </w:r>
      <w:r w:rsidR="00582E4F">
        <w:rPr>
          <w:lang w:val="en-AU" w:eastAsia="en-AU"/>
        </w:rPr>
        <w:tab/>
      </w:r>
      <w:r w:rsidR="00582E4F">
        <w:rPr>
          <w:lang w:val="en-AU" w:eastAsia="en-AU"/>
        </w:rPr>
        <w:tab/>
      </w:r>
      <w:r w:rsidRPr="006D4B7C">
        <w:rPr>
          <w:lang w:val="en-AU" w:eastAsia="en-AU"/>
        </w:rPr>
        <w:t>Electrical Conductivity</w:t>
      </w:r>
    </w:p>
    <w:p w14:paraId="2484ADC8" w14:textId="5267C6FA" w:rsidR="00871A83" w:rsidRPr="006D4B7C" w:rsidRDefault="00871A83" w:rsidP="00582E4F">
      <w:pPr>
        <w:pStyle w:val="Body"/>
        <w:rPr>
          <w:lang w:val="en-AU" w:eastAsia="en-AU"/>
        </w:rPr>
      </w:pPr>
      <w:r w:rsidRPr="006D4B7C">
        <w:rPr>
          <w:lang w:val="en-AU" w:eastAsia="en-AU"/>
        </w:rPr>
        <w:t xml:space="preserve">ECe: </w:t>
      </w:r>
      <w:r w:rsidR="00582E4F">
        <w:rPr>
          <w:lang w:val="en-AU" w:eastAsia="en-AU"/>
        </w:rPr>
        <w:tab/>
      </w:r>
      <w:r w:rsidR="00582E4F">
        <w:rPr>
          <w:lang w:val="en-AU" w:eastAsia="en-AU"/>
        </w:rPr>
        <w:tab/>
      </w:r>
      <w:r w:rsidRPr="006D4B7C">
        <w:rPr>
          <w:lang w:val="en-AU" w:eastAsia="en-AU"/>
        </w:rPr>
        <w:t>Electrical Conductivity of a Saturated Soil Extract</w:t>
      </w:r>
    </w:p>
    <w:p w14:paraId="110BA7D4" w14:textId="013D30D1" w:rsidR="00871A83" w:rsidRPr="006D4B7C" w:rsidRDefault="00871A83" w:rsidP="00582E4F">
      <w:pPr>
        <w:pStyle w:val="Body"/>
        <w:rPr>
          <w:lang w:val="fr-FR" w:eastAsia="en-AU"/>
        </w:rPr>
      </w:pPr>
      <w:r w:rsidRPr="006D4B7C">
        <w:rPr>
          <w:lang w:val="fr-FR" w:eastAsia="en-AU"/>
        </w:rPr>
        <w:t xml:space="preserve">EPA: </w:t>
      </w:r>
      <w:r w:rsidR="00582E4F">
        <w:rPr>
          <w:lang w:val="fr-FR" w:eastAsia="en-AU"/>
        </w:rPr>
        <w:tab/>
      </w:r>
      <w:r w:rsidR="00582E4F">
        <w:rPr>
          <w:lang w:val="fr-FR" w:eastAsia="en-AU"/>
        </w:rPr>
        <w:tab/>
      </w:r>
      <w:r w:rsidRPr="006D4B7C">
        <w:rPr>
          <w:lang w:val="fr-FR" w:eastAsia="en-AU"/>
        </w:rPr>
        <w:t>Environment Protection Authority</w:t>
      </w:r>
    </w:p>
    <w:p w14:paraId="07321F26" w14:textId="7960F5EE" w:rsidR="00871A83" w:rsidRPr="006D4B7C" w:rsidRDefault="00871A83" w:rsidP="00582E4F">
      <w:pPr>
        <w:pStyle w:val="Body"/>
        <w:rPr>
          <w:lang w:val="fr-FR" w:eastAsia="en-AU"/>
        </w:rPr>
      </w:pPr>
      <w:r w:rsidRPr="006D4B7C">
        <w:rPr>
          <w:lang w:val="fr-FR" w:eastAsia="en-AU"/>
        </w:rPr>
        <w:t xml:space="preserve">ESP: </w:t>
      </w:r>
      <w:r w:rsidR="00582E4F">
        <w:rPr>
          <w:lang w:val="fr-FR" w:eastAsia="en-AU"/>
        </w:rPr>
        <w:tab/>
      </w:r>
      <w:r w:rsidR="00582E4F">
        <w:rPr>
          <w:lang w:val="fr-FR" w:eastAsia="en-AU"/>
        </w:rPr>
        <w:tab/>
      </w:r>
      <w:r w:rsidRPr="006D4B7C">
        <w:rPr>
          <w:lang w:val="fr-FR" w:eastAsia="en-AU"/>
        </w:rPr>
        <w:t xml:space="preserve">Exchangeable Sodium Percentage </w:t>
      </w:r>
    </w:p>
    <w:p w14:paraId="28E1B1F3" w14:textId="6329ADC8" w:rsidR="00871A83" w:rsidRPr="006D4B7C" w:rsidRDefault="00871A83" w:rsidP="00582E4F">
      <w:pPr>
        <w:pStyle w:val="Body"/>
        <w:rPr>
          <w:lang w:val="fr-FR" w:eastAsia="en-AU"/>
        </w:rPr>
      </w:pPr>
      <w:r w:rsidRPr="006D4B7C">
        <w:rPr>
          <w:lang w:val="fr-FR" w:eastAsia="en-AU"/>
        </w:rPr>
        <w:t xml:space="preserve">ET: </w:t>
      </w:r>
      <w:r w:rsidR="00582E4F">
        <w:rPr>
          <w:lang w:val="fr-FR" w:eastAsia="en-AU"/>
        </w:rPr>
        <w:tab/>
      </w:r>
      <w:r w:rsidR="00582E4F">
        <w:rPr>
          <w:lang w:val="fr-FR" w:eastAsia="en-AU"/>
        </w:rPr>
        <w:tab/>
      </w:r>
      <w:r w:rsidRPr="006D4B7C">
        <w:rPr>
          <w:lang w:val="fr-FR" w:eastAsia="en-AU"/>
        </w:rPr>
        <w:t>Evapotranspiration</w:t>
      </w:r>
    </w:p>
    <w:p w14:paraId="75747324" w14:textId="0ABBBCC0" w:rsidR="00871A83" w:rsidRPr="006D4B7C" w:rsidRDefault="00871A83" w:rsidP="00582E4F">
      <w:pPr>
        <w:pStyle w:val="Body"/>
        <w:rPr>
          <w:lang w:val="en-AU" w:eastAsia="en-AU"/>
        </w:rPr>
      </w:pPr>
      <w:r w:rsidRPr="006D4B7C">
        <w:rPr>
          <w:lang w:val="en-AU" w:eastAsia="en-AU"/>
        </w:rPr>
        <w:t>FAO:</w:t>
      </w:r>
      <w:r w:rsidR="00582E4F">
        <w:rPr>
          <w:lang w:val="en-AU" w:eastAsia="en-AU"/>
        </w:rPr>
        <w:tab/>
      </w:r>
      <w:r w:rsidR="00582E4F">
        <w:rPr>
          <w:lang w:val="en-AU" w:eastAsia="en-AU"/>
        </w:rPr>
        <w:tab/>
      </w:r>
      <w:r w:rsidRPr="006D4B7C">
        <w:rPr>
          <w:lang w:val="en-AU" w:eastAsia="en-AU"/>
        </w:rPr>
        <w:t xml:space="preserve"> Food and Agriculture Organisation</w:t>
      </w:r>
    </w:p>
    <w:p w14:paraId="0F72314E" w14:textId="1338B448" w:rsidR="00871A83" w:rsidRPr="006D4B7C" w:rsidRDefault="00871A83" w:rsidP="00582E4F">
      <w:pPr>
        <w:pStyle w:val="Body"/>
        <w:rPr>
          <w:lang w:val="en-AU" w:eastAsia="en-AU"/>
        </w:rPr>
      </w:pPr>
      <w:r w:rsidRPr="006D4B7C">
        <w:rPr>
          <w:lang w:val="en-AU" w:eastAsia="en-AU"/>
        </w:rPr>
        <w:t xml:space="preserve">LCA: </w:t>
      </w:r>
      <w:r w:rsidR="00582E4F">
        <w:rPr>
          <w:lang w:val="en-AU" w:eastAsia="en-AU"/>
        </w:rPr>
        <w:tab/>
      </w:r>
      <w:r w:rsidR="00582E4F">
        <w:rPr>
          <w:lang w:val="en-AU" w:eastAsia="en-AU"/>
        </w:rPr>
        <w:tab/>
      </w:r>
      <w:r w:rsidRPr="006D4B7C">
        <w:rPr>
          <w:lang w:val="en-AU" w:eastAsia="en-AU"/>
        </w:rPr>
        <w:t>Land Capability Assessment</w:t>
      </w:r>
    </w:p>
    <w:p w14:paraId="2ADA2F2A" w14:textId="2E600423" w:rsidR="00871A83" w:rsidRPr="006D4B7C" w:rsidRDefault="00871A83" w:rsidP="00582E4F">
      <w:pPr>
        <w:pStyle w:val="Body"/>
        <w:rPr>
          <w:lang w:val="en-AU" w:eastAsia="en-AU"/>
        </w:rPr>
      </w:pPr>
      <w:r w:rsidRPr="006D4B7C">
        <w:rPr>
          <w:lang w:val="en-AU" w:eastAsia="en-AU"/>
        </w:rPr>
        <w:t xml:space="preserve">LAA: </w:t>
      </w:r>
      <w:r w:rsidR="00582E4F">
        <w:rPr>
          <w:lang w:val="en-AU" w:eastAsia="en-AU"/>
        </w:rPr>
        <w:tab/>
      </w:r>
      <w:r w:rsidR="00582E4F">
        <w:rPr>
          <w:lang w:val="en-AU" w:eastAsia="en-AU"/>
        </w:rPr>
        <w:tab/>
      </w:r>
      <w:r w:rsidRPr="006D4B7C">
        <w:rPr>
          <w:lang w:val="en-AU" w:eastAsia="en-AU"/>
        </w:rPr>
        <w:t>Land Application Area</w:t>
      </w:r>
    </w:p>
    <w:p w14:paraId="0F503015" w14:textId="6956D85A" w:rsidR="00871A83" w:rsidRPr="006D4B7C" w:rsidRDefault="00871A83" w:rsidP="00582E4F">
      <w:pPr>
        <w:pStyle w:val="Body"/>
        <w:rPr>
          <w:lang w:val="en-AU" w:eastAsia="en-AU"/>
        </w:rPr>
      </w:pPr>
      <w:r w:rsidRPr="006D4B7C">
        <w:rPr>
          <w:lang w:val="en-AU" w:eastAsia="en-AU"/>
        </w:rPr>
        <w:t>LPED:</w:t>
      </w:r>
      <w:r w:rsidR="00582E4F">
        <w:rPr>
          <w:lang w:val="en-AU" w:eastAsia="en-AU"/>
        </w:rPr>
        <w:tab/>
      </w:r>
      <w:r w:rsidR="00582E4F">
        <w:rPr>
          <w:lang w:val="en-AU" w:eastAsia="en-AU"/>
        </w:rPr>
        <w:tab/>
      </w:r>
      <w:r w:rsidRPr="006D4B7C">
        <w:rPr>
          <w:lang w:val="en-AU" w:eastAsia="en-AU"/>
        </w:rPr>
        <w:t xml:space="preserve"> Low Pressure Effluent Distribution</w:t>
      </w:r>
    </w:p>
    <w:p w14:paraId="12515698" w14:textId="5958C5CE" w:rsidR="00871A83" w:rsidRPr="006D4B7C" w:rsidRDefault="00871A83" w:rsidP="00582E4F">
      <w:pPr>
        <w:pStyle w:val="Body"/>
        <w:rPr>
          <w:lang w:val="en-AU" w:eastAsia="en-AU"/>
        </w:rPr>
      </w:pPr>
      <w:r w:rsidRPr="006D4B7C">
        <w:rPr>
          <w:lang w:val="en-AU" w:eastAsia="en-AU"/>
        </w:rPr>
        <w:t xml:space="preserve">MAV: </w:t>
      </w:r>
      <w:r w:rsidR="00582E4F">
        <w:rPr>
          <w:lang w:val="en-AU" w:eastAsia="en-AU"/>
        </w:rPr>
        <w:tab/>
      </w:r>
      <w:r w:rsidR="00582E4F">
        <w:rPr>
          <w:lang w:val="en-AU" w:eastAsia="en-AU"/>
        </w:rPr>
        <w:tab/>
      </w:r>
      <w:r w:rsidRPr="006D4B7C">
        <w:rPr>
          <w:lang w:val="en-AU" w:eastAsia="en-AU"/>
        </w:rPr>
        <w:t>Municipal Association of Victoria</w:t>
      </w:r>
    </w:p>
    <w:p w14:paraId="5573CB33" w14:textId="26D4B179" w:rsidR="00871A83" w:rsidRPr="006D4B7C" w:rsidRDefault="00871A83" w:rsidP="00582E4F">
      <w:pPr>
        <w:pStyle w:val="Body"/>
        <w:rPr>
          <w:lang w:val="en-AU" w:eastAsia="en-AU"/>
        </w:rPr>
      </w:pPr>
      <w:r w:rsidRPr="006D4B7C">
        <w:rPr>
          <w:lang w:val="en-AU" w:eastAsia="en-AU"/>
        </w:rPr>
        <w:t xml:space="preserve">MS: </w:t>
      </w:r>
      <w:r w:rsidR="00582E4F">
        <w:rPr>
          <w:lang w:val="en-AU" w:eastAsia="en-AU"/>
        </w:rPr>
        <w:tab/>
      </w:r>
      <w:r w:rsidR="00582E4F">
        <w:rPr>
          <w:lang w:val="en-AU" w:eastAsia="en-AU"/>
        </w:rPr>
        <w:tab/>
      </w:r>
      <w:r w:rsidRPr="006D4B7C">
        <w:rPr>
          <w:lang w:val="en-AU" w:eastAsia="en-AU"/>
        </w:rPr>
        <w:t>Microsoft</w:t>
      </w:r>
    </w:p>
    <w:p w14:paraId="56475664" w14:textId="1DFF1274" w:rsidR="00871A83" w:rsidRPr="006D4B7C" w:rsidRDefault="00871A83" w:rsidP="00582E4F">
      <w:pPr>
        <w:pStyle w:val="Body"/>
        <w:rPr>
          <w:lang w:val="en-AU" w:eastAsia="en-AU"/>
        </w:rPr>
      </w:pPr>
      <w:r w:rsidRPr="006D4B7C">
        <w:rPr>
          <w:lang w:val="en-AU" w:eastAsia="en-AU"/>
        </w:rPr>
        <w:t xml:space="preserve">RF: </w:t>
      </w:r>
      <w:r w:rsidR="00582E4F">
        <w:rPr>
          <w:lang w:val="en-AU" w:eastAsia="en-AU"/>
        </w:rPr>
        <w:tab/>
      </w:r>
      <w:r w:rsidR="00582E4F">
        <w:rPr>
          <w:lang w:val="en-AU" w:eastAsia="en-AU"/>
        </w:rPr>
        <w:tab/>
      </w:r>
      <w:r w:rsidRPr="006D4B7C">
        <w:rPr>
          <w:lang w:val="en-AU" w:eastAsia="en-AU"/>
        </w:rPr>
        <w:t>Rainfall Runoff Factor</w:t>
      </w:r>
    </w:p>
    <w:p w14:paraId="09CA25A1" w14:textId="385D5AF5" w:rsidR="00871A83" w:rsidRPr="006D4B7C" w:rsidRDefault="00871A83" w:rsidP="00582E4F">
      <w:pPr>
        <w:pStyle w:val="Body"/>
        <w:rPr>
          <w:lang w:val="en-AU" w:eastAsia="en-AU"/>
        </w:rPr>
      </w:pPr>
      <w:r w:rsidRPr="006D4B7C">
        <w:rPr>
          <w:lang w:val="en-AU" w:eastAsia="en-AU"/>
        </w:rPr>
        <w:t xml:space="preserve">RR: </w:t>
      </w:r>
      <w:r w:rsidR="00582E4F">
        <w:rPr>
          <w:lang w:val="en-AU" w:eastAsia="en-AU"/>
        </w:rPr>
        <w:tab/>
      </w:r>
      <w:r w:rsidR="00582E4F">
        <w:rPr>
          <w:lang w:val="en-AU" w:eastAsia="en-AU"/>
        </w:rPr>
        <w:tab/>
      </w:r>
      <w:r w:rsidRPr="006D4B7C">
        <w:rPr>
          <w:lang w:val="en-AU" w:eastAsia="en-AU"/>
        </w:rPr>
        <w:t>Retained Rainfall</w:t>
      </w:r>
    </w:p>
    <w:p w14:paraId="2B124929" w14:textId="2AC204D7" w:rsidR="00871A83" w:rsidRPr="006D4B7C" w:rsidRDefault="00871A83" w:rsidP="00582E4F">
      <w:pPr>
        <w:pStyle w:val="Body"/>
        <w:rPr>
          <w:lang w:val="en-AU" w:eastAsia="en-AU"/>
        </w:rPr>
      </w:pPr>
      <w:r w:rsidRPr="006D4B7C">
        <w:rPr>
          <w:lang w:val="en-AU" w:eastAsia="en-AU"/>
        </w:rPr>
        <w:t xml:space="preserve">SAR: </w:t>
      </w:r>
      <w:r w:rsidR="00582E4F">
        <w:rPr>
          <w:lang w:val="en-AU" w:eastAsia="en-AU"/>
        </w:rPr>
        <w:tab/>
      </w:r>
      <w:r w:rsidR="00582E4F">
        <w:rPr>
          <w:lang w:val="en-AU" w:eastAsia="en-AU"/>
        </w:rPr>
        <w:tab/>
      </w:r>
      <w:r w:rsidRPr="006D4B7C">
        <w:rPr>
          <w:lang w:val="en-AU" w:eastAsia="en-AU"/>
        </w:rPr>
        <w:t>Sodium Absorption Ratio</w:t>
      </w:r>
    </w:p>
    <w:p w14:paraId="778D8228" w14:textId="73587E6A" w:rsidR="00871A83" w:rsidRPr="006D4B7C" w:rsidRDefault="00871A83" w:rsidP="00582E4F">
      <w:pPr>
        <w:pStyle w:val="Body"/>
        <w:rPr>
          <w:lang w:val="en-AU" w:eastAsia="en-AU"/>
        </w:rPr>
      </w:pPr>
      <w:r w:rsidRPr="006D4B7C">
        <w:rPr>
          <w:lang w:val="en-AU" w:eastAsia="en-AU"/>
        </w:rPr>
        <w:t xml:space="preserve">SS: </w:t>
      </w:r>
      <w:r w:rsidR="00582E4F">
        <w:rPr>
          <w:lang w:val="en-AU" w:eastAsia="en-AU"/>
        </w:rPr>
        <w:tab/>
      </w:r>
      <w:r w:rsidR="00582E4F">
        <w:rPr>
          <w:lang w:val="en-AU" w:eastAsia="en-AU"/>
        </w:rPr>
        <w:tab/>
      </w:r>
      <w:r w:rsidRPr="006D4B7C">
        <w:rPr>
          <w:lang w:val="en-AU" w:eastAsia="en-AU"/>
        </w:rPr>
        <w:t>Suspended Solids</w:t>
      </w:r>
    </w:p>
    <w:p w14:paraId="0AC737B0" w14:textId="218B8FB7" w:rsidR="00871A83" w:rsidRPr="006D4B7C" w:rsidRDefault="00871A83" w:rsidP="00582E4F">
      <w:pPr>
        <w:pStyle w:val="Body"/>
        <w:rPr>
          <w:lang w:val="en-AU" w:eastAsia="en-AU"/>
        </w:rPr>
      </w:pPr>
      <w:r w:rsidRPr="006D4B7C">
        <w:rPr>
          <w:lang w:val="en-AU" w:eastAsia="en-AU"/>
        </w:rPr>
        <w:t xml:space="preserve">TDS: </w:t>
      </w:r>
      <w:r w:rsidR="00582E4F">
        <w:rPr>
          <w:lang w:val="en-AU" w:eastAsia="en-AU"/>
        </w:rPr>
        <w:tab/>
      </w:r>
      <w:r w:rsidR="00582E4F">
        <w:rPr>
          <w:lang w:val="en-AU" w:eastAsia="en-AU"/>
        </w:rPr>
        <w:tab/>
      </w:r>
      <w:r w:rsidRPr="006D4B7C">
        <w:rPr>
          <w:lang w:val="en-AU" w:eastAsia="en-AU"/>
        </w:rPr>
        <w:t>Total Dissolved Salts</w:t>
      </w:r>
    </w:p>
    <w:p w14:paraId="17B017DB" w14:textId="02C93607" w:rsidR="00871A83" w:rsidRPr="006D4B7C" w:rsidRDefault="00871A83" w:rsidP="00582E4F">
      <w:pPr>
        <w:pStyle w:val="Body"/>
        <w:rPr>
          <w:lang w:val="en-AU" w:eastAsia="en-AU"/>
        </w:rPr>
      </w:pPr>
      <w:r w:rsidRPr="006D4B7C">
        <w:rPr>
          <w:lang w:val="en-AU" w:eastAsia="en-AU"/>
        </w:rPr>
        <w:t xml:space="preserve">TN: </w:t>
      </w:r>
      <w:r w:rsidR="00582E4F">
        <w:rPr>
          <w:lang w:val="en-AU" w:eastAsia="en-AU"/>
        </w:rPr>
        <w:tab/>
      </w:r>
      <w:r w:rsidR="00582E4F">
        <w:rPr>
          <w:lang w:val="en-AU" w:eastAsia="en-AU"/>
        </w:rPr>
        <w:tab/>
      </w:r>
      <w:r w:rsidRPr="006D4B7C">
        <w:rPr>
          <w:lang w:val="en-AU" w:eastAsia="en-AU"/>
        </w:rPr>
        <w:t>Total Nitrogen</w:t>
      </w:r>
    </w:p>
    <w:p w14:paraId="598FF9E2" w14:textId="7E24087A" w:rsidR="00871A83" w:rsidRPr="006D4B7C" w:rsidRDefault="00871A83" w:rsidP="00582E4F">
      <w:pPr>
        <w:pStyle w:val="Body"/>
        <w:rPr>
          <w:lang w:val="en-AU" w:eastAsia="en-AU"/>
        </w:rPr>
      </w:pPr>
      <w:r w:rsidRPr="006D4B7C">
        <w:rPr>
          <w:lang w:val="en-AU" w:eastAsia="en-AU"/>
        </w:rPr>
        <w:t xml:space="preserve">TP: </w:t>
      </w:r>
      <w:r w:rsidR="00582E4F">
        <w:rPr>
          <w:lang w:val="en-AU" w:eastAsia="en-AU"/>
        </w:rPr>
        <w:tab/>
      </w:r>
      <w:r w:rsidR="00582E4F">
        <w:rPr>
          <w:lang w:val="en-AU" w:eastAsia="en-AU"/>
        </w:rPr>
        <w:tab/>
      </w:r>
      <w:r w:rsidRPr="006D4B7C">
        <w:rPr>
          <w:lang w:val="en-AU" w:eastAsia="en-AU"/>
        </w:rPr>
        <w:t>Total Phosphorus</w:t>
      </w:r>
    </w:p>
    <w:p w14:paraId="03723E54" w14:textId="37350CDB" w:rsidR="00871A83" w:rsidRPr="006D4B7C" w:rsidRDefault="00871A83" w:rsidP="00582E4F">
      <w:pPr>
        <w:pStyle w:val="Body"/>
        <w:rPr>
          <w:lang w:val="en-AU" w:eastAsia="en-AU"/>
        </w:rPr>
      </w:pPr>
      <w:r w:rsidRPr="006D4B7C">
        <w:rPr>
          <w:lang w:val="en-AU" w:eastAsia="en-AU"/>
        </w:rPr>
        <w:t xml:space="preserve">TP(1): </w:t>
      </w:r>
      <w:r w:rsidR="00582E4F">
        <w:rPr>
          <w:lang w:val="en-AU" w:eastAsia="en-AU"/>
        </w:rPr>
        <w:tab/>
      </w:r>
      <w:r w:rsidR="00582E4F">
        <w:rPr>
          <w:lang w:val="en-AU" w:eastAsia="en-AU"/>
        </w:rPr>
        <w:tab/>
      </w:r>
      <w:r w:rsidRPr="006D4B7C">
        <w:rPr>
          <w:lang w:val="en-AU" w:eastAsia="en-AU"/>
        </w:rPr>
        <w:t>Test Pit (1)</w:t>
      </w:r>
    </w:p>
    <w:p w14:paraId="50CDCD38" w14:textId="39DC771D" w:rsidR="00871A83" w:rsidRPr="006D4B7C" w:rsidRDefault="00871A83" w:rsidP="00582E4F">
      <w:pPr>
        <w:pStyle w:val="Body"/>
        <w:rPr>
          <w:lang w:val="en-AU" w:eastAsia="en-AU"/>
        </w:rPr>
      </w:pPr>
      <w:r w:rsidRPr="006D4B7C">
        <w:rPr>
          <w:lang w:val="en-AU" w:eastAsia="en-AU"/>
        </w:rPr>
        <w:t xml:space="preserve">TSS: </w:t>
      </w:r>
      <w:r w:rsidR="00582E4F">
        <w:rPr>
          <w:lang w:val="en-AU" w:eastAsia="en-AU"/>
        </w:rPr>
        <w:tab/>
      </w:r>
      <w:r w:rsidR="00582E4F">
        <w:rPr>
          <w:lang w:val="en-AU" w:eastAsia="en-AU"/>
        </w:rPr>
        <w:tab/>
      </w:r>
      <w:r w:rsidRPr="006D4B7C">
        <w:rPr>
          <w:lang w:val="en-AU" w:eastAsia="en-AU"/>
        </w:rPr>
        <w:t>Total Suspended Solids</w:t>
      </w:r>
    </w:p>
    <w:p w14:paraId="0246B9BC" w14:textId="7DFB9715" w:rsidR="00871A83" w:rsidRPr="006D4B7C" w:rsidRDefault="00871A83" w:rsidP="00582E4F">
      <w:pPr>
        <w:pStyle w:val="Body"/>
        <w:rPr>
          <w:lang w:val="en-AU" w:eastAsia="en-AU"/>
        </w:rPr>
      </w:pPr>
      <w:r w:rsidRPr="006D4B7C">
        <w:rPr>
          <w:lang w:val="en-AU" w:eastAsia="en-AU"/>
        </w:rPr>
        <w:t xml:space="preserve">USEPA: </w:t>
      </w:r>
      <w:r w:rsidR="00582E4F">
        <w:rPr>
          <w:lang w:val="en-AU" w:eastAsia="en-AU"/>
        </w:rPr>
        <w:tab/>
      </w:r>
      <w:r w:rsidRPr="006D4B7C">
        <w:rPr>
          <w:lang w:val="en-AU" w:eastAsia="en-AU"/>
        </w:rPr>
        <w:t>United States Environmental Protection Agency</w:t>
      </w:r>
    </w:p>
    <w:p w14:paraId="79F628E6" w14:textId="24E83EDD" w:rsidR="007155DD" w:rsidRDefault="00871A83" w:rsidP="00582E4F">
      <w:pPr>
        <w:pStyle w:val="Body"/>
        <w:rPr>
          <w:lang w:val="en-AU" w:eastAsia="en-AU"/>
        </w:rPr>
      </w:pPr>
      <w:r w:rsidRPr="006D4B7C">
        <w:rPr>
          <w:lang w:val="en-AU" w:eastAsia="en-AU"/>
        </w:rPr>
        <w:t xml:space="preserve">VCAT: </w:t>
      </w:r>
      <w:r w:rsidR="00582E4F">
        <w:rPr>
          <w:lang w:val="en-AU" w:eastAsia="en-AU"/>
        </w:rPr>
        <w:tab/>
      </w:r>
      <w:r w:rsidR="00582E4F">
        <w:rPr>
          <w:lang w:val="en-AU" w:eastAsia="en-AU"/>
        </w:rPr>
        <w:tab/>
      </w:r>
      <w:r w:rsidRPr="006D4B7C">
        <w:rPr>
          <w:lang w:val="en-AU" w:eastAsia="en-AU"/>
        </w:rPr>
        <w:t>Victorian Civil and Administrative Tribunal</w:t>
      </w:r>
    </w:p>
    <w:p w14:paraId="3368F8DC" w14:textId="7CC072A8" w:rsidR="00C45565" w:rsidRDefault="00871A83" w:rsidP="00582E4F">
      <w:pPr>
        <w:pStyle w:val="Body"/>
        <w:rPr>
          <w:lang w:val="en-AU" w:eastAsia="en-AU"/>
        </w:rPr>
      </w:pPr>
      <w:r w:rsidRPr="006D4B7C">
        <w:rPr>
          <w:lang w:val="en-AU" w:eastAsia="en-AU"/>
        </w:rPr>
        <w:t xml:space="preserve">WATL: </w:t>
      </w:r>
      <w:r w:rsidR="00582E4F">
        <w:rPr>
          <w:lang w:val="en-AU" w:eastAsia="en-AU"/>
        </w:rPr>
        <w:tab/>
      </w:r>
      <w:r w:rsidRPr="006D4B7C">
        <w:rPr>
          <w:lang w:val="en-AU" w:eastAsia="en-AU"/>
        </w:rPr>
        <w:t xml:space="preserve">(Bureau of Meteorology) Department of Water and the Land </w:t>
      </w:r>
    </w:p>
    <w:p w14:paraId="6F02733F" w14:textId="77777777" w:rsidR="00C45565" w:rsidRDefault="00C45565" w:rsidP="00582E4F">
      <w:pPr>
        <w:spacing w:after="0" w:line="240" w:lineRule="auto"/>
        <w:rPr>
          <w:rFonts w:eastAsia="Times New Roman" w:cs="Arial"/>
          <w:sz w:val="20"/>
          <w:szCs w:val="20"/>
          <w:lang w:val="en-AU" w:eastAsia="en-AU"/>
        </w:rPr>
      </w:pPr>
      <w:r>
        <w:rPr>
          <w:rFonts w:eastAsia="Times New Roman" w:cs="Arial"/>
          <w:sz w:val="20"/>
          <w:szCs w:val="20"/>
          <w:lang w:val="en-AU" w:eastAsia="en-AU"/>
        </w:rPr>
        <w:br w:type="page"/>
      </w:r>
    </w:p>
    <w:p w14:paraId="39F2D7EA" w14:textId="16F2C6EF" w:rsidR="00871A83" w:rsidRPr="0073644F" w:rsidRDefault="002C104E" w:rsidP="009F0893">
      <w:pPr>
        <w:pStyle w:val="Heading1"/>
        <w:numPr>
          <w:ilvl w:val="0"/>
          <w:numId w:val="45"/>
        </w:numPr>
      </w:pPr>
      <w:bookmarkStart w:id="19" w:name="_Toc377562309"/>
      <w:bookmarkStart w:id="20" w:name="_Toc378688077"/>
      <w:r w:rsidRPr="00A91CEF">
        <w:lastRenderedPageBreak/>
        <w:t>Introduction</w:t>
      </w:r>
      <w:bookmarkEnd w:id="19"/>
      <w:bookmarkEnd w:id="20"/>
    </w:p>
    <w:p w14:paraId="3451EEC5" w14:textId="77777777" w:rsidR="00871A83" w:rsidRPr="006D4B7C" w:rsidRDefault="00871A83" w:rsidP="00280C81">
      <w:r w:rsidRPr="006D4B7C">
        <w:t>In 2004, the Municipal Association of Victoria (MAV), as part of its involvement in the State Government’s Country Towns Water Supply and Sewerage Program, identiﬁed a need within local government for an increased understanding of land capability assessment. This guideline and the accompanying Model Land Capability Assessment (LCA) Report have been updated to assist land capability assessment professionals in undertaking LCAs for a range of development types, as well as to provide guidance to relevant stakeholders.</w:t>
      </w:r>
    </w:p>
    <w:p w14:paraId="65BBF2ED" w14:textId="77777777" w:rsidR="00871A83" w:rsidRPr="006D4B7C" w:rsidRDefault="00871A83" w:rsidP="00280C81">
      <w:r w:rsidRPr="006D4B7C">
        <w:t>This report has been written to comply with all relevant Victorian legislation, guidelines and codes including the Environment Protection Authority (EPA) Victoria Publication 891.3 Code of Practice, Onsite Wastewater Management (“the Code”) (2013) and the Australian/New Zealand Standard AS/NZS 1547:2012 On-site Domestic Wastewater Management.</w:t>
      </w:r>
    </w:p>
    <w:p w14:paraId="5DC24635" w14:textId="77777777" w:rsidR="00871A83" w:rsidRPr="006D4B7C" w:rsidRDefault="00871A83" w:rsidP="00280C81">
      <w:r w:rsidRPr="006D4B7C">
        <w:t>It should be noted that this guideline, the Victorian LCA Framework, is not an EPA publication and does not replace or supersede any existing Victorian legislation, guidelines or codes or Australian Standards. It is intended primarily for use by land capability assessors and local government ofﬁcers and should be read in conjunction with the documents outlined above.</w:t>
      </w:r>
    </w:p>
    <w:p w14:paraId="4D5E9ABC" w14:textId="77777777" w:rsidR="00871A83" w:rsidRPr="006D4B7C" w:rsidRDefault="00871A83" w:rsidP="00280C81">
      <w:r w:rsidRPr="006D4B7C">
        <w:rPr>
          <w:color w:val="000000"/>
        </w:rPr>
        <w:t>Where this Framework refers to a specific edition of a Standard, guideline, Code of Practice, policy or regulation use the most recent version of that document.</w:t>
      </w:r>
    </w:p>
    <w:p w14:paraId="0D886BD6" w14:textId="77777777" w:rsidR="00871A83" w:rsidRPr="006D4B7C" w:rsidRDefault="00871A83" w:rsidP="00280C81">
      <w:r w:rsidRPr="006D4B7C">
        <w:t>The Model LCA Report in Appendix 3 of this guideline is ﬁctional, using some real and some contrived data for a site where onsite wastewater management is proposed. The case study site has a range of site conditions to allow areas of constraint and opportunity to be presented and evaluated and a treatment and land application system to be recommended based on this evaluation.</w:t>
      </w:r>
    </w:p>
    <w:p w14:paraId="4567102C" w14:textId="2EE91864" w:rsidR="00871A83" w:rsidRPr="0073644F" w:rsidRDefault="00871A83" w:rsidP="009F0893">
      <w:pPr>
        <w:pStyle w:val="Heading1"/>
        <w:numPr>
          <w:ilvl w:val="0"/>
          <w:numId w:val="45"/>
        </w:numPr>
      </w:pPr>
      <w:r w:rsidRPr="006D4B7C">
        <w:br w:type="page"/>
      </w:r>
      <w:bookmarkStart w:id="21" w:name="_Toc377562310"/>
      <w:bookmarkStart w:id="22" w:name="_Toc378688078"/>
      <w:r w:rsidRPr="0073644F">
        <w:lastRenderedPageBreak/>
        <w:t>When is a Land Capability Assessment required?</w:t>
      </w:r>
      <w:bookmarkEnd w:id="21"/>
      <w:bookmarkEnd w:id="22"/>
    </w:p>
    <w:p w14:paraId="1DE44D11" w14:textId="77777777" w:rsidR="00871A83" w:rsidRPr="006D4B7C" w:rsidRDefault="00871A83" w:rsidP="00280C81">
      <w:r w:rsidRPr="006D4B7C">
        <w:t>An LCA is required for most unsewered developments, prior to the development proceeding (EPA, 2013). It may be also be required to determine whether an existing development can sustainably contain all treated wastewater onsite. The timing and the level of detail of the assessment may vary, for instance at rezoning or subdivision stage, or at individual lot development stage. The LCA should be undertaken as early as possible in the planning phase of the development or subdivision.</w:t>
      </w:r>
    </w:p>
    <w:p w14:paraId="2B540E25" w14:textId="77777777" w:rsidR="00871A83" w:rsidRPr="006D4B7C" w:rsidRDefault="00871A83" w:rsidP="00280C81">
      <w:r w:rsidRPr="006D4B7C">
        <w:t xml:space="preserve">This document provides guidance on undertaking LCAs for a range of development types, but focuses on single-lot residential </w:t>
      </w:r>
      <w:r w:rsidRPr="006D4B7C">
        <w:rPr>
          <w:bCs/>
        </w:rPr>
        <w:t>and small-scale commercial developments</w:t>
      </w:r>
      <w:r w:rsidRPr="006D4B7C">
        <w:t>. Guidance on subdivision and broader-scale LCAs is provided in Chapter 5.</w:t>
      </w:r>
    </w:p>
    <w:p w14:paraId="2C48224F" w14:textId="260CEE8F" w:rsidR="00871A83" w:rsidRPr="0073644F" w:rsidRDefault="00871A83" w:rsidP="00456BD1">
      <w:pPr>
        <w:pStyle w:val="Heading2"/>
        <w:numPr>
          <w:ilvl w:val="1"/>
          <w:numId w:val="45"/>
        </w:numPr>
      </w:pPr>
      <w:bookmarkStart w:id="23" w:name="_Toc377562311"/>
      <w:bookmarkStart w:id="24" w:name="_Toc377562884"/>
      <w:bookmarkStart w:id="25" w:name="_Toc378688079"/>
      <w:r w:rsidRPr="0073644F">
        <w:t>The purpose of the LCA is to:</w:t>
      </w:r>
      <w:bookmarkEnd w:id="23"/>
      <w:bookmarkEnd w:id="24"/>
      <w:bookmarkEnd w:id="25"/>
    </w:p>
    <w:p w14:paraId="66590D4F" w14:textId="69868B68" w:rsidR="00871A83" w:rsidRPr="0073644F" w:rsidRDefault="00871A83" w:rsidP="00582E4F">
      <w:r w:rsidRPr="0073644F">
        <w:t xml:space="preserve">Assess the capability of the site to sustainably utilise and manage wastewater </w:t>
      </w:r>
      <w:r w:rsidR="00582E4F">
        <w:t>within the allotment boundaries:</w:t>
      </w:r>
    </w:p>
    <w:p w14:paraId="01607D06" w14:textId="171A378A" w:rsidR="00871A83" w:rsidRPr="0073644F" w:rsidRDefault="00871A83" w:rsidP="00593D06">
      <w:pPr>
        <w:pStyle w:val="ListParagraph"/>
        <w:numPr>
          <w:ilvl w:val="0"/>
          <w:numId w:val="4"/>
        </w:numPr>
        <w:ind w:left="360"/>
      </w:pPr>
      <w:r w:rsidRPr="0073644F">
        <w:t>Assess the capability of catchments to sustainably utilise and manage wastewater within sub-catchments or specif</w:t>
      </w:r>
      <w:r w:rsidR="00582E4F">
        <w:t>ic regions (broader-scale LCAs)</w:t>
      </w:r>
    </w:p>
    <w:p w14:paraId="6DA9032D" w14:textId="75419728" w:rsidR="00871A83" w:rsidRPr="0073644F" w:rsidRDefault="00871A83" w:rsidP="00593D06">
      <w:pPr>
        <w:pStyle w:val="ListParagraph"/>
        <w:numPr>
          <w:ilvl w:val="0"/>
          <w:numId w:val="4"/>
        </w:numPr>
        <w:ind w:left="360"/>
      </w:pPr>
      <w:r w:rsidRPr="0073644F">
        <w:t>Determine high risk and sensitive areas within a</w:t>
      </w:r>
      <w:r w:rsidR="00582E4F">
        <w:t>llotments and within catchments</w:t>
      </w:r>
    </w:p>
    <w:p w14:paraId="07EBD7CD" w14:textId="6584D815" w:rsidR="00871A83" w:rsidRPr="0073644F" w:rsidRDefault="00871A83" w:rsidP="00593D06">
      <w:pPr>
        <w:pStyle w:val="ListParagraph"/>
        <w:numPr>
          <w:ilvl w:val="0"/>
          <w:numId w:val="4"/>
        </w:numPr>
        <w:ind w:left="360"/>
      </w:pPr>
      <w:r w:rsidRPr="0073644F">
        <w:t>Gather the relevant geographical and social information to adequately inform the process of designing the best practicable and most sustainable onsite wastewater treatment and effluent recycling / dispersal system that should protect the health of the householders and the community and protect the local environment from pollution; design the layout of the onsite wastewater treatment system and the size and location of the land application system and reserve area (where required) to minimise the health and environmental impacts of onsite was</w:t>
      </w:r>
      <w:r w:rsidR="00582E4F">
        <w:t>tewater management. (EPA, 2013)</w:t>
      </w:r>
    </w:p>
    <w:p w14:paraId="7DC29B7A" w14:textId="77777777" w:rsidR="00871A83" w:rsidRPr="0073644F" w:rsidRDefault="00871A83" w:rsidP="00593D06">
      <w:pPr>
        <w:pStyle w:val="ListParagraph"/>
        <w:numPr>
          <w:ilvl w:val="0"/>
          <w:numId w:val="4"/>
        </w:numPr>
        <w:ind w:left="360"/>
      </w:pPr>
      <w:r w:rsidRPr="0073644F">
        <w:t>Formulate a sustainable management plan (in accordance with the Code, the conditions in the Certificate of Approval (CA) of the treatment system selected by the property owner and the local Council’s permit conditions) that:</w:t>
      </w:r>
    </w:p>
    <w:p w14:paraId="2DD38684" w14:textId="771AE479" w:rsidR="00871A83" w:rsidRPr="0073644F" w:rsidRDefault="00593D06" w:rsidP="00593D06">
      <w:pPr>
        <w:pStyle w:val="ListParagraph"/>
        <w:numPr>
          <w:ilvl w:val="0"/>
          <w:numId w:val="3"/>
        </w:numPr>
        <w:ind w:left="720"/>
      </w:pPr>
      <w:r>
        <w:t>M</w:t>
      </w:r>
      <w:r w:rsidR="00871A83" w:rsidRPr="0073644F">
        <w:t>ust be adhered to by the property owner to ensure that impacts on the environment or public health do</w:t>
      </w:r>
      <w:r>
        <w:t xml:space="preserve"> not occur or are minimised</w:t>
      </w:r>
    </w:p>
    <w:p w14:paraId="26DC3EB6" w14:textId="0CB48D88" w:rsidR="00871A83" w:rsidRPr="0073644F" w:rsidRDefault="00593D06" w:rsidP="00593D06">
      <w:pPr>
        <w:pStyle w:val="ListParagraph"/>
        <w:numPr>
          <w:ilvl w:val="0"/>
          <w:numId w:val="3"/>
        </w:numPr>
        <w:ind w:left="720"/>
      </w:pPr>
      <w:r>
        <w:t>W</w:t>
      </w:r>
      <w:r w:rsidR="00871A83" w:rsidRPr="0073644F">
        <w:t>ill ensure the beneficial reuse of the treated water, organic matter, nutrients and urine resources (where applicable).</w:t>
      </w:r>
    </w:p>
    <w:p w14:paraId="4876C330" w14:textId="77777777" w:rsidR="00871A83" w:rsidRPr="006D4B7C" w:rsidRDefault="00871A83" w:rsidP="00582E4F">
      <w:r w:rsidRPr="006D4B7C">
        <w:t>A LCA report will identify the greatest risks to an area of land from wastewater management. The level of detail of the LCA should reﬂect the identiﬁed level of risk and should demonstrate how the risk can be managed, if this is possible.</w:t>
      </w:r>
    </w:p>
    <w:p w14:paraId="7DEC504B" w14:textId="77777777" w:rsidR="00871A83" w:rsidRPr="006D4B7C" w:rsidRDefault="00871A83" w:rsidP="00582E4F">
      <w:r w:rsidRPr="006D4B7C">
        <w:t>It is recommended that LCAs are undertaken for all unsewered developments. However, a lot-scale LCA may not be required if Council is satisfied that the site is low risk or if there is adequate site and soil information gathered through existing investigations such as a regional, catchment or township-based land capability assessment.</w:t>
      </w:r>
    </w:p>
    <w:p w14:paraId="12279FDB" w14:textId="77777777" w:rsidR="00871A83" w:rsidRPr="006D4B7C" w:rsidRDefault="00871A83" w:rsidP="00582E4F">
      <w:r w:rsidRPr="006D4B7C">
        <w:lastRenderedPageBreak/>
        <w:t>LCAs must be undertaken for all unsewered properties within Special Water Supply Catchments. LCAs should also comply with any catchment management plans or strategies applicable to the site or subdivision. Assessors should liaise with Council early in the planning phase to determine what (if any) particular requirements are relevant to the site. Assessors should also refer closely to the Code and relevant Australian Standards during the planning phase and when undertaking LCAs.</w:t>
      </w:r>
    </w:p>
    <w:p w14:paraId="61C5710E" w14:textId="74B616BE" w:rsidR="00871A83" w:rsidRPr="0073644F" w:rsidRDefault="00871A83" w:rsidP="009F0893">
      <w:pPr>
        <w:pStyle w:val="Heading1"/>
        <w:numPr>
          <w:ilvl w:val="0"/>
          <w:numId w:val="45"/>
        </w:numPr>
      </w:pPr>
      <w:bookmarkStart w:id="26" w:name="_Toc377562312"/>
      <w:bookmarkStart w:id="27" w:name="_Toc378688080"/>
      <w:r w:rsidRPr="0073644F">
        <w:t>Who should undertake a Land Capability Assessment?</w:t>
      </w:r>
      <w:bookmarkEnd w:id="26"/>
      <w:bookmarkEnd w:id="27"/>
    </w:p>
    <w:p w14:paraId="03D6C0E8" w14:textId="77777777" w:rsidR="00871A83" w:rsidRPr="006D4B7C" w:rsidRDefault="00871A83" w:rsidP="00280C81">
      <w:r w:rsidRPr="006D4B7C">
        <w:t xml:space="preserve">Individual landowners or developers (not EPA or Councils) are responsible for engaging a suitably qualified and experienced professional to undertake a LCA for unsewered developments and subdivisions. Catchment-scale LCAs, at an appropriate level of detail, are often undertaken or commissioned by Councils, Catchment Management Authorities or state government agencies, sometimes as part of a catchment management plan or strategy. Catchment scale LCAs are generally not suitable for lot-scale assessment, however, may provide useful background information. In the case of individual lot-scale assessments, appropriate field validation should be undertaken. </w:t>
      </w:r>
    </w:p>
    <w:p w14:paraId="5407BAD3" w14:textId="77777777" w:rsidR="00871A83" w:rsidRPr="006D4B7C" w:rsidRDefault="00871A83" w:rsidP="00280C81">
      <w:r w:rsidRPr="006D4B7C">
        <w:t xml:space="preserve">Land capability assessment calls on a range of professional skills from a number of disciplines. LCA assessors should possess a tertiary-level qualification in a discipline such as hydrogeology, soil science, agricultural science, civil or geotechnical engineering, geology, environmental science, chemistry, physical geography and the like. The assessor should possess specific knowledge and practical experience of soil science, in particular soil hydrological and soil chemical processes. </w:t>
      </w:r>
    </w:p>
    <w:p w14:paraId="0857D700" w14:textId="77777777" w:rsidR="00871A83" w:rsidRPr="006D4B7C" w:rsidRDefault="00871A83" w:rsidP="00280C81">
      <w:r w:rsidRPr="006D4B7C">
        <w:t>In addition, LCA assessors should possess technical expertise and experience with the broader, inter-disciplinary fields of onsite wastewater management, including skills in the interpretation of site, soil and climate conditions, undertaking water and nutrient balances, selection and design of appropriate wastewater treatment and effluent disposal and reuse options, and other skills that are discussed in this guideline and the Code.</w:t>
      </w:r>
    </w:p>
    <w:p w14:paraId="67127923" w14:textId="7A6A5F88" w:rsidR="00871A83" w:rsidRPr="006D4B7C" w:rsidRDefault="00871A83" w:rsidP="00280C81">
      <w:r w:rsidRPr="006D4B7C">
        <w:t>In line with the Code of Practice, councils may require written verification that Land Capability Assessors are suitably qualified, experienced, maintain appropriate professional membership and pr</w:t>
      </w:r>
      <w:r w:rsidR="001E13F5">
        <w:t>ofessional indemnity insurance.</w:t>
      </w:r>
    </w:p>
    <w:p w14:paraId="78966CB2" w14:textId="71E49FBF" w:rsidR="00871A83" w:rsidRPr="006D4B7C" w:rsidRDefault="00871A83" w:rsidP="00280C81">
      <w:r w:rsidRPr="006D4B7C">
        <w:t>Similarly, it is expected that Council ofﬁcers assessing LCAs are conversant with onsite wastewater management, in order to conﬁdently and competently interpret and evaluate LCA reports and specify conditions of</w:t>
      </w:r>
      <w:r w:rsidR="001E13F5">
        <w:t xml:space="preserve"> development where appropriate.</w:t>
      </w:r>
    </w:p>
    <w:p w14:paraId="3DD4D0AA" w14:textId="0A2312F9" w:rsidR="00871A83" w:rsidRPr="006D4B7C" w:rsidRDefault="00871A83" w:rsidP="00456BD1">
      <w:pPr>
        <w:pStyle w:val="Heading2"/>
        <w:numPr>
          <w:ilvl w:val="1"/>
          <w:numId w:val="45"/>
        </w:numPr>
      </w:pPr>
      <w:bookmarkStart w:id="28" w:name="_Toc377562313"/>
      <w:bookmarkStart w:id="29" w:name="_Toc377562886"/>
      <w:bookmarkStart w:id="30" w:name="_Toc378688081"/>
      <w:r w:rsidRPr="00280C81">
        <w:t>Consultation</w:t>
      </w:r>
      <w:r w:rsidRPr="006D4B7C">
        <w:t xml:space="preserve"> with Council</w:t>
      </w:r>
      <w:bookmarkEnd w:id="28"/>
      <w:bookmarkEnd w:id="29"/>
      <w:bookmarkEnd w:id="30"/>
    </w:p>
    <w:p w14:paraId="02B5AE80" w14:textId="77777777" w:rsidR="00871A83" w:rsidRPr="006D4B7C" w:rsidRDefault="00871A83" w:rsidP="00593D06">
      <w:r w:rsidRPr="006D4B7C">
        <w:t>Developers and LCA assessors should consult with Council officers at the planning phase of development (prior to the LCA process commencing) for the following reasons:</w:t>
      </w:r>
    </w:p>
    <w:p w14:paraId="0EF40672" w14:textId="566B9B44" w:rsidR="00871A83" w:rsidRPr="006D4B7C" w:rsidRDefault="00871A83" w:rsidP="00593D06">
      <w:pPr>
        <w:pStyle w:val="ListParagraph"/>
        <w:numPr>
          <w:ilvl w:val="0"/>
          <w:numId w:val="5"/>
        </w:numPr>
        <w:ind w:left="360"/>
      </w:pPr>
      <w:r w:rsidRPr="006D4B7C">
        <w:lastRenderedPageBreak/>
        <w:t>Council will have an opportunity to explain any particular concerns regarding onsite wastewater management in the area, or particular requiremen</w:t>
      </w:r>
      <w:r w:rsidR="00593D06">
        <w:t>ts regarding LCAs for that area</w:t>
      </w:r>
    </w:p>
    <w:p w14:paraId="42A801C2" w14:textId="61DD3B91" w:rsidR="00871A83" w:rsidRPr="006D4B7C" w:rsidRDefault="00871A83" w:rsidP="00593D06">
      <w:pPr>
        <w:pStyle w:val="ListParagraph"/>
        <w:numPr>
          <w:ilvl w:val="0"/>
          <w:numId w:val="5"/>
        </w:numPr>
        <w:ind w:left="360"/>
      </w:pPr>
      <w:r w:rsidRPr="006D4B7C">
        <w:t>Council can pass on useful local information in regard to the site capability, performance of existing systems, or the types of systems that are</w:t>
      </w:r>
      <w:r w:rsidR="00593D06">
        <w:t xml:space="preserve"> suited to that environment</w:t>
      </w:r>
    </w:p>
    <w:p w14:paraId="42583EC0" w14:textId="77777777" w:rsidR="00871A83" w:rsidRPr="006D4B7C" w:rsidRDefault="00871A83" w:rsidP="00593D06">
      <w:pPr>
        <w:pStyle w:val="ListParagraph"/>
        <w:numPr>
          <w:ilvl w:val="0"/>
          <w:numId w:val="5"/>
        </w:numPr>
        <w:ind w:left="360"/>
      </w:pPr>
      <w:r w:rsidRPr="006D4B7C">
        <w:t>Council can ensure the LCA assessor is appropriately qualiﬁed to undertake the work.</w:t>
      </w:r>
    </w:p>
    <w:p w14:paraId="0F6AB955" w14:textId="77777777" w:rsidR="00280C81" w:rsidRDefault="00871A83" w:rsidP="00593D06">
      <w:r w:rsidRPr="006D4B7C">
        <w:t>Sufficient communication should take place between the consultant and/or land holder and Council officer(s) to enable all parties to agree on the required level of detail, which will vary from site to site, before the work commences. This will assist to reduce potential conﬂict later, for example at the Victorian Civil and Administrative Tribunal (VCAT).</w:t>
      </w:r>
    </w:p>
    <w:p w14:paraId="03E8C599" w14:textId="656B8DB8" w:rsidR="00871A83" w:rsidRPr="006D4B7C" w:rsidRDefault="00871A83" w:rsidP="009F0893">
      <w:pPr>
        <w:pStyle w:val="Heading1"/>
        <w:numPr>
          <w:ilvl w:val="0"/>
          <w:numId w:val="45"/>
        </w:numPr>
      </w:pPr>
      <w:bookmarkStart w:id="31" w:name="_Toc377562314"/>
      <w:bookmarkStart w:id="32" w:name="_Toc378688082"/>
      <w:r w:rsidRPr="006D4B7C">
        <w:t>Undertaking Land Capability Assessments</w:t>
      </w:r>
      <w:bookmarkEnd w:id="31"/>
      <w:bookmarkEnd w:id="32"/>
    </w:p>
    <w:p w14:paraId="3AAB2B61" w14:textId="4F844D70" w:rsidR="00871A83" w:rsidRPr="001E13F5" w:rsidRDefault="00871A83" w:rsidP="00280C81">
      <w:r w:rsidRPr="006D4B7C">
        <w:t xml:space="preserve">This Chapter describes current best practice in undertaking land capability assessments for individual sites, focusing on single-lot residential and small-scale commercial developments. Guidance on multiple-lot subdivisions and broader-scale LCAs is provided in Chapter 5. An example of a Model LCA report for a single-lot residential </w:t>
      </w:r>
      <w:r w:rsidR="001E13F5">
        <w:t>site is provided in Appendix 3.</w:t>
      </w:r>
    </w:p>
    <w:p w14:paraId="066BA6E0" w14:textId="219BAA5D" w:rsidR="00871A83" w:rsidRPr="006D4B7C" w:rsidRDefault="00871A83" w:rsidP="00280C81">
      <w:r w:rsidRPr="006D4B7C">
        <w:t>Both the undertaking of and reporting on land capability assessment are explained together throughout this chapter; that is, the methodologies for planning and undertaking LCAs are explained in sequential order, as well as how to interpret and describe the results of the assessments. LCA methodology and reporting are based largely on the Code as well as other relevant state and national guidelines and Standards. See the list of References for further information about undertaking LCAs and onsite wastewater management more generally.</w:t>
      </w:r>
    </w:p>
    <w:p w14:paraId="38413A32" w14:textId="12033B39" w:rsidR="00871A83" w:rsidRPr="006D4B7C" w:rsidRDefault="00871A83" w:rsidP="00280C81">
      <w:r w:rsidRPr="006D4B7C">
        <w:t>The level of detail required in a LCA report depends on the specific requirements relating to the site and its surroundings (as discussed with the property owner, Council and other regulatory authorities, such as the water authority, if required), as well as the constraints of the site. For highly constrained sites, more detailed reporting is often required to justify approval of onsite wastewater management f</w:t>
      </w:r>
      <w:r w:rsidR="001E13F5">
        <w:t>or new or updated developments.</w:t>
      </w:r>
    </w:p>
    <w:p w14:paraId="0C701DBC" w14:textId="28BB0BD9" w:rsidR="00871A83" w:rsidRPr="006D4B7C" w:rsidRDefault="00871A83" w:rsidP="00280C81">
      <w:r w:rsidRPr="006D4B7C">
        <w:t>Reporting styles may also differ from the general approach outlined in this guideline and the Model LCA, depending on the site constraints and the requirements of the client and Council. This guideline specifies a quantitative and qualitative matrix to assign a level of constraint rating of minor, moderate and major to each key site and soil characteristic. It is recommended that LCA assessors regularly consult with Councils and other relevant stakeholders about their requirements for land capab</w:t>
      </w:r>
      <w:r w:rsidR="001E13F5">
        <w:t>ility assessment and reporting.</w:t>
      </w:r>
    </w:p>
    <w:p w14:paraId="44315AD6" w14:textId="7E9B998B" w:rsidR="00871A83" w:rsidRPr="00593D06" w:rsidRDefault="00456BD1" w:rsidP="00593D06">
      <w:pPr>
        <w:pStyle w:val="Heading2"/>
        <w:ind w:left="0"/>
      </w:pPr>
      <w:bookmarkStart w:id="33" w:name="_Toc377562315"/>
      <w:bookmarkStart w:id="34" w:name="_Toc378688083"/>
      <w:r>
        <w:t xml:space="preserve">4.1 </w:t>
      </w:r>
      <w:r w:rsidR="00871A83" w:rsidRPr="00593D06">
        <w:t>Scope the Development, Consult with Stakeholders</w:t>
      </w:r>
      <w:bookmarkEnd w:id="33"/>
      <w:bookmarkEnd w:id="34"/>
    </w:p>
    <w:p w14:paraId="2EFA1715" w14:textId="4B546016" w:rsidR="00280C81" w:rsidRPr="006D4B7C" w:rsidRDefault="00871A83" w:rsidP="00593D06">
      <w:r w:rsidRPr="006D4B7C">
        <w:t>The first stage of land capability assessment is to ‘set the scene’.</w:t>
      </w:r>
    </w:p>
    <w:p w14:paraId="1FE23756" w14:textId="77777777" w:rsidR="00515487" w:rsidRDefault="00515487">
      <w:pPr>
        <w:spacing w:after="0" w:line="240" w:lineRule="auto"/>
        <w:rPr>
          <w:u w:val="single"/>
        </w:rPr>
      </w:pPr>
      <w:r>
        <w:rPr>
          <w:u w:val="single"/>
        </w:rPr>
        <w:br w:type="page"/>
      </w:r>
    </w:p>
    <w:p w14:paraId="02BEB1C2" w14:textId="325E6774" w:rsidR="00871A83" w:rsidRPr="00280C81" w:rsidRDefault="00456BD1" w:rsidP="00593D06">
      <w:pPr>
        <w:rPr>
          <w:u w:val="single"/>
        </w:rPr>
      </w:pPr>
      <w:r>
        <w:rPr>
          <w:u w:val="single"/>
        </w:rPr>
        <w:lastRenderedPageBreak/>
        <w:t xml:space="preserve">4.1.1 </w:t>
      </w:r>
      <w:r w:rsidR="00871A83" w:rsidRPr="00280C81">
        <w:rPr>
          <w:u w:val="single"/>
        </w:rPr>
        <w:t>Method</w:t>
      </w:r>
    </w:p>
    <w:p w14:paraId="68B607B6" w14:textId="009E3EB5" w:rsidR="00871A83" w:rsidRPr="006D4B7C" w:rsidRDefault="00871A83" w:rsidP="00593D06">
      <w:pPr>
        <w:pStyle w:val="ListParagraph"/>
        <w:numPr>
          <w:ilvl w:val="0"/>
          <w:numId w:val="6"/>
        </w:numPr>
        <w:ind w:left="360"/>
      </w:pPr>
      <w:r w:rsidRPr="006D4B7C">
        <w:t xml:space="preserve">Identify the location of the site, including lot and street </w:t>
      </w:r>
      <w:r w:rsidR="00E72AA1">
        <w:t>number and the locality or town</w:t>
      </w:r>
    </w:p>
    <w:p w14:paraId="2A52BFB7" w14:textId="77777777" w:rsidR="00871A83" w:rsidRPr="006D4B7C" w:rsidRDefault="00871A83" w:rsidP="00593D06">
      <w:pPr>
        <w:pStyle w:val="ListParagraph"/>
        <w:numPr>
          <w:ilvl w:val="0"/>
          <w:numId w:val="6"/>
        </w:numPr>
        <w:ind w:left="360"/>
      </w:pPr>
      <w:r w:rsidRPr="006D4B7C">
        <w:t>What is the land-owners wish-list for development (such as the number of lots, or for a single dwelling the number of bedrooms), and is this realistic for the site?</w:t>
      </w:r>
    </w:p>
    <w:p w14:paraId="43919DDB" w14:textId="77777777" w:rsidR="00871A83" w:rsidRPr="006D4B7C" w:rsidRDefault="00871A83" w:rsidP="00593D06">
      <w:pPr>
        <w:pStyle w:val="ListParagraph"/>
        <w:numPr>
          <w:ilvl w:val="0"/>
          <w:numId w:val="6"/>
        </w:numPr>
        <w:ind w:left="360"/>
      </w:pPr>
      <w:r w:rsidRPr="006D4B7C">
        <w:t>Liaise with relevant Council staff, including Town Planners, Environmental Health Officers and Building Surveyors, to determine whether there are any special requirements for the LCA and to determine the level of detail of LCA required by Council - for example, whether the site is in a Special Water Supply Catchment, or is in close proximity to sensitive or significant environments. In some cases it may be necessary to consult with state government agencies and authorities such as Water Authorities, Department of Environment and Primary Industries (DEPI) or the Catchment Management Authority (CMA).</w:t>
      </w:r>
    </w:p>
    <w:p w14:paraId="4461B43F" w14:textId="6AB38DA7" w:rsidR="00871A83" w:rsidRPr="00280C81" w:rsidRDefault="00456BD1" w:rsidP="00593D06">
      <w:pPr>
        <w:rPr>
          <w:u w:val="single"/>
        </w:rPr>
      </w:pPr>
      <w:r>
        <w:rPr>
          <w:u w:val="single"/>
        </w:rPr>
        <w:t xml:space="preserve">4.1.2 </w:t>
      </w:r>
      <w:r w:rsidR="00871A83" w:rsidRPr="00280C81">
        <w:rPr>
          <w:u w:val="single"/>
        </w:rPr>
        <w:t>Reporting</w:t>
      </w:r>
    </w:p>
    <w:p w14:paraId="734CBEFB" w14:textId="77777777" w:rsidR="00871A83" w:rsidRPr="006D4B7C" w:rsidRDefault="00871A83" w:rsidP="00593D06">
      <w:r w:rsidRPr="006D4B7C">
        <w:t>The above information should be included in the introductory section of the report, clearly identifying the site and describing the proposed development.</w:t>
      </w:r>
    </w:p>
    <w:p w14:paraId="6247AB2D" w14:textId="054E2892" w:rsidR="00871A83" w:rsidRPr="006D4B7C" w:rsidRDefault="00456BD1" w:rsidP="00593D06">
      <w:pPr>
        <w:pStyle w:val="Heading2"/>
        <w:ind w:left="0"/>
      </w:pPr>
      <w:bookmarkStart w:id="35" w:name="_Toc377562316"/>
      <w:bookmarkStart w:id="36" w:name="_Toc378688084"/>
      <w:r>
        <w:t xml:space="preserve">4.2 </w:t>
      </w:r>
      <w:r w:rsidR="00871A83" w:rsidRPr="006D4B7C">
        <w:t>Undertake a Desktop Assessment and Plan the LCA</w:t>
      </w:r>
      <w:bookmarkEnd w:id="35"/>
      <w:bookmarkEnd w:id="36"/>
    </w:p>
    <w:p w14:paraId="062ED11C" w14:textId="77777777" w:rsidR="00871A83" w:rsidRPr="006D4B7C" w:rsidRDefault="00871A83" w:rsidP="00593D06">
      <w:r w:rsidRPr="006D4B7C">
        <w:t>Using online resources and discussing the site with the owner, you can build a comprehensive picture of the site’s constraints and opportunities, and plan the LCA accordingly.</w:t>
      </w:r>
    </w:p>
    <w:p w14:paraId="4D18C383" w14:textId="227727E8" w:rsidR="00871A83" w:rsidRPr="00280C81" w:rsidRDefault="00456BD1" w:rsidP="00593D06">
      <w:pPr>
        <w:rPr>
          <w:u w:val="single"/>
        </w:rPr>
      </w:pPr>
      <w:r>
        <w:rPr>
          <w:u w:val="single"/>
        </w:rPr>
        <w:t xml:space="preserve">4.2.1 </w:t>
      </w:r>
      <w:r w:rsidR="00871A83" w:rsidRPr="00280C81">
        <w:rPr>
          <w:u w:val="single"/>
        </w:rPr>
        <w:t>Method</w:t>
      </w:r>
    </w:p>
    <w:p w14:paraId="4A11561A" w14:textId="77777777" w:rsidR="00871A83" w:rsidRPr="006D4B7C" w:rsidRDefault="00871A83" w:rsidP="00593D06">
      <w:r w:rsidRPr="006D4B7C">
        <w:t>Information that should be gathered, where available, includes but is not limited to:</w:t>
      </w:r>
    </w:p>
    <w:p w14:paraId="1620F14C" w14:textId="73EF7D96" w:rsidR="00871A83" w:rsidRPr="006D4B7C" w:rsidRDefault="00871A83" w:rsidP="00593D06">
      <w:pPr>
        <w:pStyle w:val="ListParagraph"/>
        <w:numPr>
          <w:ilvl w:val="0"/>
          <w:numId w:val="7"/>
        </w:numPr>
        <w:ind w:left="360"/>
      </w:pPr>
      <w:r w:rsidRPr="006D4B7C">
        <w:t>Land zoning, property boundaries and planning sp</w:t>
      </w:r>
      <w:r w:rsidR="00E72AA1">
        <w:t>ecifications (Council and DEPI)</w:t>
      </w:r>
    </w:p>
    <w:p w14:paraId="08D5BFE3" w14:textId="53A71EC7" w:rsidR="00871A83" w:rsidRPr="006D4B7C" w:rsidRDefault="00871A83" w:rsidP="00593D06">
      <w:pPr>
        <w:pStyle w:val="ListParagraph"/>
        <w:numPr>
          <w:ilvl w:val="0"/>
          <w:numId w:val="7"/>
        </w:numPr>
        <w:ind w:left="360"/>
      </w:pPr>
      <w:r w:rsidRPr="006D4B7C">
        <w:t>Topographic mapping, including po</w:t>
      </w:r>
      <w:r w:rsidR="00E72AA1">
        <w:t>sition of surface waters (DEPI)</w:t>
      </w:r>
    </w:p>
    <w:p w14:paraId="0B2F21B0" w14:textId="3F7CDF46" w:rsidR="00871A83" w:rsidRPr="006D4B7C" w:rsidRDefault="00871A83" w:rsidP="00593D06">
      <w:pPr>
        <w:pStyle w:val="ListParagraph"/>
        <w:numPr>
          <w:ilvl w:val="0"/>
          <w:numId w:val="7"/>
        </w:numPr>
        <w:ind w:left="360"/>
      </w:pPr>
      <w:r w:rsidRPr="006D4B7C">
        <w:t>Aerial photogra</w:t>
      </w:r>
      <w:r w:rsidR="00E72AA1">
        <w:t>phy (various freeware and DEPI)</w:t>
      </w:r>
    </w:p>
    <w:p w14:paraId="2A2C1596" w14:textId="5615649F" w:rsidR="00871A83" w:rsidRPr="006D4B7C" w:rsidRDefault="00871A83" w:rsidP="00593D06">
      <w:pPr>
        <w:pStyle w:val="ListParagraph"/>
        <w:numPr>
          <w:ilvl w:val="0"/>
          <w:numId w:val="7"/>
        </w:numPr>
        <w:ind w:left="360"/>
      </w:pPr>
      <w:r w:rsidRPr="006D4B7C">
        <w:t>Clima</w:t>
      </w:r>
      <w:r w:rsidR="00E72AA1">
        <w:t>te data (Bureau of Meteorology)</w:t>
      </w:r>
    </w:p>
    <w:p w14:paraId="7844DB41" w14:textId="6A53799E" w:rsidR="00871A83" w:rsidRPr="006D4B7C" w:rsidRDefault="00871A83" w:rsidP="00593D06">
      <w:pPr>
        <w:pStyle w:val="ListParagraph"/>
        <w:numPr>
          <w:ilvl w:val="0"/>
          <w:numId w:val="7"/>
        </w:numPr>
        <w:ind w:left="360"/>
      </w:pPr>
      <w:r w:rsidRPr="006D4B7C">
        <w:t>Geo</w:t>
      </w:r>
      <w:r w:rsidR="00E72AA1">
        <w:t>logical mapping and data (DEPI)</w:t>
      </w:r>
    </w:p>
    <w:p w14:paraId="049C3C8F" w14:textId="4BA4E3E2" w:rsidR="00871A83" w:rsidRPr="006D4B7C" w:rsidRDefault="00871A83" w:rsidP="00593D06">
      <w:pPr>
        <w:pStyle w:val="ListParagraph"/>
        <w:numPr>
          <w:ilvl w:val="0"/>
          <w:numId w:val="7"/>
        </w:numPr>
        <w:ind w:left="360"/>
      </w:pPr>
      <w:r w:rsidRPr="006D4B7C">
        <w:t xml:space="preserve">Soil mapping, </w:t>
      </w:r>
      <w:r w:rsidR="00E72AA1">
        <w:t>surveys and testing data (DEPI)</w:t>
      </w:r>
    </w:p>
    <w:p w14:paraId="78CBFBA8" w14:textId="6A7161EA" w:rsidR="00871A83" w:rsidRPr="006D4B7C" w:rsidRDefault="00871A83" w:rsidP="00593D06">
      <w:pPr>
        <w:pStyle w:val="ListParagraph"/>
        <w:numPr>
          <w:ilvl w:val="0"/>
          <w:numId w:val="7"/>
        </w:numPr>
        <w:ind w:left="360"/>
      </w:pPr>
      <w:r w:rsidRPr="006D4B7C">
        <w:t>Mapping of groundwater resources, including domestic and public supply bores (Rural Wate</w:t>
      </w:r>
      <w:r w:rsidR="00E72AA1">
        <w:t>r Authorities)</w:t>
      </w:r>
    </w:p>
    <w:p w14:paraId="448267B3" w14:textId="42C1F5AA" w:rsidR="00871A83" w:rsidRPr="006D4B7C" w:rsidRDefault="00871A83" w:rsidP="00593D06">
      <w:pPr>
        <w:pStyle w:val="ListParagraph"/>
        <w:numPr>
          <w:ilvl w:val="0"/>
          <w:numId w:val="7"/>
        </w:numPr>
        <w:ind w:left="360"/>
      </w:pPr>
      <w:r w:rsidRPr="006D4B7C">
        <w:t>Location of services such as water, sewer, gas and electricity (Council</w:t>
      </w:r>
      <w:r w:rsidR="00E72AA1">
        <w:t xml:space="preserve"> and utility service providers)</w:t>
      </w:r>
    </w:p>
    <w:p w14:paraId="59D107AE" w14:textId="0D16BF94" w:rsidR="00871A83" w:rsidRPr="006D4B7C" w:rsidRDefault="00871A83" w:rsidP="00593D06">
      <w:pPr>
        <w:pStyle w:val="ListParagraph"/>
        <w:numPr>
          <w:ilvl w:val="0"/>
          <w:numId w:val="7"/>
        </w:numPr>
        <w:ind w:left="360"/>
      </w:pPr>
      <w:r w:rsidRPr="006D4B7C">
        <w:t>Environmental constraints, such as flooding, bushfire, protected habitats and Special Water Supply Cat</w:t>
      </w:r>
      <w:r w:rsidR="00E72AA1">
        <w:t>chment areas (DEPI and Council)</w:t>
      </w:r>
    </w:p>
    <w:p w14:paraId="43208D41" w14:textId="16CDB4C2" w:rsidR="00871A83" w:rsidRPr="006D4B7C" w:rsidRDefault="00871A83" w:rsidP="00593D06">
      <w:pPr>
        <w:pStyle w:val="ListParagraph"/>
        <w:numPr>
          <w:ilvl w:val="0"/>
          <w:numId w:val="7"/>
        </w:numPr>
        <w:ind w:left="360"/>
      </w:pPr>
      <w:r w:rsidRPr="006D4B7C">
        <w:t>Any plans or strategies relating to onsite wastewater m</w:t>
      </w:r>
      <w:r w:rsidR="00E72AA1">
        <w:t>anagement in the area (Council)</w:t>
      </w:r>
    </w:p>
    <w:p w14:paraId="52D7D7CB" w14:textId="427D87FB" w:rsidR="00871A83" w:rsidRPr="006D4B7C" w:rsidRDefault="00871A83" w:rsidP="00593D06">
      <w:pPr>
        <w:pStyle w:val="ListParagraph"/>
        <w:numPr>
          <w:ilvl w:val="0"/>
          <w:numId w:val="7"/>
        </w:numPr>
        <w:ind w:left="360"/>
      </w:pPr>
      <w:r w:rsidRPr="006D4B7C">
        <w:t>Current or previous land use, such as agriculture (c</w:t>
      </w:r>
      <w:r w:rsidR="00E72AA1">
        <w:t>onsult with property owner)</w:t>
      </w:r>
    </w:p>
    <w:p w14:paraId="3D7E7724" w14:textId="77777777" w:rsidR="00871A83" w:rsidRPr="006D4B7C" w:rsidRDefault="00871A83" w:rsidP="00593D06">
      <w:pPr>
        <w:pStyle w:val="ListParagraph"/>
        <w:numPr>
          <w:ilvl w:val="0"/>
          <w:numId w:val="7"/>
        </w:numPr>
        <w:ind w:left="360"/>
      </w:pPr>
      <w:r w:rsidRPr="006D4B7C">
        <w:t>Incidence of site constraints such as poor drainage, high runoff, shallow soils, vegetation, rock outcrops, intended location of site structures, access, etc. (consult with property owner).</w:t>
      </w:r>
    </w:p>
    <w:p w14:paraId="1211A1BD" w14:textId="7386EA14" w:rsidR="00871A83" w:rsidRPr="006D4B7C" w:rsidRDefault="00871A83" w:rsidP="00593D06">
      <w:r w:rsidRPr="006D4B7C">
        <w:t xml:space="preserve">Where online information is available, the level of detail depends largely on the location of the site. There are numerous online tools (including mapping and libraries of published information) </w:t>
      </w:r>
      <w:r w:rsidRPr="006D4B7C">
        <w:lastRenderedPageBreak/>
        <w:t>which are located across various State department websites and these are routinely updated. Some current online resources are provided in ‘References and Further Reading’</w:t>
      </w:r>
      <w:r w:rsidR="001E13F5">
        <w:t>.</w:t>
      </w:r>
    </w:p>
    <w:p w14:paraId="663ABD39" w14:textId="3CF6F357" w:rsidR="00871A83" w:rsidRPr="006D4B7C" w:rsidRDefault="00871A83" w:rsidP="00593D06">
      <w:r w:rsidRPr="006D4B7C">
        <w:t>This information allows you to plan how you will undertake the field work involved in the LCA</w:t>
      </w:r>
      <w:r w:rsidR="00E72AA1">
        <w:t>,</w:t>
      </w:r>
      <w:r w:rsidRPr="006D4B7C">
        <w:t xml:space="preserve"> for example, to determine which areas of the property are likely to be the most appropriate for effluent application, and whether onsite wastewater management is likely to be constrained by factors such as proximity to surface or gro</w:t>
      </w:r>
      <w:r w:rsidR="001E13F5">
        <w:t>undwater, poor soils and so on.</w:t>
      </w:r>
    </w:p>
    <w:p w14:paraId="767A32B5" w14:textId="77777777" w:rsidR="00871A83" w:rsidRPr="006D4B7C" w:rsidRDefault="00871A83" w:rsidP="00593D06">
      <w:r w:rsidRPr="006D4B7C">
        <w:t>Note that broadscale mapping data should be used with caution at individual lot or even subdivision scale LCA due to limitations of scale and detail. Field veriﬁcation of this information should always be undertaken to provide detailed information for the land capability assessment.</w:t>
      </w:r>
    </w:p>
    <w:p w14:paraId="48F84563" w14:textId="5042B1F7" w:rsidR="00871A83" w:rsidRPr="00280C81" w:rsidRDefault="00456BD1" w:rsidP="00593D06">
      <w:pPr>
        <w:rPr>
          <w:u w:val="single"/>
        </w:rPr>
      </w:pPr>
      <w:r>
        <w:rPr>
          <w:u w:val="single"/>
        </w:rPr>
        <w:t xml:space="preserve">4.2.2 </w:t>
      </w:r>
      <w:r w:rsidR="00871A83" w:rsidRPr="00280C81">
        <w:rPr>
          <w:u w:val="single"/>
        </w:rPr>
        <w:t>Reporting</w:t>
      </w:r>
    </w:p>
    <w:p w14:paraId="1F6443E9" w14:textId="01B931B1" w:rsidR="00871A83" w:rsidRPr="006D4B7C" w:rsidRDefault="00871A83" w:rsidP="00593D06">
      <w:r w:rsidRPr="006D4B7C">
        <w:t>An overview of key information relating to the development, such as planning constraints and requirements, should be included in an introductory or overview section near the beginning of the report.</w:t>
      </w:r>
    </w:p>
    <w:p w14:paraId="648DF904" w14:textId="77777777" w:rsidR="00871A83" w:rsidRPr="006D4B7C" w:rsidRDefault="00871A83" w:rsidP="00593D06">
      <w:r w:rsidRPr="006D4B7C">
        <w:t>A scaled locality plan identifying the site and showing key features such as site boundaries, contour lines, surface waters and so on should be included near the beginning of the report. Use of a topographic map base will allow the reader to see the local landform and presence of land features such as waterways. It is also important that the site is appropriately located on a map which includes the nearest town and names of roads and infrastructure and GPS coordinates where applicable.</w:t>
      </w:r>
    </w:p>
    <w:p w14:paraId="7AB06786" w14:textId="77777777" w:rsidR="00871A83" w:rsidRPr="006D4B7C" w:rsidRDefault="00871A83" w:rsidP="00593D06">
      <w:r w:rsidRPr="006D4B7C">
        <w:t>Describing and interpreting site-specific data relating to the site LCA is explained in Section 3.</w:t>
      </w:r>
    </w:p>
    <w:p w14:paraId="63A23DD6" w14:textId="29B243E6" w:rsidR="00871A83" w:rsidRPr="001E13F5" w:rsidRDefault="00456BD1" w:rsidP="00593D06">
      <w:pPr>
        <w:pStyle w:val="Heading2"/>
        <w:ind w:left="0"/>
      </w:pPr>
      <w:bookmarkStart w:id="37" w:name="_Toc377562317"/>
      <w:bookmarkStart w:id="38" w:name="_Toc378688085"/>
      <w:r>
        <w:t xml:space="preserve">4.3 </w:t>
      </w:r>
      <w:r w:rsidR="00871A83" w:rsidRPr="006D4B7C">
        <w:t>Field Work (Site and Soil Assessment) and Interpretation</w:t>
      </w:r>
      <w:bookmarkEnd w:id="37"/>
      <w:bookmarkEnd w:id="38"/>
    </w:p>
    <w:p w14:paraId="622B304E" w14:textId="77777777" w:rsidR="00871A83" w:rsidRPr="006D4B7C" w:rsidRDefault="00871A83" w:rsidP="00593D06">
      <w:r w:rsidRPr="006D4B7C">
        <w:t>The site and soil characteristics that will be assessed should be determined prior to undertaking the field work. Best practice LCA takes into consideration a broad range of site and soil parameters which are assessed in the field and interpreted using additional data (such as that described in Section 2). LCA assessors should have a good understanding of each of these parameters. It is helpful to have printed templates to take into the field to record notes about relevant site and soil characteristics.</w:t>
      </w:r>
    </w:p>
    <w:p w14:paraId="5DC9C268" w14:textId="36E38900" w:rsidR="00871A83" w:rsidRPr="00E72AA1" w:rsidRDefault="00456BD1" w:rsidP="00E72AA1">
      <w:pPr>
        <w:rPr>
          <w:u w:val="single"/>
        </w:rPr>
      </w:pPr>
      <w:r>
        <w:rPr>
          <w:u w:val="single"/>
        </w:rPr>
        <w:t xml:space="preserve">4.3.1 </w:t>
      </w:r>
      <w:r w:rsidR="00871A83" w:rsidRPr="00B60EAA">
        <w:rPr>
          <w:u w:val="single"/>
        </w:rPr>
        <w:t>Method</w:t>
      </w:r>
    </w:p>
    <w:p w14:paraId="045F55E0" w14:textId="483A7367" w:rsidR="00871A83" w:rsidRPr="006D4B7C" w:rsidRDefault="00871A83" w:rsidP="00593D06">
      <w:r w:rsidRPr="006D4B7C">
        <w:t>Site assessments should include a ‘walk-over’ of the entire site</w:t>
      </w:r>
      <w:r w:rsidR="00E72AA1">
        <w:t>,</w:t>
      </w:r>
      <w:r w:rsidRPr="006D4B7C">
        <w:t xml:space="preserve"> or for large or difficult sites, specific areas identified by the desktop assessment should be investigated. It is a good idea to take photos and make sketches as well a</w:t>
      </w:r>
      <w:r w:rsidR="001E13F5">
        <w:t>s notes of the site assessment.</w:t>
      </w:r>
    </w:p>
    <w:p w14:paraId="586E2254" w14:textId="77777777" w:rsidR="00871A83" w:rsidRDefault="00871A83" w:rsidP="00593D06">
      <w:r w:rsidRPr="006D4B7C">
        <w:t>Table 1 provides an overview of key site features and how they can be assessed and interpreted in the context of onsite wastewater management. Assessment of each feature should be recorded in the field.</w:t>
      </w:r>
    </w:p>
    <w:p w14:paraId="26168F4E" w14:textId="4A845B02" w:rsidR="00B60EAA" w:rsidRDefault="00B60EAA">
      <w:pPr>
        <w:spacing w:after="0" w:line="240"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escription of key chemical and physical soil features"/>
        <w:tblDescription w:val="features include colour, acidity, exchangeable cation etc."/>
      </w:tblPr>
      <w:tblGrid>
        <w:gridCol w:w="1526"/>
        <w:gridCol w:w="136"/>
        <w:gridCol w:w="3836"/>
        <w:gridCol w:w="21"/>
        <w:gridCol w:w="3917"/>
        <w:gridCol w:w="140"/>
      </w:tblGrid>
      <w:tr w:rsidR="00E72AA1" w:rsidRPr="0096018B" w14:paraId="35009074" w14:textId="77777777" w:rsidTr="00384FAD">
        <w:trPr>
          <w:trHeight w:val="274"/>
        </w:trPr>
        <w:tc>
          <w:tcPr>
            <w:tcW w:w="5000" w:type="pct"/>
            <w:gridSpan w:val="6"/>
            <w:shd w:val="clear" w:color="auto" w:fill="DDDDDD"/>
          </w:tcPr>
          <w:p w14:paraId="19498859" w14:textId="73FAD11C" w:rsidR="00E72AA1" w:rsidRPr="0096018B" w:rsidRDefault="00E72AA1" w:rsidP="00261DD3">
            <w:pPr>
              <w:spacing w:line="240" w:lineRule="auto"/>
              <w:rPr>
                <w:b/>
              </w:rPr>
            </w:pPr>
            <w:r>
              <w:rPr>
                <w:b/>
              </w:rPr>
              <w:lastRenderedPageBreak/>
              <w:t xml:space="preserve">Table 1: </w:t>
            </w:r>
            <w:r w:rsidRPr="00E72AA1">
              <w:rPr>
                <w:b/>
              </w:rPr>
              <w:t>Key Site Features</w:t>
            </w:r>
          </w:p>
        </w:tc>
      </w:tr>
      <w:tr w:rsidR="00871A83" w:rsidRPr="0096018B" w14:paraId="6886CF38" w14:textId="77777777" w:rsidTr="00261DD3">
        <w:trPr>
          <w:trHeight w:val="302"/>
        </w:trPr>
        <w:tc>
          <w:tcPr>
            <w:tcW w:w="797" w:type="pct"/>
            <w:shd w:val="clear" w:color="auto" w:fill="auto"/>
          </w:tcPr>
          <w:p w14:paraId="56FAC62D" w14:textId="77777777" w:rsidR="00871A83" w:rsidRPr="0096018B" w:rsidRDefault="00871A83" w:rsidP="00261DD3">
            <w:pPr>
              <w:rPr>
                <w:b/>
              </w:rPr>
            </w:pPr>
            <w:bookmarkStart w:id="39" w:name="_Toc377562318"/>
            <w:r w:rsidRPr="0096018B">
              <w:rPr>
                <w:b/>
              </w:rPr>
              <w:t>Feature</w:t>
            </w:r>
            <w:bookmarkEnd w:id="39"/>
          </w:p>
        </w:tc>
        <w:tc>
          <w:tcPr>
            <w:tcW w:w="2074" w:type="pct"/>
            <w:gridSpan w:val="2"/>
          </w:tcPr>
          <w:p w14:paraId="6D918F53" w14:textId="77777777" w:rsidR="00871A83" w:rsidRPr="0096018B" w:rsidRDefault="00871A83" w:rsidP="00261DD3">
            <w:pPr>
              <w:rPr>
                <w:b/>
              </w:rPr>
            </w:pPr>
            <w:bookmarkStart w:id="40" w:name="_Toc377562319"/>
            <w:r w:rsidRPr="0096018B">
              <w:rPr>
                <w:b/>
              </w:rPr>
              <w:t>Explanation</w:t>
            </w:r>
            <w:bookmarkEnd w:id="40"/>
          </w:p>
        </w:tc>
        <w:tc>
          <w:tcPr>
            <w:tcW w:w="2129" w:type="pct"/>
            <w:gridSpan w:val="3"/>
            <w:shd w:val="clear" w:color="auto" w:fill="auto"/>
          </w:tcPr>
          <w:p w14:paraId="04346156" w14:textId="77777777" w:rsidR="00871A83" w:rsidRPr="0096018B" w:rsidRDefault="00871A83" w:rsidP="00261DD3">
            <w:pPr>
              <w:rPr>
                <w:b/>
              </w:rPr>
            </w:pPr>
            <w:bookmarkStart w:id="41" w:name="_Toc377562320"/>
            <w:r w:rsidRPr="0096018B">
              <w:rPr>
                <w:b/>
              </w:rPr>
              <w:t>Assessment Process</w:t>
            </w:r>
            <w:bookmarkEnd w:id="41"/>
          </w:p>
        </w:tc>
      </w:tr>
      <w:tr w:rsidR="00871A83" w:rsidRPr="001E13F5" w14:paraId="3AE3B5C7" w14:textId="77777777" w:rsidTr="00261DD3">
        <w:tc>
          <w:tcPr>
            <w:tcW w:w="797" w:type="pct"/>
            <w:shd w:val="clear" w:color="auto" w:fill="auto"/>
          </w:tcPr>
          <w:p w14:paraId="16C89347" w14:textId="77777777" w:rsidR="00871A83" w:rsidRPr="0096018B" w:rsidRDefault="00871A83" w:rsidP="00261DD3">
            <w:pPr>
              <w:rPr>
                <w:b/>
              </w:rPr>
            </w:pPr>
            <w:bookmarkStart w:id="42" w:name="_Toc377562321"/>
            <w:r w:rsidRPr="0096018B">
              <w:rPr>
                <w:b/>
              </w:rPr>
              <w:t>Aspect</w:t>
            </w:r>
            <w:bookmarkEnd w:id="42"/>
          </w:p>
        </w:tc>
        <w:tc>
          <w:tcPr>
            <w:tcW w:w="2074" w:type="pct"/>
            <w:gridSpan w:val="2"/>
          </w:tcPr>
          <w:p w14:paraId="27C6CEE8" w14:textId="77777777" w:rsidR="00871A83" w:rsidRPr="001E13F5" w:rsidRDefault="00871A83" w:rsidP="00261DD3">
            <w:bookmarkStart w:id="43" w:name="_Toc377562322"/>
            <w:r w:rsidRPr="001E13F5">
              <w:t>The aspect or the direction that a slope is facing influences solar exposure.</w:t>
            </w:r>
            <w:bookmarkEnd w:id="43"/>
          </w:p>
        </w:tc>
        <w:tc>
          <w:tcPr>
            <w:tcW w:w="2129" w:type="pct"/>
            <w:gridSpan w:val="3"/>
            <w:shd w:val="clear" w:color="auto" w:fill="auto"/>
          </w:tcPr>
          <w:p w14:paraId="10FC5208" w14:textId="77777777" w:rsidR="00871A83" w:rsidRPr="001E13F5" w:rsidRDefault="00871A83" w:rsidP="00261DD3">
            <w:bookmarkStart w:id="44" w:name="_Toc377562323"/>
            <w:r w:rsidRPr="001E13F5">
              <w:t>Estimate the general direction of the slope of the land application area(s) (LAA). If there are multiple aspects, focus on the areas most suitable for LAA.</w:t>
            </w:r>
            <w:bookmarkEnd w:id="44"/>
          </w:p>
        </w:tc>
      </w:tr>
      <w:tr w:rsidR="00871A83" w:rsidRPr="001E13F5" w14:paraId="1AAB4F47" w14:textId="77777777" w:rsidTr="00261DD3">
        <w:tc>
          <w:tcPr>
            <w:tcW w:w="797" w:type="pct"/>
            <w:shd w:val="clear" w:color="auto" w:fill="auto"/>
          </w:tcPr>
          <w:p w14:paraId="4CC167F6" w14:textId="77777777" w:rsidR="00871A83" w:rsidRPr="0096018B" w:rsidRDefault="00871A83" w:rsidP="00261DD3">
            <w:pPr>
              <w:rPr>
                <w:b/>
              </w:rPr>
            </w:pPr>
            <w:bookmarkStart w:id="45" w:name="_Toc377562324"/>
            <w:r w:rsidRPr="0096018B">
              <w:rPr>
                <w:b/>
              </w:rPr>
              <w:t>Climate</w:t>
            </w:r>
            <w:bookmarkEnd w:id="45"/>
          </w:p>
        </w:tc>
        <w:tc>
          <w:tcPr>
            <w:tcW w:w="2074" w:type="pct"/>
            <w:gridSpan w:val="2"/>
          </w:tcPr>
          <w:p w14:paraId="32BE2BF3" w14:textId="77777777" w:rsidR="00871A83" w:rsidRPr="001E13F5" w:rsidRDefault="00871A83" w:rsidP="00261DD3">
            <w:bookmarkStart w:id="46" w:name="_Toc377562325"/>
            <w:r w:rsidRPr="001E13F5">
              <w:t>Seasonal rainfall, evaporation and temperature patterns influence potential evapotranspiration in land application areas.</w:t>
            </w:r>
            <w:bookmarkEnd w:id="46"/>
          </w:p>
        </w:tc>
        <w:tc>
          <w:tcPr>
            <w:tcW w:w="2129" w:type="pct"/>
            <w:gridSpan w:val="3"/>
            <w:shd w:val="clear" w:color="auto" w:fill="auto"/>
          </w:tcPr>
          <w:p w14:paraId="44A8CC1D" w14:textId="77777777" w:rsidR="00871A83" w:rsidRPr="001E13F5" w:rsidRDefault="00871A83" w:rsidP="00261DD3">
            <w:bookmarkStart w:id="47" w:name="_Toc377562326"/>
            <w:r w:rsidRPr="001E13F5">
              <w:t>Gather Bureau of Meteorology (BoM) data and determine average and maximum monthly rainfall, and average monthly evaporation.</w:t>
            </w:r>
            <w:bookmarkEnd w:id="47"/>
          </w:p>
        </w:tc>
      </w:tr>
      <w:tr w:rsidR="00871A83" w:rsidRPr="001E13F5" w14:paraId="1E420381" w14:textId="77777777" w:rsidTr="00261DD3">
        <w:tc>
          <w:tcPr>
            <w:tcW w:w="797" w:type="pct"/>
            <w:shd w:val="clear" w:color="auto" w:fill="auto"/>
          </w:tcPr>
          <w:p w14:paraId="390D08FF" w14:textId="77777777" w:rsidR="00871A83" w:rsidRPr="0096018B" w:rsidRDefault="00871A83" w:rsidP="00261DD3">
            <w:pPr>
              <w:rPr>
                <w:b/>
              </w:rPr>
            </w:pPr>
            <w:bookmarkStart w:id="48" w:name="_Toc377562327"/>
            <w:r w:rsidRPr="0096018B">
              <w:rPr>
                <w:b/>
              </w:rPr>
              <w:t>Erosion and Landslip</w:t>
            </w:r>
            <w:bookmarkEnd w:id="48"/>
            <w:r w:rsidRPr="0096018B">
              <w:rPr>
                <w:b/>
              </w:rPr>
              <w:t xml:space="preserve"> </w:t>
            </w:r>
          </w:p>
        </w:tc>
        <w:tc>
          <w:tcPr>
            <w:tcW w:w="2074" w:type="pct"/>
            <w:gridSpan w:val="2"/>
          </w:tcPr>
          <w:p w14:paraId="441EECF0" w14:textId="77777777" w:rsidR="00871A83" w:rsidRPr="001E13F5" w:rsidRDefault="00871A83" w:rsidP="00261DD3">
            <w:bookmarkStart w:id="49" w:name="_Toc377562328"/>
            <w:r w:rsidRPr="001E13F5">
              <w:t>Unstable areas (steep, unvegetated, dispersive soils etc.) are usually unsuitable for LAAs without mitigation.</w:t>
            </w:r>
            <w:bookmarkEnd w:id="49"/>
          </w:p>
        </w:tc>
        <w:tc>
          <w:tcPr>
            <w:tcW w:w="2129" w:type="pct"/>
            <w:gridSpan w:val="3"/>
            <w:shd w:val="clear" w:color="auto" w:fill="auto"/>
          </w:tcPr>
          <w:p w14:paraId="717485E8" w14:textId="77777777" w:rsidR="00871A83" w:rsidRPr="001E13F5" w:rsidRDefault="00871A83" w:rsidP="00261DD3">
            <w:bookmarkStart w:id="50" w:name="_Toc377562329"/>
            <w:r w:rsidRPr="001E13F5">
              <w:t>Note any existing or potential erosion sites, as well as any past landslips or slope failures.</w:t>
            </w:r>
            <w:bookmarkEnd w:id="50"/>
          </w:p>
        </w:tc>
      </w:tr>
      <w:tr w:rsidR="00871A83" w:rsidRPr="001E13F5" w14:paraId="44EF24A7" w14:textId="77777777" w:rsidTr="00261DD3">
        <w:tc>
          <w:tcPr>
            <w:tcW w:w="797" w:type="pct"/>
            <w:shd w:val="clear" w:color="auto" w:fill="auto"/>
          </w:tcPr>
          <w:p w14:paraId="658D26D4" w14:textId="77777777" w:rsidR="00871A83" w:rsidRPr="0096018B" w:rsidRDefault="00871A83" w:rsidP="00261DD3">
            <w:pPr>
              <w:rPr>
                <w:b/>
              </w:rPr>
            </w:pPr>
            <w:bookmarkStart w:id="51" w:name="_Toc377562330"/>
            <w:r w:rsidRPr="0096018B">
              <w:rPr>
                <w:b/>
              </w:rPr>
              <w:t>Fill (imported)</w:t>
            </w:r>
            <w:bookmarkEnd w:id="51"/>
          </w:p>
        </w:tc>
        <w:tc>
          <w:tcPr>
            <w:tcW w:w="2074" w:type="pct"/>
            <w:gridSpan w:val="2"/>
          </w:tcPr>
          <w:p w14:paraId="73179158" w14:textId="77777777" w:rsidR="00871A83" w:rsidRPr="001E13F5" w:rsidRDefault="00871A83" w:rsidP="00261DD3">
            <w:bookmarkStart w:id="52" w:name="_Toc377562331"/>
            <w:r w:rsidRPr="001E13F5">
              <w:t>Capacity to assimilate effluent depends on the physical and chemical characteristics of the imported fill material(s).</w:t>
            </w:r>
            <w:bookmarkEnd w:id="52"/>
          </w:p>
        </w:tc>
        <w:tc>
          <w:tcPr>
            <w:tcW w:w="2129" w:type="pct"/>
            <w:gridSpan w:val="3"/>
            <w:shd w:val="clear" w:color="auto" w:fill="auto"/>
          </w:tcPr>
          <w:p w14:paraId="6A2FC03F" w14:textId="77777777" w:rsidR="00871A83" w:rsidRPr="001E13F5" w:rsidRDefault="00871A83" w:rsidP="00261DD3">
            <w:bookmarkStart w:id="53" w:name="_Toc377562332"/>
            <w:r w:rsidRPr="001E13F5">
              <w:t>Observe the extent and characteristics of any imported fill, particularly on potential LAAs.</w:t>
            </w:r>
            <w:bookmarkEnd w:id="53"/>
          </w:p>
        </w:tc>
      </w:tr>
      <w:tr w:rsidR="00871A83" w:rsidRPr="001E13F5" w14:paraId="2E6FFC39" w14:textId="77777777" w:rsidTr="00261DD3">
        <w:tc>
          <w:tcPr>
            <w:tcW w:w="797" w:type="pct"/>
            <w:shd w:val="clear" w:color="auto" w:fill="auto"/>
          </w:tcPr>
          <w:p w14:paraId="255DE67F" w14:textId="77777777" w:rsidR="00871A83" w:rsidRPr="0096018B" w:rsidRDefault="00871A83" w:rsidP="00261DD3">
            <w:pPr>
              <w:rPr>
                <w:b/>
              </w:rPr>
            </w:pPr>
            <w:bookmarkStart w:id="54" w:name="_Toc377562333"/>
            <w:r w:rsidRPr="0096018B">
              <w:rPr>
                <w:b/>
              </w:rPr>
              <w:t>Flooding</w:t>
            </w:r>
            <w:bookmarkEnd w:id="54"/>
          </w:p>
        </w:tc>
        <w:tc>
          <w:tcPr>
            <w:tcW w:w="2074" w:type="pct"/>
            <w:gridSpan w:val="2"/>
          </w:tcPr>
          <w:p w14:paraId="1E606916" w14:textId="77777777" w:rsidR="00871A83" w:rsidRPr="001E13F5" w:rsidRDefault="00871A83" w:rsidP="00261DD3">
            <w:bookmarkStart w:id="55" w:name="_Toc377562334"/>
            <w:r w:rsidRPr="001E13F5">
              <w:t>Requirements for siting onsite wastewater infrastructure (including LAAs) away from areas subject to flooding can vary between Councils.</w:t>
            </w:r>
            <w:bookmarkEnd w:id="55"/>
          </w:p>
        </w:tc>
        <w:tc>
          <w:tcPr>
            <w:tcW w:w="2129" w:type="pct"/>
            <w:gridSpan w:val="3"/>
            <w:shd w:val="clear" w:color="auto" w:fill="auto"/>
          </w:tcPr>
          <w:p w14:paraId="73AC2763" w14:textId="77777777" w:rsidR="00871A83" w:rsidRPr="001E13F5" w:rsidRDefault="00871A83" w:rsidP="00261DD3">
            <w:bookmarkStart w:id="56" w:name="_Toc377562335"/>
            <w:r w:rsidRPr="001E13F5">
              <w:t>Access official records where available. Note proximity of LAAs to waterways and areas subject to flooding.</w:t>
            </w:r>
            <w:bookmarkEnd w:id="56"/>
          </w:p>
        </w:tc>
      </w:tr>
      <w:tr w:rsidR="00871A83" w:rsidRPr="001E13F5" w14:paraId="2AF259A7" w14:textId="77777777" w:rsidTr="00261DD3">
        <w:tc>
          <w:tcPr>
            <w:tcW w:w="797" w:type="pct"/>
            <w:shd w:val="clear" w:color="auto" w:fill="auto"/>
          </w:tcPr>
          <w:p w14:paraId="192BE8E8" w14:textId="7CE6FDC5" w:rsidR="00871A83" w:rsidRPr="0096018B" w:rsidRDefault="00871A83" w:rsidP="00261DD3">
            <w:pPr>
              <w:rPr>
                <w:b/>
              </w:rPr>
            </w:pPr>
            <w:bookmarkStart w:id="57" w:name="_Toc377562336"/>
            <w:r w:rsidRPr="0096018B">
              <w:rPr>
                <w:b/>
              </w:rPr>
              <w:t>Ground</w:t>
            </w:r>
            <w:r w:rsidR="00261DD3">
              <w:rPr>
                <w:b/>
              </w:rPr>
              <w:t>-</w:t>
            </w:r>
            <w:r w:rsidRPr="0096018B">
              <w:rPr>
                <w:b/>
              </w:rPr>
              <w:t>water</w:t>
            </w:r>
            <w:bookmarkEnd w:id="57"/>
          </w:p>
        </w:tc>
        <w:tc>
          <w:tcPr>
            <w:tcW w:w="2074" w:type="pct"/>
            <w:gridSpan w:val="2"/>
          </w:tcPr>
          <w:p w14:paraId="4492C9B9" w14:textId="77777777" w:rsidR="00871A83" w:rsidRPr="001E13F5" w:rsidRDefault="00871A83" w:rsidP="00261DD3">
            <w:bookmarkStart w:id="58" w:name="_Toc377562337"/>
            <w:r w:rsidRPr="001E13F5">
              <w:t>Adequate depth of soil to protect groundwater resources largely depends on soil type and climate.</w:t>
            </w:r>
            <w:bookmarkEnd w:id="58"/>
          </w:p>
        </w:tc>
        <w:tc>
          <w:tcPr>
            <w:tcW w:w="2129" w:type="pct"/>
            <w:gridSpan w:val="3"/>
            <w:shd w:val="clear" w:color="auto" w:fill="auto"/>
          </w:tcPr>
          <w:p w14:paraId="4E5195F3" w14:textId="77777777" w:rsidR="00871A83" w:rsidRPr="001E13F5" w:rsidRDefault="00871A83" w:rsidP="00261DD3">
            <w:bookmarkStart w:id="59" w:name="_Toc377562338"/>
            <w:r w:rsidRPr="001E13F5">
              <w:t>Note the presence of bores on the site or in the locality, and depth of any standing water in pits or bores.</w:t>
            </w:r>
            <w:bookmarkEnd w:id="59"/>
          </w:p>
        </w:tc>
      </w:tr>
      <w:tr w:rsidR="00871A83" w:rsidRPr="001E13F5" w14:paraId="354B9D18" w14:textId="77777777" w:rsidTr="00261DD3">
        <w:tc>
          <w:tcPr>
            <w:tcW w:w="797" w:type="pct"/>
            <w:shd w:val="clear" w:color="auto" w:fill="auto"/>
          </w:tcPr>
          <w:p w14:paraId="2219CE29" w14:textId="231F142B" w:rsidR="00871A83" w:rsidRPr="0096018B" w:rsidRDefault="00871A83" w:rsidP="00261DD3">
            <w:pPr>
              <w:rPr>
                <w:b/>
              </w:rPr>
            </w:pPr>
            <w:bookmarkStart w:id="60" w:name="_Toc377562339"/>
            <w:r w:rsidRPr="0096018B">
              <w:rPr>
                <w:b/>
              </w:rPr>
              <w:t>Land</w:t>
            </w:r>
            <w:bookmarkStart w:id="61" w:name="_Toc377562340"/>
            <w:bookmarkEnd w:id="60"/>
            <w:r w:rsidR="00261DD3">
              <w:rPr>
                <w:b/>
              </w:rPr>
              <w:t xml:space="preserve"> </w:t>
            </w:r>
            <w:r w:rsidRPr="0096018B">
              <w:rPr>
                <w:b/>
              </w:rPr>
              <w:t>Suitability</w:t>
            </w:r>
            <w:bookmarkEnd w:id="61"/>
          </w:p>
        </w:tc>
        <w:tc>
          <w:tcPr>
            <w:tcW w:w="2074" w:type="pct"/>
            <w:gridSpan w:val="2"/>
          </w:tcPr>
          <w:p w14:paraId="5306B629" w14:textId="77777777" w:rsidR="00871A83" w:rsidRPr="001E13F5" w:rsidRDefault="00871A83" w:rsidP="00261DD3">
            <w:bookmarkStart w:id="62" w:name="_Toc377562341"/>
            <w:r w:rsidRPr="001E13F5">
              <w:t>An LCA is used to determine which land is suitable and unsuitable for LAAs.</w:t>
            </w:r>
            <w:bookmarkEnd w:id="62"/>
            <w:r w:rsidRPr="001E13F5">
              <w:t xml:space="preserve"> </w:t>
            </w:r>
          </w:p>
        </w:tc>
        <w:tc>
          <w:tcPr>
            <w:tcW w:w="2129" w:type="pct"/>
            <w:gridSpan w:val="3"/>
            <w:shd w:val="clear" w:color="auto" w:fill="auto"/>
          </w:tcPr>
          <w:p w14:paraId="438736BC" w14:textId="77777777" w:rsidR="00871A83" w:rsidRPr="001E13F5" w:rsidRDefault="00871A83" w:rsidP="00261DD3">
            <w:bookmarkStart w:id="63" w:name="_Toc377562342"/>
            <w:r w:rsidRPr="001E13F5">
              <w:t>Areas that are unsuitable for LAAs should be excluded to determine available LAA on the site. A number of small and separate areas  are often not suitable for LAAs.</w:t>
            </w:r>
            <w:bookmarkEnd w:id="63"/>
          </w:p>
        </w:tc>
      </w:tr>
      <w:tr w:rsidR="00871A83" w:rsidRPr="001E13F5" w14:paraId="00F04F97" w14:textId="77777777" w:rsidTr="00261DD3">
        <w:tc>
          <w:tcPr>
            <w:tcW w:w="797" w:type="pct"/>
            <w:shd w:val="clear" w:color="auto" w:fill="auto"/>
          </w:tcPr>
          <w:p w14:paraId="30D6708B" w14:textId="77777777" w:rsidR="00871A83" w:rsidRPr="0096018B" w:rsidRDefault="00871A83" w:rsidP="00261DD3">
            <w:pPr>
              <w:rPr>
                <w:b/>
              </w:rPr>
            </w:pPr>
            <w:bookmarkStart w:id="64" w:name="_Toc377562343"/>
            <w:r w:rsidRPr="0096018B">
              <w:rPr>
                <w:b/>
              </w:rPr>
              <w:t>Landform</w:t>
            </w:r>
            <w:bookmarkEnd w:id="64"/>
          </w:p>
        </w:tc>
        <w:tc>
          <w:tcPr>
            <w:tcW w:w="2074" w:type="pct"/>
            <w:gridSpan w:val="2"/>
          </w:tcPr>
          <w:p w14:paraId="2DA861A2" w14:textId="77777777" w:rsidR="00871A83" w:rsidRPr="001E13F5" w:rsidRDefault="00871A83" w:rsidP="00261DD3">
            <w:bookmarkStart w:id="65" w:name="_Toc377562344"/>
            <w:r w:rsidRPr="001E13F5">
              <w:t>Landform shape and the position of LAAs on slopes influence drainage and runoff characteristics both onto any potential LAAs as well as downslope of them (i.e. will runoff be evenly shed, or concentrated or dispersed flows?).</w:t>
            </w:r>
            <w:bookmarkEnd w:id="65"/>
            <w:r w:rsidRPr="001E13F5">
              <w:t xml:space="preserve"> </w:t>
            </w:r>
          </w:p>
        </w:tc>
        <w:tc>
          <w:tcPr>
            <w:tcW w:w="2129" w:type="pct"/>
            <w:gridSpan w:val="3"/>
            <w:shd w:val="clear" w:color="auto" w:fill="auto"/>
          </w:tcPr>
          <w:p w14:paraId="2FB6553A" w14:textId="77777777" w:rsidR="00871A83" w:rsidRPr="001E13F5" w:rsidRDefault="00871A83" w:rsidP="00261DD3">
            <w:bookmarkStart w:id="66" w:name="_Toc377562345"/>
            <w:r w:rsidRPr="001E13F5">
              <w:t>Topographic maps can be used to assess broad landform (geomorphology), and specifics such as position on slope and shape of slope should be assessed in the field, especially for any LAAs.</w:t>
            </w:r>
            <w:bookmarkEnd w:id="66"/>
          </w:p>
        </w:tc>
      </w:tr>
      <w:tr w:rsidR="00871A83" w:rsidRPr="0096018B" w14:paraId="04C81B3C" w14:textId="77777777" w:rsidTr="00261DD3">
        <w:trPr>
          <w:gridAfter w:val="1"/>
          <w:wAfter w:w="72" w:type="pct"/>
        </w:trPr>
        <w:tc>
          <w:tcPr>
            <w:tcW w:w="868" w:type="pct"/>
            <w:gridSpan w:val="2"/>
            <w:shd w:val="clear" w:color="auto" w:fill="auto"/>
          </w:tcPr>
          <w:p w14:paraId="4E22F125" w14:textId="77777777" w:rsidR="00871A83" w:rsidRPr="0096018B" w:rsidRDefault="00871A83" w:rsidP="0096018B">
            <w:pPr>
              <w:rPr>
                <w:b/>
              </w:rPr>
            </w:pPr>
            <w:bookmarkStart w:id="67" w:name="_Toc377562346"/>
            <w:r w:rsidRPr="0096018B">
              <w:rPr>
                <w:b/>
              </w:rPr>
              <w:lastRenderedPageBreak/>
              <w:t>Feature</w:t>
            </w:r>
            <w:bookmarkEnd w:id="67"/>
          </w:p>
        </w:tc>
        <w:tc>
          <w:tcPr>
            <w:tcW w:w="2014" w:type="pct"/>
            <w:gridSpan w:val="2"/>
          </w:tcPr>
          <w:p w14:paraId="2D89FE02" w14:textId="77777777" w:rsidR="00871A83" w:rsidRPr="0096018B" w:rsidRDefault="00871A83" w:rsidP="0096018B">
            <w:pPr>
              <w:rPr>
                <w:b/>
              </w:rPr>
            </w:pPr>
            <w:bookmarkStart w:id="68" w:name="_Toc377562347"/>
            <w:r w:rsidRPr="0096018B">
              <w:rPr>
                <w:b/>
              </w:rPr>
              <w:t>Explanation</w:t>
            </w:r>
            <w:bookmarkEnd w:id="68"/>
          </w:p>
        </w:tc>
        <w:tc>
          <w:tcPr>
            <w:tcW w:w="2045" w:type="pct"/>
            <w:shd w:val="clear" w:color="auto" w:fill="auto"/>
          </w:tcPr>
          <w:p w14:paraId="21E261A1" w14:textId="77777777" w:rsidR="00871A83" w:rsidRPr="0096018B" w:rsidRDefault="00871A83" w:rsidP="0096018B">
            <w:pPr>
              <w:rPr>
                <w:b/>
              </w:rPr>
            </w:pPr>
            <w:bookmarkStart w:id="69" w:name="_Toc377562348"/>
            <w:r w:rsidRPr="0096018B">
              <w:rPr>
                <w:b/>
              </w:rPr>
              <w:t>Assessment Process</w:t>
            </w:r>
            <w:bookmarkEnd w:id="69"/>
          </w:p>
        </w:tc>
      </w:tr>
      <w:tr w:rsidR="00871A83" w:rsidRPr="001E13F5" w14:paraId="54F0CAE7" w14:textId="77777777" w:rsidTr="00261DD3">
        <w:trPr>
          <w:gridAfter w:val="1"/>
          <w:wAfter w:w="72" w:type="pct"/>
        </w:trPr>
        <w:tc>
          <w:tcPr>
            <w:tcW w:w="868" w:type="pct"/>
            <w:gridSpan w:val="2"/>
            <w:shd w:val="clear" w:color="auto" w:fill="auto"/>
          </w:tcPr>
          <w:p w14:paraId="0BC973B0" w14:textId="77777777" w:rsidR="00871A83" w:rsidRPr="0096018B" w:rsidRDefault="00871A83" w:rsidP="0096018B">
            <w:pPr>
              <w:rPr>
                <w:b/>
              </w:rPr>
            </w:pPr>
            <w:bookmarkStart w:id="70" w:name="_Toc377562349"/>
            <w:r w:rsidRPr="0096018B">
              <w:rPr>
                <w:b/>
              </w:rPr>
              <w:t>Rock Outcrops</w:t>
            </w:r>
            <w:bookmarkEnd w:id="70"/>
          </w:p>
        </w:tc>
        <w:tc>
          <w:tcPr>
            <w:tcW w:w="2014" w:type="pct"/>
            <w:gridSpan w:val="2"/>
          </w:tcPr>
          <w:p w14:paraId="4A67E4D4" w14:textId="77777777" w:rsidR="00871A83" w:rsidRPr="001E13F5" w:rsidRDefault="00871A83" w:rsidP="0096018B">
            <w:bookmarkStart w:id="71" w:name="_Toc377562350"/>
            <w:r w:rsidRPr="001E13F5">
              <w:t>Rock outcrops displace soil horizons and therefore can limit the assimilative capacity of LAAs for effluent. Outcrops can indicate shallow bedrock. Some rocks are strongly fissured and permeable and others are not.</w:t>
            </w:r>
            <w:bookmarkEnd w:id="71"/>
          </w:p>
        </w:tc>
        <w:tc>
          <w:tcPr>
            <w:tcW w:w="2045" w:type="pct"/>
            <w:shd w:val="clear" w:color="auto" w:fill="auto"/>
          </w:tcPr>
          <w:p w14:paraId="0EC27435" w14:textId="77777777" w:rsidR="00871A83" w:rsidRPr="001E13F5" w:rsidRDefault="00871A83" w:rsidP="0096018B">
            <w:bookmarkStart w:id="72" w:name="_Toc377562351"/>
            <w:r w:rsidRPr="001E13F5">
              <w:t>Estimate the amount (% cover) and type of any rock protruding from the ground on the site.</w:t>
            </w:r>
            <w:bookmarkEnd w:id="72"/>
          </w:p>
        </w:tc>
      </w:tr>
      <w:tr w:rsidR="00871A83" w:rsidRPr="001E13F5" w14:paraId="16C3D212" w14:textId="77777777" w:rsidTr="00261DD3">
        <w:trPr>
          <w:gridAfter w:val="1"/>
          <w:wAfter w:w="72" w:type="pct"/>
        </w:trPr>
        <w:tc>
          <w:tcPr>
            <w:tcW w:w="868" w:type="pct"/>
            <w:gridSpan w:val="2"/>
            <w:shd w:val="clear" w:color="auto" w:fill="auto"/>
          </w:tcPr>
          <w:p w14:paraId="34A4DBDB" w14:textId="77777777" w:rsidR="00871A83" w:rsidRPr="0096018B" w:rsidRDefault="00871A83" w:rsidP="0096018B">
            <w:pPr>
              <w:rPr>
                <w:b/>
              </w:rPr>
            </w:pPr>
            <w:bookmarkStart w:id="73" w:name="_Toc377562352"/>
            <w:r w:rsidRPr="0096018B">
              <w:rPr>
                <w:b/>
              </w:rPr>
              <w:t>Setback Distances</w:t>
            </w:r>
            <w:bookmarkEnd w:id="73"/>
          </w:p>
        </w:tc>
        <w:tc>
          <w:tcPr>
            <w:tcW w:w="2014" w:type="pct"/>
            <w:gridSpan w:val="2"/>
          </w:tcPr>
          <w:p w14:paraId="33933587" w14:textId="77777777" w:rsidR="00871A83" w:rsidRPr="001E13F5" w:rsidRDefault="00871A83" w:rsidP="0096018B">
            <w:bookmarkStart w:id="74" w:name="_Toc377562353"/>
            <w:r w:rsidRPr="001E13F5">
              <w:t>Determining the most appropriate position for LAAs should be prioritised over placement of building areas.</w:t>
            </w:r>
            <w:bookmarkEnd w:id="74"/>
          </w:p>
        </w:tc>
        <w:tc>
          <w:tcPr>
            <w:tcW w:w="2045" w:type="pct"/>
            <w:shd w:val="clear" w:color="auto" w:fill="auto"/>
          </w:tcPr>
          <w:p w14:paraId="31795522" w14:textId="77777777" w:rsidR="00871A83" w:rsidRPr="001E13F5" w:rsidRDefault="00871A83" w:rsidP="0096018B">
            <w:bookmarkStart w:id="75" w:name="_Toc377562354"/>
            <w:r w:rsidRPr="001E13F5">
              <w:t>Note any constraints to required setback distances being met, e.g. lot size and shape.</w:t>
            </w:r>
            <w:bookmarkEnd w:id="75"/>
          </w:p>
        </w:tc>
      </w:tr>
      <w:tr w:rsidR="00871A83" w:rsidRPr="001E13F5" w14:paraId="335FD22B" w14:textId="77777777" w:rsidTr="00261DD3">
        <w:trPr>
          <w:gridAfter w:val="1"/>
          <w:wAfter w:w="72" w:type="pct"/>
        </w:trPr>
        <w:tc>
          <w:tcPr>
            <w:tcW w:w="868" w:type="pct"/>
            <w:gridSpan w:val="2"/>
            <w:shd w:val="clear" w:color="auto" w:fill="auto"/>
          </w:tcPr>
          <w:p w14:paraId="715EB269" w14:textId="77777777" w:rsidR="00871A83" w:rsidRPr="0096018B" w:rsidRDefault="00871A83" w:rsidP="0096018B">
            <w:pPr>
              <w:rPr>
                <w:b/>
              </w:rPr>
            </w:pPr>
            <w:bookmarkStart w:id="76" w:name="_Toc377562355"/>
            <w:r w:rsidRPr="0096018B">
              <w:rPr>
                <w:b/>
              </w:rPr>
              <w:t>Site Drainage</w:t>
            </w:r>
            <w:bookmarkEnd w:id="76"/>
          </w:p>
        </w:tc>
        <w:tc>
          <w:tcPr>
            <w:tcW w:w="2014" w:type="pct"/>
            <w:gridSpan w:val="2"/>
          </w:tcPr>
          <w:p w14:paraId="58EF56FC" w14:textId="77777777" w:rsidR="00871A83" w:rsidRPr="001E13F5" w:rsidRDefault="00871A83" w:rsidP="0096018B">
            <w:bookmarkStart w:id="77" w:name="_Toc377562356"/>
            <w:r w:rsidRPr="001E13F5">
              <w:t>LAAs should be located in areas of good surface and subsurface (soil) drainage.</w:t>
            </w:r>
            <w:bookmarkEnd w:id="77"/>
          </w:p>
        </w:tc>
        <w:tc>
          <w:tcPr>
            <w:tcW w:w="2045" w:type="pct"/>
            <w:shd w:val="clear" w:color="auto" w:fill="auto"/>
          </w:tcPr>
          <w:p w14:paraId="70E8F083" w14:textId="77777777" w:rsidR="00871A83" w:rsidRPr="001E13F5" w:rsidRDefault="00871A83" w:rsidP="0096018B">
            <w:bookmarkStart w:id="78" w:name="_Toc377562357"/>
            <w:r w:rsidRPr="001E13F5">
              <w:t>Determine whether rainfall will be shed (run off) or soak in, and note any waterlogged areas, which may be indicated by hydrophilic vegetation.</w:t>
            </w:r>
            <w:bookmarkEnd w:id="78"/>
          </w:p>
        </w:tc>
      </w:tr>
      <w:tr w:rsidR="00871A83" w:rsidRPr="001E13F5" w14:paraId="66FB7745" w14:textId="77777777" w:rsidTr="00261DD3">
        <w:trPr>
          <w:gridAfter w:val="1"/>
          <w:wAfter w:w="72" w:type="pct"/>
        </w:trPr>
        <w:tc>
          <w:tcPr>
            <w:tcW w:w="868" w:type="pct"/>
            <w:gridSpan w:val="2"/>
            <w:shd w:val="clear" w:color="auto" w:fill="auto"/>
          </w:tcPr>
          <w:p w14:paraId="7E0E89C5" w14:textId="77777777" w:rsidR="00871A83" w:rsidRPr="0096018B" w:rsidRDefault="00871A83" w:rsidP="0096018B">
            <w:pPr>
              <w:rPr>
                <w:b/>
              </w:rPr>
            </w:pPr>
            <w:bookmarkStart w:id="79" w:name="_Toc377562358"/>
            <w:r w:rsidRPr="0096018B">
              <w:rPr>
                <w:b/>
              </w:rPr>
              <w:t>Stormwater Run-on and Runoff</w:t>
            </w:r>
            <w:bookmarkEnd w:id="79"/>
          </w:p>
        </w:tc>
        <w:tc>
          <w:tcPr>
            <w:tcW w:w="2014" w:type="pct"/>
            <w:gridSpan w:val="2"/>
          </w:tcPr>
          <w:p w14:paraId="0EC835B8" w14:textId="77777777" w:rsidR="00871A83" w:rsidRPr="001E13F5" w:rsidRDefault="00871A83" w:rsidP="0096018B">
            <w:bookmarkStart w:id="80" w:name="_Toc377562359"/>
            <w:r w:rsidRPr="001E13F5">
              <w:t>LAAs should not be located in areas with high run-on, without mitigation such as upslope diversion structures. Downslope runoff diversion may be useful.</w:t>
            </w:r>
            <w:bookmarkEnd w:id="80"/>
          </w:p>
        </w:tc>
        <w:tc>
          <w:tcPr>
            <w:tcW w:w="2045" w:type="pct"/>
            <w:shd w:val="clear" w:color="auto" w:fill="auto"/>
          </w:tcPr>
          <w:p w14:paraId="31C17D94" w14:textId="77777777" w:rsidR="00871A83" w:rsidRPr="001E13F5" w:rsidRDefault="00871A83" w:rsidP="0096018B">
            <w:bookmarkStart w:id="81" w:name="_Toc377562360"/>
            <w:r w:rsidRPr="001E13F5">
              <w:t>Note evidence of run-on to potential LAAs (such as sediment dams and wet ground) and determine likely flow path(s) of runoff from LAAs.</w:t>
            </w:r>
            <w:bookmarkEnd w:id="81"/>
          </w:p>
        </w:tc>
      </w:tr>
      <w:tr w:rsidR="00871A83" w:rsidRPr="001E13F5" w14:paraId="14B47A16" w14:textId="77777777" w:rsidTr="00261DD3">
        <w:trPr>
          <w:gridAfter w:val="1"/>
          <w:wAfter w:w="72" w:type="pct"/>
        </w:trPr>
        <w:tc>
          <w:tcPr>
            <w:tcW w:w="868" w:type="pct"/>
            <w:gridSpan w:val="2"/>
            <w:shd w:val="clear" w:color="auto" w:fill="auto"/>
          </w:tcPr>
          <w:p w14:paraId="581B9078" w14:textId="77777777" w:rsidR="00871A83" w:rsidRPr="0096018B" w:rsidRDefault="00871A83" w:rsidP="0096018B">
            <w:pPr>
              <w:rPr>
                <w:b/>
              </w:rPr>
            </w:pPr>
            <w:bookmarkStart w:id="82" w:name="_Toc377562361"/>
            <w:r w:rsidRPr="0096018B">
              <w:rPr>
                <w:b/>
              </w:rPr>
              <w:t>Slope</w:t>
            </w:r>
            <w:bookmarkEnd w:id="82"/>
          </w:p>
        </w:tc>
        <w:tc>
          <w:tcPr>
            <w:tcW w:w="2014" w:type="pct"/>
            <w:gridSpan w:val="2"/>
          </w:tcPr>
          <w:p w14:paraId="348235D8" w14:textId="77777777" w:rsidR="00871A83" w:rsidRPr="001E13F5" w:rsidRDefault="00871A83" w:rsidP="0096018B">
            <w:bookmarkStart w:id="83" w:name="_Toc377562362"/>
            <w:r w:rsidRPr="001E13F5">
              <w:t>Land application of effluent becomes increasingly constrained with increasing slope gradient, increasing the chances of effluent runoff or subsurface seepage.</w:t>
            </w:r>
            <w:bookmarkEnd w:id="83"/>
          </w:p>
        </w:tc>
        <w:tc>
          <w:tcPr>
            <w:tcW w:w="2045" w:type="pct"/>
            <w:shd w:val="clear" w:color="auto" w:fill="auto"/>
          </w:tcPr>
          <w:p w14:paraId="025868AE" w14:textId="77777777" w:rsidR="00871A83" w:rsidRPr="001E13F5" w:rsidRDefault="00871A83" w:rsidP="0096018B">
            <w:bookmarkStart w:id="84" w:name="_Toc377562363"/>
            <w:r w:rsidRPr="001E13F5">
              <w:t>Slope can be measured in the field using a clinometer. Topographic contour lines on a site plan can also be used.</w:t>
            </w:r>
            <w:bookmarkEnd w:id="84"/>
          </w:p>
        </w:tc>
      </w:tr>
      <w:tr w:rsidR="00871A83" w:rsidRPr="001E13F5" w14:paraId="7ACF3E58" w14:textId="77777777" w:rsidTr="00261DD3">
        <w:trPr>
          <w:gridAfter w:val="1"/>
          <w:wAfter w:w="72" w:type="pct"/>
        </w:trPr>
        <w:tc>
          <w:tcPr>
            <w:tcW w:w="868" w:type="pct"/>
            <w:gridSpan w:val="2"/>
            <w:shd w:val="clear" w:color="auto" w:fill="auto"/>
          </w:tcPr>
          <w:p w14:paraId="6ABC4B2D" w14:textId="77777777" w:rsidR="00871A83" w:rsidRPr="0096018B" w:rsidRDefault="00871A83" w:rsidP="0096018B">
            <w:pPr>
              <w:rPr>
                <w:b/>
              </w:rPr>
            </w:pPr>
            <w:bookmarkStart w:id="85" w:name="_Toc377562364"/>
            <w:r w:rsidRPr="0096018B">
              <w:rPr>
                <w:b/>
              </w:rPr>
              <w:t>Surface Waters</w:t>
            </w:r>
            <w:bookmarkEnd w:id="85"/>
          </w:p>
        </w:tc>
        <w:tc>
          <w:tcPr>
            <w:tcW w:w="2014" w:type="pct"/>
            <w:gridSpan w:val="2"/>
          </w:tcPr>
          <w:p w14:paraId="549CDC22" w14:textId="77777777" w:rsidR="00871A83" w:rsidRPr="001E13F5" w:rsidRDefault="00871A83" w:rsidP="0096018B">
            <w:bookmarkStart w:id="86" w:name="_Toc377562365"/>
            <w:r w:rsidRPr="001E13F5">
              <w:t>Whether the setback distances specified in the Code can be achieved from LAAs.</w:t>
            </w:r>
            <w:bookmarkEnd w:id="86"/>
          </w:p>
        </w:tc>
        <w:tc>
          <w:tcPr>
            <w:tcW w:w="2045" w:type="pct"/>
            <w:shd w:val="clear" w:color="auto" w:fill="auto"/>
          </w:tcPr>
          <w:p w14:paraId="20B5D593" w14:textId="77777777" w:rsidR="00871A83" w:rsidRPr="001E13F5" w:rsidRDefault="00871A83" w:rsidP="0096018B">
            <w:bookmarkStart w:id="87" w:name="_Toc377562366"/>
            <w:r w:rsidRPr="001E13F5">
              <w:t>Distance of potential LAAs from ephemeral and permanent drainage lines, creeks, rivers, lakes, dams and all other surface waters.</w:t>
            </w:r>
            <w:bookmarkEnd w:id="87"/>
          </w:p>
        </w:tc>
      </w:tr>
      <w:tr w:rsidR="00871A83" w:rsidRPr="001E13F5" w14:paraId="25477601" w14:textId="77777777" w:rsidTr="00261DD3">
        <w:trPr>
          <w:gridAfter w:val="1"/>
          <w:wAfter w:w="72" w:type="pct"/>
        </w:trPr>
        <w:tc>
          <w:tcPr>
            <w:tcW w:w="868" w:type="pct"/>
            <w:gridSpan w:val="2"/>
            <w:shd w:val="clear" w:color="auto" w:fill="auto"/>
          </w:tcPr>
          <w:p w14:paraId="7B979CEB" w14:textId="77777777" w:rsidR="00871A83" w:rsidRPr="0096018B" w:rsidRDefault="00871A83" w:rsidP="0096018B">
            <w:pPr>
              <w:rPr>
                <w:b/>
              </w:rPr>
            </w:pPr>
            <w:bookmarkStart w:id="88" w:name="_Toc377562367"/>
            <w:r w:rsidRPr="0096018B">
              <w:rPr>
                <w:b/>
              </w:rPr>
              <w:t>Vegetation</w:t>
            </w:r>
            <w:bookmarkEnd w:id="88"/>
          </w:p>
        </w:tc>
        <w:tc>
          <w:tcPr>
            <w:tcW w:w="2014" w:type="pct"/>
            <w:gridSpan w:val="2"/>
          </w:tcPr>
          <w:p w14:paraId="026BD33E" w14:textId="77777777" w:rsidR="00871A83" w:rsidRPr="001E13F5" w:rsidRDefault="00871A83" w:rsidP="0096018B">
            <w:bookmarkStart w:id="89" w:name="_Toc377562368"/>
            <w:r w:rsidRPr="001E13F5">
              <w:t>Good vegetation cover is important to prevent erosion as well as for uptake of water and nutrients from effluent.</w:t>
            </w:r>
            <w:bookmarkEnd w:id="89"/>
            <w:r w:rsidRPr="001E13F5">
              <w:t xml:space="preserve"> </w:t>
            </w:r>
          </w:p>
        </w:tc>
        <w:tc>
          <w:tcPr>
            <w:tcW w:w="2045" w:type="pct"/>
            <w:shd w:val="clear" w:color="auto" w:fill="auto"/>
          </w:tcPr>
          <w:p w14:paraId="7D93AC57" w14:textId="77777777" w:rsidR="00871A83" w:rsidRPr="001E13F5" w:rsidRDefault="00871A83" w:rsidP="0096018B">
            <w:bookmarkStart w:id="90" w:name="_Toc377562369"/>
            <w:r w:rsidRPr="001E13F5">
              <w:t>Vegetation cover (%) and type (e.g. turf or woodland) should be determined or estimated.</w:t>
            </w:r>
            <w:bookmarkEnd w:id="90"/>
          </w:p>
        </w:tc>
      </w:tr>
    </w:tbl>
    <w:p w14:paraId="4CAB2FFC" w14:textId="419BC765" w:rsidR="00B60EAA" w:rsidRDefault="00B60EAA" w:rsidP="009E4853"/>
    <w:p w14:paraId="4186BA16" w14:textId="520B928D" w:rsidR="00871A83" w:rsidRPr="00261DD3" w:rsidRDefault="00B60EAA" w:rsidP="00261DD3">
      <w:pPr>
        <w:spacing w:after="0" w:line="240" w:lineRule="auto"/>
      </w:pPr>
      <w:r>
        <w:br w:type="page"/>
      </w:r>
      <w:r w:rsidR="00456BD1" w:rsidRPr="00456BD1">
        <w:rPr>
          <w:b/>
        </w:rPr>
        <w:lastRenderedPageBreak/>
        <w:t>4.4</w:t>
      </w:r>
      <w:r w:rsidR="00456BD1">
        <w:t xml:space="preserve"> </w:t>
      </w:r>
      <w:r w:rsidR="00871A83" w:rsidRPr="00B60EAA">
        <w:rPr>
          <w:b/>
        </w:rPr>
        <w:t>Soil Assessment</w:t>
      </w:r>
    </w:p>
    <w:p w14:paraId="689DC0E5" w14:textId="77777777" w:rsidR="00871A83" w:rsidRPr="006D4B7C" w:rsidRDefault="00871A83" w:rsidP="00261DD3">
      <w:r w:rsidRPr="006D4B7C">
        <w:t>Table 2 provides an overview of key soil physical and chemical features and how they can be assessed and interpreted in the context of onsite wastewater management. Assessment of each feature should be recorded in the field.</w:t>
      </w:r>
    </w:p>
    <w:p w14:paraId="06FE0868" w14:textId="6854A7CF" w:rsidR="00871A83" w:rsidRPr="00B60EAA" w:rsidRDefault="00871A83" w:rsidP="00B60EAA">
      <w:pPr>
        <w:rPr>
          <w:u w:val="single"/>
        </w:rPr>
      </w:pP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 2: description of key chemical and physical soil features"/>
        <w:tblDescription w:val="features described include: colour, acidity, conductivity, depth etc. and how they should be assessed"/>
      </w:tblPr>
      <w:tblGrid>
        <w:gridCol w:w="1663"/>
        <w:gridCol w:w="3858"/>
        <w:gridCol w:w="3917"/>
      </w:tblGrid>
      <w:tr w:rsidR="00851973" w:rsidRPr="0096018B" w14:paraId="4404DFAB" w14:textId="77777777" w:rsidTr="00851973">
        <w:trPr>
          <w:trHeight w:val="299"/>
        </w:trPr>
        <w:tc>
          <w:tcPr>
            <w:tcW w:w="5000" w:type="pct"/>
            <w:gridSpan w:val="3"/>
            <w:shd w:val="clear" w:color="auto" w:fill="D9D9D9" w:themeFill="background1" w:themeFillShade="D9"/>
          </w:tcPr>
          <w:p w14:paraId="15ADB4FC" w14:textId="12B69D86" w:rsidR="00851973" w:rsidRPr="00851973" w:rsidRDefault="00851973" w:rsidP="0096018B">
            <w:pPr>
              <w:rPr>
                <w:b/>
              </w:rPr>
            </w:pPr>
            <w:r w:rsidRPr="00851973">
              <w:rPr>
                <w:b/>
              </w:rPr>
              <w:t>Table 2: Description of Key Chemical and Physical Soil Features</w:t>
            </w:r>
          </w:p>
        </w:tc>
      </w:tr>
      <w:tr w:rsidR="00871A83" w:rsidRPr="0096018B" w14:paraId="4A7B30E0" w14:textId="77777777" w:rsidTr="00354BAF">
        <w:tc>
          <w:tcPr>
            <w:tcW w:w="881" w:type="pct"/>
            <w:shd w:val="clear" w:color="auto" w:fill="auto"/>
          </w:tcPr>
          <w:p w14:paraId="5A9530E2" w14:textId="77777777" w:rsidR="00871A83" w:rsidRPr="0096018B" w:rsidRDefault="00871A83" w:rsidP="0096018B">
            <w:pPr>
              <w:rPr>
                <w:b/>
              </w:rPr>
            </w:pPr>
            <w:bookmarkStart w:id="91" w:name="_Toc377562370"/>
            <w:r w:rsidRPr="0096018B">
              <w:rPr>
                <w:b/>
              </w:rPr>
              <w:t>Feature</w:t>
            </w:r>
            <w:bookmarkEnd w:id="91"/>
          </w:p>
        </w:tc>
        <w:tc>
          <w:tcPr>
            <w:tcW w:w="2044" w:type="pct"/>
          </w:tcPr>
          <w:p w14:paraId="2881234C" w14:textId="77777777" w:rsidR="00871A83" w:rsidRPr="0096018B" w:rsidRDefault="00871A83" w:rsidP="0096018B">
            <w:pPr>
              <w:rPr>
                <w:b/>
              </w:rPr>
            </w:pPr>
            <w:bookmarkStart w:id="92" w:name="_Toc377562371"/>
            <w:r w:rsidRPr="0096018B">
              <w:rPr>
                <w:b/>
              </w:rPr>
              <w:t>Explanation</w:t>
            </w:r>
            <w:bookmarkEnd w:id="92"/>
          </w:p>
        </w:tc>
        <w:tc>
          <w:tcPr>
            <w:tcW w:w="2075" w:type="pct"/>
            <w:shd w:val="clear" w:color="auto" w:fill="auto"/>
          </w:tcPr>
          <w:p w14:paraId="7D33E23D" w14:textId="77777777" w:rsidR="00871A83" w:rsidRPr="0096018B" w:rsidRDefault="00871A83" w:rsidP="0096018B">
            <w:pPr>
              <w:rPr>
                <w:b/>
              </w:rPr>
            </w:pPr>
            <w:bookmarkStart w:id="93" w:name="_Toc377562372"/>
            <w:r w:rsidRPr="0096018B">
              <w:rPr>
                <w:b/>
              </w:rPr>
              <w:t>Assessment Process</w:t>
            </w:r>
            <w:bookmarkEnd w:id="93"/>
          </w:p>
        </w:tc>
      </w:tr>
      <w:tr w:rsidR="00871A83" w:rsidRPr="00B60EAA" w14:paraId="115E8569" w14:textId="77777777" w:rsidTr="00354BAF">
        <w:tc>
          <w:tcPr>
            <w:tcW w:w="881" w:type="pct"/>
            <w:shd w:val="clear" w:color="auto" w:fill="auto"/>
          </w:tcPr>
          <w:p w14:paraId="730EDECF" w14:textId="77777777" w:rsidR="00871A83" w:rsidRPr="0096018B" w:rsidRDefault="00871A83" w:rsidP="0096018B">
            <w:pPr>
              <w:rPr>
                <w:b/>
              </w:rPr>
            </w:pPr>
            <w:bookmarkStart w:id="94" w:name="_Toc377562373"/>
            <w:r w:rsidRPr="0096018B">
              <w:rPr>
                <w:b/>
              </w:rPr>
              <w:t>Cation Exchange Capacity</w:t>
            </w:r>
            <w:bookmarkEnd w:id="94"/>
          </w:p>
        </w:tc>
        <w:tc>
          <w:tcPr>
            <w:tcW w:w="2044" w:type="pct"/>
          </w:tcPr>
          <w:p w14:paraId="1C869872" w14:textId="77777777" w:rsidR="00871A83" w:rsidRPr="00B60EAA" w:rsidRDefault="00871A83" w:rsidP="0096018B">
            <w:bookmarkStart w:id="95" w:name="_Toc377562374"/>
            <w:r w:rsidRPr="00B60EAA">
              <w:t>Influences the ability of the soil to hold and exchange cations; a major controlling agent for soil structural stability, nutrient availability for plants and the soil’s reaction to fertilisers and other ameliorants (refer to Hazelton &amp; Murphy, 2007).</w:t>
            </w:r>
            <w:bookmarkEnd w:id="95"/>
          </w:p>
        </w:tc>
        <w:tc>
          <w:tcPr>
            <w:tcW w:w="2075" w:type="pct"/>
            <w:shd w:val="clear" w:color="auto" w:fill="auto"/>
          </w:tcPr>
          <w:p w14:paraId="729320CE" w14:textId="77777777" w:rsidR="00871A83" w:rsidRPr="00B60EAA" w:rsidRDefault="00871A83" w:rsidP="0096018B">
            <w:bookmarkStart w:id="96" w:name="_Toc377562375"/>
            <w:r w:rsidRPr="00B60EAA">
              <w:t>Recommended for soils suspected to have low fertility. This test is undertaken in a suitable soil testing laboratory and is a precursor for measuring sodicity.</w:t>
            </w:r>
            <w:bookmarkEnd w:id="96"/>
          </w:p>
        </w:tc>
      </w:tr>
      <w:tr w:rsidR="00871A83" w:rsidRPr="00B60EAA" w14:paraId="5D3E8E3A" w14:textId="77777777" w:rsidTr="00354BAF">
        <w:tc>
          <w:tcPr>
            <w:tcW w:w="881" w:type="pct"/>
            <w:shd w:val="clear" w:color="auto" w:fill="auto"/>
          </w:tcPr>
          <w:p w14:paraId="7230C94F" w14:textId="77777777" w:rsidR="00871A83" w:rsidRPr="0096018B" w:rsidRDefault="00871A83" w:rsidP="0096018B">
            <w:pPr>
              <w:rPr>
                <w:b/>
              </w:rPr>
            </w:pPr>
            <w:bookmarkStart w:id="97" w:name="_Toc377562376"/>
            <w:r w:rsidRPr="0096018B">
              <w:rPr>
                <w:b/>
              </w:rPr>
              <w:t>Colour and Mottling</w:t>
            </w:r>
            <w:bookmarkEnd w:id="97"/>
          </w:p>
        </w:tc>
        <w:tc>
          <w:tcPr>
            <w:tcW w:w="2044" w:type="pct"/>
          </w:tcPr>
          <w:p w14:paraId="54A7D66E" w14:textId="77777777" w:rsidR="00871A83" w:rsidRPr="00B60EAA" w:rsidRDefault="00871A83" w:rsidP="0096018B">
            <w:bookmarkStart w:id="98" w:name="_Toc377562377"/>
            <w:r w:rsidRPr="00B60EAA">
              <w:t>Gleyed soils indicate permanent saturation (permanent watertable), while orange, yellow and red mottles indicate seasonal saturation with intermittent periods of drying (perched or seasonal watertable).</w:t>
            </w:r>
            <w:bookmarkEnd w:id="98"/>
          </w:p>
        </w:tc>
        <w:tc>
          <w:tcPr>
            <w:tcW w:w="2075" w:type="pct"/>
            <w:shd w:val="clear" w:color="auto" w:fill="auto"/>
          </w:tcPr>
          <w:p w14:paraId="45DA2808" w14:textId="77777777" w:rsidR="00871A83" w:rsidRPr="00B60EAA" w:rsidRDefault="00871A83" w:rsidP="0096018B">
            <w:bookmarkStart w:id="99" w:name="_Toc377562378"/>
            <w:r w:rsidRPr="00B60EAA">
              <w:t>Describe the soil, including the dominant soil colour (using Munsell soil colour chart) and the proportion and colour of any mottling or gleying (soil that is greyish, bluish or greenish) in each soil horizon. Include a photograph to illustrate.</w:t>
            </w:r>
            <w:bookmarkEnd w:id="99"/>
          </w:p>
        </w:tc>
      </w:tr>
      <w:tr w:rsidR="00871A83" w:rsidRPr="00B60EAA" w14:paraId="239C10EB" w14:textId="77777777" w:rsidTr="00354BAF">
        <w:tc>
          <w:tcPr>
            <w:tcW w:w="881" w:type="pct"/>
            <w:shd w:val="clear" w:color="auto" w:fill="auto"/>
          </w:tcPr>
          <w:p w14:paraId="43E3204F" w14:textId="77777777" w:rsidR="00871A83" w:rsidRPr="0096018B" w:rsidRDefault="00871A83" w:rsidP="0096018B">
            <w:pPr>
              <w:rPr>
                <w:b/>
              </w:rPr>
            </w:pPr>
            <w:bookmarkStart w:id="100" w:name="_Toc377562379"/>
            <w:r w:rsidRPr="0096018B">
              <w:rPr>
                <w:b/>
              </w:rPr>
              <w:t>Electrical Conductivity</w:t>
            </w:r>
            <w:bookmarkEnd w:id="100"/>
          </w:p>
          <w:p w14:paraId="7B5B5D59" w14:textId="77777777" w:rsidR="00871A83" w:rsidRPr="0096018B" w:rsidRDefault="00871A83" w:rsidP="0096018B">
            <w:pPr>
              <w:rPr>
                <w:b/>
              </w:rPr>
            </w:pPr>
            <w:bookmarkStart w:id="101" w:name="_Toc377562380"/>
            <w:r w:rsidRPr="0096018B">
              <w:rPr>
                <w:b/>
              </w:rPr>
              <w:t>(EC)</w:t>
            </w:r>
            <w:bookmarkEnd w:id="101"/>
          </w:p>
        </w:tc>
        <w:tc>
          <w:tcPr>
            <w:tcW w:w="2044" w:type="pct"/>
          </w:tcPr>
          <w:p w14:paraId="7B1919B0" w14:textId="77777777" w:rsidR="00871A83" w:rsidRPr="00B60EAA" w:rsidRDefault="00871A83" w:rsidP="0096018B">
            <w:bookmarkStart w:id="102" w:name="_Toc377562381"/>
            <w:r w:rsidRPr="00B60EAA">
              <w:t>EC test result infers the salinity of the soil and its potential impact on plant growth on the LAA. Refer to Hazelton &amp; Murphy (2007) for interpretation of EC test results. Application of effluent increases salt content of soils over time.</w:t>
            </w:r>
            <w:bookmarkEnd w:id="102"/>
          </w:p>
        </w:tc>
        <w:tc>
          <w:tcPr>
            <w:tcW w:w="2075" w:type="pct"/>
            <w:shd w:val="clear" w:color="auto" w:fill="auto"/>
          </w:tcPr>
          <w:p w14:paraId="0CFB669B" w14:textId="77777777" w:rsidR="00871A83" w:rsidRPr="00B60EAA" w:rsidRDefault="00871A83" w:rsidP="0096018B">
            <w:bookmarkStart w:id="103" w:name="_Toc377562382"/>
            <w:r w:rsidRPr="00B60EAA">
              <w:t>This cheap and simple test measures the amount of dissolved salts and can be undertaken using a hand-held meter using 1:5 soil:water suspension, or in a suitable soil testing laboratory.</w:t>
            </w:r>
            <w:bookmarkEnd w:id="103"/>
          </w:p>
        </w:tc>
      </w:tr>
    </w:tbl>
    <w:p w14:paraId="761D2531" w14:textId="77777777" w:rsidR="00B60EAA" w:rsidRDefault="00B60EAA">
      <w:pPr>
        <w:spacing w:after="0" w:line="240" w:lineRule="auto"/>
        <w:rPr>
          <w:rFonts w:cs="Arial"/>
          <w:sz w:val="20"/>
          <w:szCs w:val="20"/>
        </w:rPr>
      </w:pPr>
      <w:r>
        <w:rPr>
          <w:rFonts w:cs="Arial"/>
          <w:sz w:val="20"/>
          <w:szCs w:val="20"/>
        </w:rPr>
        <w:br w:type="page"/>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s above"/>
        <w:tblDescription w:val="features described include: colour, acidity, conductivity, depth etc. and how they should be assessed"/>
      </w:tblPr>
      <w:tblGrid>
        <w:gridCol w:w="1769"/>
        <w:gridCol w:w="3805"/>
        <w:gridCol w:w="3864"/>
      </w:tblGrid>
      <w:tr w:rsidR="00871A83" w:rsidRPr="0096018B" w:rsidDel="006C582A" w14:paraId="4DEF5DC7" w14:textId="77777777" w:rsidTr="00851973">
        <w:trPr>
          <w:cantSplit/>
          <w:tblHeader/>
        </w:trPr>
        <w:tc>
          <w:tcPr>
            <w:tcW w:w="937" w:type="pct"/>
            <w:shd w:val="clear" w:color="auto" w:fill="auto"/>
          </w:tcPr>
          <w:p w14:paraId="35B847DC" w14:textId="77777777" w:rsidR="00871A83" w:rsidRPr="0096018B" w:rsidRDefault="00871A83" w:rsidP="0096018B">
            <w:pPr>
              <w:rPr>
                <w:b/>
              </w:rPr>
            </w:pPr>
            <w:bookmarkStart w:id="104" w:name="_Toc377562383"/>
            <w:r w:rsidRPr="0096018B">
              <w:rPr>
                <w:b/>
              </w:rPr>
              <w:lastRenderedPageBreak/>
              <w:t>Feature</w:t>
            </w:r>
            <w:bookmarkEnd w:id="104"/>
          </w:p>
        </w:tc>
        <w:tc>
          <w:tcPr>
            <w:tcW w:w="2016" w:type="pct"/>
          </w:tcPr>
          <w:p w14:paraId="79A987B4" w14:textId="77777777" w:rsidR="00871A83" w:rsidRPr="0096018B" w:rsidRDefault="00871A83" w:rsidP="0096018B">
            <w:pPr>
              <w:rPr>
                <w:b/>
              </w:rPr>
            </w:pPr>
            <w:bookmarkStart w:id="105" w:name="_Toc377562384"/>
            <w:r w:rsidRPr="0096018B">
              <w:rPr>
                <w:b/>
              </w:rPr>
              <w:t>Explanation</w:t>
            </w:r>
            <w:bookmarkEnd w:id="105"/>
          </w:p>
        </w:tc>
        <w:tc>
          <w:tcPr>
            <w:tcW w:w="2047" w:type="pct"/>
            <w:shd w:val="clear" w:color="auto" w:fill="auto"/>
          </w:tcPr>
          <w:p w14:paraId="77C7FAD9" w14:textId="77777777" w:rsidR="00871A83" w:rsidRPr="0096018B" w:rsidRDefault="00871A83" w:rsidP="0096018B">
            <w:pPr>
              <w:rPr>
                <w:b/>
              </w:rPr>
            </w:pPr>
            <w:bookmarkStart w:id="106" w:name="_Toc377562385"/>
            <w:r w:rsidRPr="0096018B">
              <w:rPr>
                <w:b/>
              </w:rPr>
              <w:t>Assessment Process</w:t>
            </w:r>
            <w:bookmarkEnd w:id="106"/>
          </w:p>
        </w:tc>
      </w:tr>
      <w:tr w:rsidR="00871A83" w:rsidRPr="001E13F5" w:rsidDel="006C582A" w14:paraId="22370376" w14:textId="77777777" w:rsidTr="00851973">
        <w:trPr>
          <w:cantSplit/>
        </w:trPr>
        <w:tc>
          <w:tcPr>
            <w:tcW w:w="937" w:type="pct"/>
            <w:shd w:val="clear" w:color="auto" w:fill="auto"/>
          </w:tcPr>
          <w:p w14:paraId="72ED7A60" w14:textId="77777777" w:rsidR="00871A83" w:rsidRPr="0096018B" w:rsidRDefault="00871A83" w:rsidP="0096018B">
            <w:pPr>
              <w:rPr>
                <w:b/>
              </w:rPr>
            </w:pPr>
            <w:bookmarkStart w:id="107" w:name="_Toc377562386"/>
            <w:r w:rsidRPr="0096018B">
              <w:rPr>
                <w:b/>
              </w:rPr>
              <w:t>Emerson Aggregate Class</w:t>
            </w:r>
            <w:bookmarkEnd w:id="107"/>
          </w:p>
        </w:tc>
        <w:tc>
          <w:tcPr>
            <w:tcW w:w="2016" w:type="pct"/>
          </w:tcPr>
          <w:p w14:paraId="1B7CA1F9" w14:textId="77777777" w:rsidR="00871A83" w:rsidRPr="001E13F5" w:rsidRDefault="00871A83" w:rsidP="0096018B">
            <w:bookmarkStart w:id="108" w:name="_Toc377562387"/>
            <w:r w:rsidRPr="001E13F5">
              <w:t>EAC results infer dispersibility (as ped slaking, soil dispersion or both). LAAs should not be installed in soils with moderate or high dispersibility, without adequate mitigation (e.g. addition of gypsum, use of irrigation).</w:t>
            </w:r>
            <w:bookmarkEnd w:id="108"/>
          </w:p>
        </w:tc>
        <w:tc>
          <w:tcPr>
            <w:tcW w:w="2047" w:type="pct"/>
            <w:shd w:val="clear" w:color="auto" w:fill="auto"/>
          </w:tcPr>
          <w:p w14:paraId="175E92EB" w14:textId="77777777" w:rsidR="00871A83" w:rsidRPr="001E13F5" w:rsidRDefault="00871A83" w:rsidP="0096018B">
            <w:bookmarkStart w:id="109" w:name="_Toc377562388"/>
            <w:r w:rsidRPr="001E13F5">
              <w:t>The Emerson Aggregate Test (EAT) is used to assess soil dispersibility and susceptibility to erosion and degradation. Refer to Hazelton &amp; Murphy (2007) for test methodology. The EAT should be the first test of soil structure stability; if the soil is dispersive measuring its sodicity is highly desirable and can lead to a correct gypsum dosing recommendation.</w:t>
            </w:r>
            <w:bookmarkEnd w:id="109"/>
          </w:p>
        </w:tc>
      </w:tr>
      <w:tr w:rsidR="00871A83" w:rsidRPr="001E13F5" w:rsidDel="006C582A" w14:paraId="17D98FD1" w14:textId="77777777" w:rsidTr="00851973">
        <w:trPr>
          <w:cantSplit/>
        </w:trPr>
        <w:tc>
          <w:tcPr>
            <w:tcW w:w="937" w:type="pct"/>
            <w:shd w:val="clear" w:color="auto" w:fill="auto"/>
          </w:tcPr>
          <w:p w14:paraId="338C8149" w14:textId="77777777" w:rsidR="00871A83" w:rsidRPr="0096018B" w:rsidRDefault="00871A83" w:rsidP="0096018B">
            <w:pPr>
              <w:rPr>
                <w:b/>
              </w:rPr>
            </w:pPr>
            <w:bookmarkStart w:id="110" w:name="_Toc377562389"/>
            <w:r w:rsidRPr="0096018B">
              <w:rPr>
                <w:b/>
              </w:rPr>
              <w:t>Permeability and Design Loading Rate</w:t>
            </w:r>
            <w:bookmarkEnd w:id="110"/>
          </w:p>
        </w:tc>
        <w:tc>
          <w:tcPr>
            <w:tcW w:w="2016" w:type="pct"/>
          </w:tcPr>
          <w:p w14:paraId="3048A8EF" w14:textId="77777777" w:rsidR="00871A83" w:rsidRPr="001E13F5" w:rsidRDefault="00871A83" w:rsidP="0096018B">
            <w:bookmarkStart w:id="111" w:name="_Toc377562390"/>
            <w:r w:rsidRPr="001E13F5">
              <w:t>The rate at which water moves through the soil reflects the soil’s permeability and determines the rate at which effluent is applied to land in litres per square metre per day (mm per day). The application rate for each type of land dispersal and recycling system is listed in Table 9 in the Code. Whilst the loading rate for LAA design is based on the permeability, it is less than the true permeability.</w:t>
            </w:r>
            <w:bookmarkEnd w:id="111"/>
          </w:p>
        </w:tc>
        <w:tc>
          <w:tcPr>
            <w:tcW w:w="2047" w:type="pct"/>
            <w:shd w:val="clear" w:color="auto" w:fill="auto"/>
          </w:tcPr>
          <w:p w14:paraId="6E85A360" w14:textId="77777777" w:rsidR="00871A83" w:rsidRPr="001E13F5" w:rsidRDefault="00871A83" w:rsidP="0096018B">
            <w:bookmarkStart w:id="112" w:name="_Toc377562391"/>
            <w:r w:rsidRPr="001E13F5">
              <w:t>Generally, assessment of soil texture is adequate to determine soil permeability from AS/NZS1547:2012. The constant-head permeameter (AS/NSZ1547:2012) can also be used, but not if soils are waterlogged or shrink-swell cracks are present. NOTE that the falling-head percolation test is no longer considered acceptable by the EPA.</w:t>
            </w:r>
            <w:bookmarkEnd w:id="112"/>
          </w:p>
        </w:tc>
      </w:tr>
      <w:tr w:rsidR="00871A83" w:rsidRPr="001E13F5" w:rsidDel="006C582A" w14:paraId="4665E379" w14:textId="77777777" w:rsidTr="00851973">
        <w:trPr>
          <w:cantSplit/>
        </w:trPr>
        <w:tc>
          <w:tcPr>
            <w:tcW w:w="937" w:type="pct"/>
            <w:shd w:val="clear" w:color="auto" w:fill="auto"/>
          </w:tcPr>
          <w:p w14:paraId="106EF4A9" w14:textId="77777777" w:rsidR="00871A83" w:rsidRPr="0096018B" w:rsidRDefault="00871A83" w:rsidP="0096018B">
            <w:pPr>
              <w:rPr>
                <w:b/>
              </w:rPr>
            </w:pPr>
            <w:bookmarkStart w:id="113" w:name="_Toc377562392"/>
            <w:r w:rsidRPr="0096018B">
              <w:rPr>
                <w:b/>
              </w:rPr>
              <w:t>pH</w:t>
            </w:r>
            <w:bookmarkEnd w:id="113"/>
          </w:p>
        </w:tc>
        <w:tc>
          <w:tcPr>
            <w:tcW w:w="2016" w:type="pct"/>
          </w:tcPr>
          <w:p w14:paraId="0BAC9F8F" w14:textId="77777777" w:rsidR="00871A83" w:rsidRPr="001E13F5" w:rsidRDefault="00871A83" w:rsidP="0096018B">
            <w:bookmarkStart w:id="114" w:name="_Toc377562393"/>
            <w:r w:rsidRPr="001E13F5">
              <w:t>Acid soils (pH &lt;5) or alkaline soils (pH &gt;8) may constrain plant growth and should be ameliorated by use of chemical additives (e.g. lime for acidity).</w:t>
            </w:r>
            <w:bookmarkEnd w:id="114"/>
          </w:p>
        </w:tc>
        <w:tc>
          <w:tcPr>
            <w:tcW w:w="2047" w:type="pct"/>
            <w:shd w:val="clear" w:color="auto" w:fill="auto"/>
          </w:tcPr>
          <w:p w14:paraId="7871F235" w14:textId="77777777" w:rsidR="00871A83" w:rsidRPr="001E13F5" w:rsidRDefault="00871A83" w:rsidP="0096018B">
            <w:bookmarkStart w:id="115" w:name="_Toc377562394"/>
            <w:r w:rsidRPr="001E13F5">
              <w:t>This test can be undertaken using a soil pH test kit, a calibrated hand-held meter using 1:5 soil:water suspension, or in a suitable soil testing laboratory.</w:t>
            </w:r>
            <w:bookmarkEnd w:id="115"/>
          </w:p>
        </w:tc>
      </w:tr>
      <w:tr w:rsidR="00871A83" w:rsidRPr="001E13F5" w:rsidDel="006C582A" w14:paraId="7B2290C6" w14:textId="77777777" w:rsidTr="00851973">
        <w:trPr>
          <w:cantSplit/>
        </w:trPr>
        <w:tc>
          <w:tcPr>
            <w:tcW w:w="937" w:type="pct"/>
            <w:shd w:val="clear" w:color="auto" w:fill="auto"/>
          </w:tcPr>
          <w:p w14:paraId="4DD47B56" w14:textId="77777777" w:rsidR="00871A83" w:rsidRPr="0096018B" w:rsidDel="006C582A" w:rsidRDefault="00871A83" w:rsidP="0096018B">
            <w:pPr>
              <w:rPr>
                <w:b/>
              </w:rPr>
            </w:pPr>
            <w:bookmarkStart w:id="116" w:name="_Toc377562395"/>
            <w:r w:rsidRPr="0096018B">
              <w:rPr>
                <w:b/>
              </w:rPr>
              <w:t>Rock Fragments</w:t>
            </w:r>
            <w:bookmarkEnd w:id="116"/>
          </w:p>
        </w:tc>
        <w:tc>
          <w:tcPr>
            <w:tcW w:w="2016" w:type="pct"/>
          </w:tcPr>
          <w:p w14:paraId="6B8C7F09" w14:textId="77777777" w:rsidR="00871A83" w:rsidRPr="001E13F5" w:rsidDel="006C582A" w:rsidRDefault="00871A83" w:rsidP="0096018B">
            <w:bookmarkStart w:id="117" w:name="_Toc377562396"/>
            <w:r w:rsidRPr="001E13F5">
              <w:t>Coarse rock fragments displace soil volume and therefore can limit assimilative capacity of soils.</w:t>
            </w:r>
            <w:bookmarkEnd w:id="117"/>
          </w:p>
        </w:tc>
        <w:tc>
          <w:tcPr>
            <w:tcW w:w="2047" w:type="pct"/>
            <w:shd w:val="clear" w:color="auto" w:fill="auto"/>
          </w:tcPr>
          <w:p w14:paraId="07F27296" w14:textId="77777777" w:rsidR="00871A83" w:rsidRPr="001E13F5" w:rsidDel="006C582A" w:rsidRDefault="00871A83" w:rsidP="0096018B">
            <w:bookmarkStart w:id="118" w:name="_Toc377562397"/>
            <w:r w:rsidRPr="001E13F5">
              <w:t>Visually estimate the size and proportion of coarse rock fragments (pebbles etc.) in each horizon. Judge to see if rocks indicate shallow bedrock.</w:t>
            </w:r>
            <w:bookmarkEnd w:id="118"/>
          </w:p>
        </w:tc>
      </w:tr>
      <w:tr w:rsidR="00871A83" w:rsidRPr="001E13F5" w:rsidDel="006C582A" w14:paraId="4E7CF857" w14:textId="77777777" w:rsidTr="00851973">
        <w:trPr>
          <w:cantSplit/>
        </w:trPr>
        <w:tc>
          <w:tcPr>
            <w:tcW w:w="937" w:type="pct"/>
            <w:shd w:val="clear" w:color="auto" w:fill="auto"/>
          </w:tcPr>
          <w:p w14:paraId="7818E32E" w14:textId="77777777" w:rsidR="00871A83" w:rsidRPr="0096018B" w:rsidRDefault="00871A83" w:rsidP="0096018B">
            <w:pPr>
              <w:rPr>
                <w:b/>
              </w:rPr>
            </w:pPr>
            <w:bookmarkStart w:id="119" w:name="_Toc377562398"/>
            <w:r w:rsidRPr="0096018B">
              <w:rPr>
                <w:b/>
              </w:rPr>
              <w:lastRenderedPageBreak/>
              <w:t>Sodicity</w:t>
            </w:r>
            <w:bookmarkEnd w:id="119"/>
            <w:r w:rsidRPr="0096018B">
              <w:rPr>
                <w:b/>
              </w:rPr>
              <w:t xml:space="preserve"> </w:t>
            </w:r>
          </w:p>
          <w:p w14:paraId="6DD04116" w14:textId="77777777" w:rsidR="00871A83" w:rsidRPr="0096018B" w:rsidDel="006C582A" w:rsidRDefault="00871A83" w:rsidP="0096018B">
            <w:pPr>
              <w:rPr>
                <w:b/>
              </w:rPr>
            </w:pPr>
            <w:bookmarkStart w:id="120" w:name="_Toc377562399"/>
            <w:r w:rsidRPr="0096018B">
              <w:rPr>
                <w:b/>
              </w:rPr>
              <w:t>[Exchangeable Sodium Percentage (ESP)]</w:t>
            </w:r>
            <w:bookmarkEnd w:id="120"/>
          </w:p>
        </w:tc>
        <w:tc>
          <w:tcPr>
            <w:tcW w:w="2016" w:type="pct"/>
          </w:tcPr>
          <w:p w14:paraId="695DE00D" w14:textId="77777777" w:rsidR="00871A83" w:rsidRPr="001E13F5" w:rsidDel="006C582A" w:rsidRDefault="00871A83" w:rsidP="0096018B">
            <w:bookmarkStart w:id="121" w:name="_Toc377562400"/>
            <w:r w:rsidRPr="001E13F5">
              <w:t>The percentage of sodium compounds on cation exchange sites on soil particles. ESP &gt;6% may cause damage to the soil structure. Refer to Hazelton &amp; Murphy (2007). Effluent and greywater contain sodium.</w:t>
            </w:r>
            <w:bookmarkEnd w:id="121"/>
          </w:p>
        </w:tc>
        <w:tc>
          <w:tcPr>
            <w:tcW w:w="2047" w:type="pct"/>
            <w:shd w:val="clear" w:color="auto" w:fill="auto"/>
          </w:tcPr>
          <w:p w14:paraId="516944B0" w14:textId="77777777" w:rsidR="00871A83" w:rsidRPr="001E13F5" w:rsidDel="006C582A" w:rsidRDefault="00871A83" w:rsidP="0096018B">
            <w:bookmarkStart w:id="122" w:name="_Toc377562401"/>
            <w:r w:rsidRPr="001E13F5">
              <w:t>Recommended for soils or effluent suspected to have elevated sodium levels, especially soils that disperse in water, producing turbidity. This test is undertaken in a suitable soil testing laboratory, in conjunction with testing cation exchange capacity and exchangeable cations.</w:t>
            </w:r>
            <w:bookmarkEnd w:id="122"/>
          </w:p>
        </w:tc>
      </w:tr>
      <w:tr w:rsidR="00871A83" w:rsidRPr="001E13F5" w:rsidDel="006C582A" w14:paraId="62F41E30" w14:textId="77777777" w:rsidTr="00851973">
        <w:trPr>
          <w:cantSplit/>
        </w:trPr>
        <w:tc>
          <w:tcPr>
            <w:tcW w:w="937" w:type="pct"/>
            <w:shd w:val="clear" w:color="auto" w:fill="auto"/>
          </w:tcPr>
          <w:p w14:paraId="2B500ABB" w14:textId="77777777" w:rsidR="00871A83" w:rsidRPr="0096018B" w:rsidDel="006C582A" w:rsidRDefault="00871A83" w:rsidP="0096018B">
            <w:pPr>
              <w:rPr>
                <w:b/>
              </w:rPr>
            </w:pPr>
            <w:bookmarkStart w:id="123" w:name="_Toc377562402"/>
            <w:r w:rsidRPr="0096018B">
              <w:rPr>
                <w:b/>
              </w:rPr>
              <w:t>Sodium Absorption Ratio (SAR)</w:t>
            </w:r>
            <w:bookmarkEnd w:id="123"/>
          </w:p>
        </w:tc>
        <w:tc>
          <w:tcPr>
            <w:tcW w:w="2016" w:type="pct"/>
          </w:tcPr>
          <w:p w14:paraId="38B87BB4" w14:textId="77777777" w:rsidR="00871A83" w:rsidRPr="001E13F5" w:rsidDel="006C582A" w:rsidRDefault="00871A83" w:rsidP="0096018B">
            <w:bookmarkStart w:id="124" w:name="_Toc377562403"/>
            <w:r w:rsidRPr="001E13F5">
              <w:t>The ratio of sodium to calcium and magnesium (beneficial elements) in the soil solution, with higher ratios potentially damaging to plants and soils.</w:t>
            </w:r>
            <w:bookmarkEnd w:id="124"/>
          </w:p>
        </w:tc>
        <w:tc>
          <w:tcPr>
            <w:tcW w:w="2047" w:type="pct"/>
            <w:shd w:val="clear" w:color="auto" w:fill="auto"/>
          </w:tcPr>
          <w:p w14:paraId="186E8514" w14:textId="77777777" w:rsidR="00871A83" w:rsidRPr="001E13F5" w:rsidDel="006C582A" w:rsidRDefault="00871A83" w:rsidP="0096018B">
            <w:bookmarkStart w:id="125" w:name="_Toc377562404"/>
            <w:r w:rsidRPr="001E13F5">
              <w:t>Recommended for soils or effluent suspected to have elevated sodium levels, especially soils that disperse in water, producing turbidity. This test is undertaken in a suitable soil testing laboratory.</w:t>
            </w:r>
            <w:bookmarkEnd w:id="125"/>
          </w:p>
        </w:tc>
      </w:tr>
      <w:tr w:rsidR="00871A83" w:rsidRPr="001E13F5" w:rsidDel="006C582A" w14:paraId="6195C812" w14:textId="77777777" w:rsidTr="00851973">
        <w:trPr>
          <w:cantSplit/>
        </w:trPr>
        <w:tc>
          <w:tcPr>
            <w:tcW w:w="937" w:type="pct"/>
            <w:shd w:val="clear" w:color="auto" w:fill="auto"/>
          </w:tcPr>
          <w:p w14:paraId="4A37140B" w14:textId="77777777" w:rsidR="00871A83" w:rsidRPr="0096018B" w:rsidDel="006C582A" w:rsidRDefault="00871A83" w:rsidP="0096018B">
            <w:pPr>
              <w:rPr>
                <w:b/>
              </w:rPr>
            </w:pPr>
            <w:bookmarkStart w:id="126" w:name="_Toc377562405"/>
            <w:r w:rsidRPr="0096018B">
              <w:rPr>
                <w:b/>
              </w:rPr>
              <w:t>Soil Depth</w:t>
            </w:r>
            <w:bookmarkEnd w:id="126"/>
          </w:p>
        </w:tc>
        <w:tc>
          <w:tcPr>
            <w:tcW w:w="2016" w:type="pct"/>
          </w:tcPr>
          <w:p w14:paraId="3E08C675" w14:textId="77777777" w:rsidR="00871A83" w:rsidRPr="001E13F5" w:rsidDel="006C582A" w:rsidRDefault="00871A83" w:rsidP="0096018B">
            <w:bookmarkStart w:id="127" w:name="_Toc377562406"/>
            <w:r w:rsidRPr="001E13F5">
              <w:t>Deeper soils generally have a greater assimilative capacity for effluent (depending on soil type).</w:t>
            </w:r>
            <w:bookmarkEnd w:id="127"/>
          </w:p>
        </w:tc>
        <w:tc>
          <w:tcPr>
            <w:tcW w:w="2047" w:type="pct"/>
            <w:shd w:val="clear" w:color="auto" w:fill="auto"/>
          </w:tcPr>
          <w:p w14:paraId="71B255E3" w14:textId="77777777" w:rsidR="00871A83" w:rsidRPr="001E13F5" w:rsidDel="006C582A" w:rsidRDefault="00871A83" w:rsidP="0096018B">
            <w:bookmarkStart w:id="128" w:name="_Toc377562407"/>
            <w:r w:rsidRPr="001E13F5">
              <w:t>Comment on the total soil depth, using field investigation or other sources of information such as bore logs, as well as the thickness of each soil horizon, to adequately characterise the soil beneath the LAA. The Code requires description of soil characteristic details 1.5m below the base of the LAA.</w:t>
            </w:r>
            <w:bookmarkEnd w:id="128"/>
          </w:p>
        </w:tc>
      </w:tr>
      <w:tr w:rsidR="00871A83" w:rsidRPr="001E13F5" w:rsidDel="006C582A" w14:paraId="73D04D8C" w14:textId="77777777" w:rsidTr="00851973">
        <w:trPr>
          <w:cantSplit/>
        </w:trPr>
        <w:tc>
          <w:tcPr>
            <w:tcW w:w="937" w:type="pct"/>
            <w:shd w:val="clear" w:color="auto" w:fill="auto"/>
          </w:tcPr>
          <w:p w14:paraId="4A2935E0" w14:textId="77777777" w:rsidR="00871A83" w:rsidRPr="0096018B" w:rsidDel="006C582A" w:rsidRDefault="00871A83" w:rsidP="0096018B">
            <w:pPr>
              <w:rPr>
                <w:b/>
              </w:rPr>
            </w:pPr>
            <w:bookmarkStart w:id="129" w:name="_Toc377562408"/>
            <w:r w:rsidRPr="0096018B">
              <w:rPr>
                <w:b/>
              </w:rPr>
              <w:t>Soil Texture</w:t>
            </w:r>
            <w:bookmarkEnd w:id="129"/>
          </w:p>
        </w:tc>
        <w:tc>
          <w:tcPr>
            <w:tcW w:w="2016" w:type="pct"/>
          </w:tcPr>
          <w:p w14:paraId="2A04BC53" w14:textId="77777777" w:rsidR="00871A83" w:rsidRPr="001E13F5" w:rsidDel="006C582A" w:rsidRDefault="00871A83" w:rsidP="0096018B">
            <w:bookmarkStart w:id="130" w:name="_Toc377562409"/>
            <w:r w:rsidRPr="001E13F5">
              <w:t>Soil textures are categorised as 1. Gravels and Sands 2. Sandy Loams 3. Loams 4. Clay Loams 5. Light Clays, or 6. Medium to Heavy Clays (AS/NZS1547:2012).</w:t>
            </w:r>
            <w:bookmarkEnd w:id="130"/>
          </w:p>
        </w:tc>
        <w:tc>
          <w:tcPr>
            <w:tcW w:w="2047" w:type="pct"/>
            <w:shd w:val="clear" w:color="auto" w:fill="auto"/>
          </w:tcPr>
          <w:p w14:paraId="12B98FDA" w14:textId="77777777" w:rsidR="00871A83" w:rsidRPr="001E13F5" w:rsidDel="006C582A" w:rsidRDefault="00871A83" w:rsidP="0096018B">
            <w:bookmarkStart w:id="131" w:name="_Toc377562410"/>
            <w:r w:rsidRPr="001E13F5">
              <w:t>Use the Code and AS/NZS1547:2012 to analyse and identify the texture of each soil horizon. Refer also to McDonald et al. (1990).</w:t>
            </w:r>
            <w:bookmarkEnd w:id="131"/>
          </w:p>
        </w:tc>
      </w:tr>
      <w:tr w:rsidR="00871A83" w:rsidRPr="001E13F5" w:rsidDel="006C582A" w14:paraId="2B7B54B8" w14:textId="77777777" w:rsidTr="00851973">
        <w:trPr>
          <w:cantSplit/>
        </w:trPr>
        <w:tc>
          <w:tcPr>
            <w:tcW w:w="937" w:type="pct"/>
            <w:shd w:val="clear" w:color="auto" w:fill="auto"/>
          </w:tcPr>
          <w:p w14:paraId="193BEC46" w14:textId="77777777" w:rsidR="00871A83" w:rsidRPr="0096018B" w:rsidDel="006C582A" w:rsidRDefault="00871A83" w:rsidP="0096018B">
            <w:pPr>
              <w:rPr>
                <w:b/>
              </w:rPr>
            </w:pPr>
            <w:bookmarkStart w:id="132" w:name="_Toc377562411"/>
            <w:r w:rsidRPr="0096018B">
              <w:rPr>
                <w:b/>
              </w:rPr>
              <w:t xml:space="preserve">Watertable   </w:t>
            </w:r>
            <w:r w:rsidRPr="0096018B">
              <w:rPr>
                <w:b/>
              </w:rPr>
              <w:br/>
              <w:t>(depth to)</w:t>
            </w:r>
            <w:bookmarkEnd w:id="132"/>
          </w:p>
        </w:tc>
        <w:tc>
          <w:tcPr>
            <w:tcW w:w="2016" w:type="pct"/>
          </w:tcPr>
          <w:p w14:paraId="2AE3E903" w14:textId="77777777" w:rsidR="00871A83" w:rsidRPr="001E13F5" w:rsidDel="006C582A" w:rsidRDefault="00871A83" w:rsidP="0096018B">
            <w:bookmarkStart w:id="133" w:name="_Toc377562412"/>
            <w:r w:rsidRPr="001E13F5">
              <w:t>The required soil depth to protect groundwater depends on soil type; high permeability soils generally require a greater separation distance (soil depth).</w:t>
            </w:r>
            <w:bookmarkEnd w:id="133"/>
          </w:p>
        </w:tc>
        <w:tc>
          <w:tcPr>
            <w:tcW w:w="2047" w:type="pct"/>
            <w:shd w:val="clear" w:color="auto" w:fill="auto"/>
          </w:tcPr>
          <w:p w14:paraId="046ED8AF" w14:textId="77777777" w:rsidR="00871A83" w:rsidRPr="001E13F5" w:rsidDel="006C582A" w:rsidRDefault="00871A83" w:rsidP="0096018B">
            <w:bookmarkStart w:id="134" w:name="_Toc377562413"/>
            <w:r w:rsidRPr="001E13F5">
              <w:t>Distinguish between temporary (seasonal) perched watertables (mottling indicates wetting and drying) and permanent watertables.</w:t>
            </w:r>
            <w:bookmarkEnd w:id="134"/>
          </w:p>
        </w:tc>
      </w:tr>
    </w:tbl>
    <w:p w14:paraId="356DD197" w14:textId="77777777" w:rsidR="00871A83" w:rsidRPr="001E13F5" w:rsidRDefault="00871A83" w:rsidP="009E4853"/>
    <w:p w14:paraId="510E50EA" w14:textId="77777777" w:rsidR="00871A83" w:rsidRPr="001E13F5" w:rsidRDefault="00871A83" w:rsidP="00871A83">
      <w:pPr>
        <w:rPr>
          <w:rFonts w:cs="Arial"/>
        </w:rPr>
      </w:pPr>
      <w:r w:rsidRPr="001E13F5">
        <w:rPr>
          <w:rFonts w:cs="Arial"/>
        </w:rPr>
        <w:br w:type="page"/>
      </w:r>
    </w:p>
    <w:p w14:paraId="00E2A2E0" w14:textId="22B710DB" w:rsidR="00871A83" w:rsidRPr="006D4B7C" w:rsidRDefault="00871A83" w:rsidP="00B60EAA">
      <w:r w:rsidRPr="006D4B7C">
        <w:lastRenderedPageBreak/>
        <w:t>The purpose of the soil assessment is to assess the capability of the soils to sustainably assimilate the water, nutrient, salt and any pathogen content of treated effluent and to design an appropriate land application</w:t>
      </w:r>
      <w:r w:rsidR="001E13F5">
        <w:t xml:space="preserve"> system accordingly.</w:t>
      </w:r>
    </w:p>
    <w:p w14:paraId="390FD4D8" w14:textId="1A41EDFF" w:rsidR="00871A83" w:rsidRPr="006D4B7C" w:rsidRDefault="00871A83" w:rsidP="00B60EAA">
      <w:r w:rsidRPr="006D4B7C">
        <w:t>Cation exchange capacity, soil sodicity, pH, salinity and dispersiveness are closely linked properties. The soil holds common cations, positively charged ions, like calcium, magnesium, sodium, potassium, hydrogen and aluminium adsorbed to the negatively charged surfaces in the soil, especially clay and organic matter. All of these adsorbed cations can be exchanged for other cations, thus when there are too many sodium ions, which affect soil structure poorly and promote dispersion, adding calcium from gypsum, CaSO</w:t>
      </w:r>
      <w:r w:rsidRPr="006D4B7C">
        <w:rPr>
          <w:vertAlign w:val="subscript"/>
        </w:rPr>
        <w:t>4</w:t>
      </w:r>
      <w:r w:rsidRPr="006D4B7C">
        <w:t>, and water will cause some of the sodium ions to be liberated and able to be washed down the soil profile and out of the root zone. Soil structure stability is improved, dispersion is reduced and permeability is increased. Calcium should be the dominant exchangeable cation for a “good” LAA soil. Soils with high sodicity (exchangeable sodium) often have very high pH as well so that gypsum amendment can lower the pH. Extremely acidic soils are dominated by exchangeable hydrogen and aluminium and are very stable and non-dispersive. Soils with high salinity are usually not dispersive but the salinity may inhibit good vegetative growth on the LAA. Leaching high salinity soil with very low salt irrigation water, rain water, or low salt wastewater tends to increase sodicity, dispersiveness and can produce an almost impermeable soil. The above holds for soils with significant clay content. Sands have insignificant cation exchange capacity. Sodic and dispersive subsoils are extremely com</w:t>
      </w:r>
      <w:r w:rsidR="001E13F5">
        <w:t>mon in Victoria.</w:t>
      </w:r>
    </w:p>
    <w:p w14:paraId="5B0AD5DC" w14:textId="2B18FDE7" w:rsidR="00871A83" w:rsidRPr="006D4B7C" w:rsidRDefault="00871A83" w:rsidP="00B60EAA">
      <w:r w:rsidRPr="006D4B7C">
        <w:t>Soil characteristics in the field should be assessed by undertaking soil surveys and analyses, by use of hand-dug or augered test pits to a depth of at least 1.5 metres, as well as in-situ and/or subsequent testing of collected soil samples. Deeper test pits (2.0 metres or greater) are recommended for more detailed investigations and reporting, especially on constrained sites. It is important to have a clear picture of the nature and extent of any limiting soil features within 1.2 metres below the</w:t>
      </w:r>
      <w:r w:rsidR="001E13F5">
        <w:t xml:space="preserve"> base of the application field.</w:t>
      </w:r>
    </w:p>
    <w:p w14:paraId="2D8E94E7" w14:textId="118B5A65" w:rsidR="00871A83" w:rsidRPr="006D4B7C" w:rsidRDefault="00871A83" w:rsidP="00B60EAA">
      <w:r w:rsidRPr="006D4B7C">
        <w:t>It is recommended for single-lot residential developments that at least two hand-dug or augered test pits</w:t>
      </w:r>
      <w:r w:rsidRPr="006D4B7C" w:rsidDel="00093DBD">
        <w:t xml:space="preserve"> </w:t>
      </w:r>
      <w:r w:rsidRPr="006D4B7C">
        <w:t>are excavated in the proposed LAA. More would be required where the soils vary within the potential LAA. For a single-lot and sub-divisions sufficient hand-dug or augered test pits are required to adequately characterise the soils where multiple soil landscapes are mapped within the site boundaries or there are diverse landform elements present. Hand-dug or augered test pits</w:t>
      </w:r>
      <w:r w:rsidRPr="006D4B7C" w:rsidDel="00093DBD">
        <w:t xml:space="preserve"> </w:t>
      </w:r>
      <w:r w:rsidRPr="006D4B7C">
        <w:t>should be excavated in areas determined to be most suitable for effluent application, following desktop investigation and walk-over of the site. AS/NZS1547:2012 provides guidance on excavating test pits and holes</w:t>
      </w:r>
      <w:r w:rsidR="001E13F5">
        <w:t>.</w:t>
      </w:r>
    </w:p>
    <w:p w14:paraId="7751A0CC" w14:textId="667BCC83" w:rsidR="00871A83" w:rsidRPr="006D4B7C" w:rsidRDefault="00871A83" w:rsidP="00B60EAA">
      <w:r w:rsidRPr="006D4B7C">
        <w:t>Detailed bore-logs of test pits and auger holes should be recorded, clearly communicating the key soil characteristics of each horizon (see Table 2, along with any comments on that soil’s particular capability for efﬂuent assimilation. Soil forming processes differ between landform elements, for example crest, mid-slope and lower slope. Therefore, the resulting soils can be very different and would have different capability for the a</w:t>
      </w:r>
      <w:r w:rsidR="001E13F5">
        <w:t>ssimilation of treated efﬂuent.</w:t>
      </w:r>
    </w:p>
    <w:p w14:paraId="43485ED0" w14:textId="5B680CB2" w:rsidR="00871A83" w:rsidRPr="006D4B7C" w:rsidRDefault="00871A83" w:rsidP="00B60EAA">
      <w:r w:rsidRPr="006D4B7C">
        <w:lastRenderedPageBreak/>
        <w:t xml:space="preserve">Potential LAAs should be thoroughly investigated to ascertain any constraints, such as those listed in Table 2. Similarly, any beneficial aspects of short-listed areas should also be noted, to maximise the design and configuration of </w:t>
      </w:r>
      <w:r w:rsidR="001E13F5">
        <w:t>the effluent management system.</w:t>
      </w:r>
    </w:p>
    <w:p w14:paraId="4A6A2CD3" w14:textId="77777777" w:rsidR="00871A83" w:rsidRPr="006D4B7C" w:rsidRDefault="00871A83" w:rsidP="00B60EAA">
      <w:r w:rsidRPr="006D4B7C">
        <w:t>Reporting on site and soil characteristics is typically in tabular format.</w:t>
      </w:r>
    </w:p>
    <w:p w14:paraId="394E87AB" w14:textId="66D0EC8B" w:rsidR="00871A83" w:rsidRPr="001E13F5" w:rsidRDefault="00456BD1" w:rsidP="00851973">
      <w:pPr>
        <w:pStyle w:val="Heading2"/>
        <w:ind w:left="0"/>
      </w:pPr>
      <w:bookmarkStart w:id="135" w:name="_Toc377562414"/>
      <w:bookmarkStart w:id="136" w:name="_Toc378688086"/>
      <w:r>
        <w:t xml:space="preserve">4.5 </w:t>
      </w:r>
      <w:r w:rsidR="00871A83" w:rsidRPr="006D4B7C">
        <w:t>Determine the Land Capability for Onsite Wastewater Management</w:t>
      </w:r>
      <w:bookmarkEnd w:id="135"/>
      <w:bookmarkEnd w:id="136"/>
    </w:p>
    <w:p w14:paraId="14B78078" w14:textId="77777777" w:rsidR="00871A83" w:rsidRPr="006D4B7C" w:rsidRDefault="00871A83" w:rsidP="00851973">
      <w:r w:rsidRPr="006D4B7C">
        <w:t>The results and interpretation of the desktop and field investigations are used to determine whether effluent can be contained within the property boundaries and if onsite wastewater management is feasible.</w:t>
      </w:r>
    </w:p>
    <w:p w14:paraId="5EC82ACC" w14:textId="780F84B5" w:rsidR="00871A83" w:rsidRPr="00B60EAA" w:rsidRDefault="00456BD1" w:rsidP="00851973">
      <w:pPr>
        <w:rPr>
          <w:u w:val="single"/>
        </w:rPr>
      </w:pPr>
      <w:r>
        <w:rPr>
          <w:u w:val="single"/>
        </w:rPr>
        <w:t xml:space="preserve">4.5.1 </w:t>
      </w:r>
      <w:r w:rsidR="00871A83" w:rsidRPr="00B60EAA">
        <w:rPr>
          <w:u w:val="single"/>
        </w:rPr>
        <w:t>Method</w:t>
      </w:r>
    </w:p>
    <w:p w14:paraId="7682383C" w14:textId="17E672D3" w:rsidR="00871A83" w:rsidRPr="006D4B7C" w:rsidRDefault="00871A83" w:rsidP="00851973">
      <w:r w:rsidRPr="006D4B7C">
        <w:t>The 2006 MAV &amp; DSE Model LCA Report and EPA Publication 746.1 Guidelines for Land Capability Assessment used a quantitative assessment matrix with specific ranges of values for most site and soil characteristics. However, it is considered more appropriate to determine the land capability of the site for onsite wastewater management using both quantitative and qualitative methodologies.</w:t>
      </w:r>
    </w:p>
    <w:p w14:paraId="7CB45B64" w14:textId="77777777" w:rsidR="00871A83" w:rsidRPr="006D4B7C" w:rsidRDefault="00871A83" w:rsidP="00851973">
      <w:r w:rsidRPr="006D4B7C">
        <w:t>This Framework for Land Capability Assessment aims to direct the assessor to consider the totality of the site’s features and draw conclusions from a logical and realistic assessment that has to be justified in the LCA report. A Land Capability Assessment must take a systems approach. The report should identify and describe the level of constraint presented by each site and soil characteristic where these present a moderate or major level of constraint. It should also describe how the proposed design adequately mitigates these constraints to the extent that the design can reasonably be expected to perform to meet appropriate public health, environmental and amenity requirements. The assessor should also explain whether or not any particular site or soil characteristic may aggravate or even compensate for another characteristic within the overall capability of the land, for example a soil with a naturally favourable permeability will cope better with high rainfall than a soil with low permeability. The assessor or Council must not assign numerical values to the levels of constraints. The impact of any actual or potential moderate or major constraint must be explained and addressed, and where possible options for amelioration proposed, in the LCA report. Not all characteristics that are listed as having the same level of constraint have the same level of impact, i.e. a major constraint in terms of exposure to sun and wind will not be as serious as a major constraint in terms of very poor drainage. The final outcome depends on the relative severity and influence of individual features on potential onsite wastewater management options and should be made in consultation with Council and other regulatory authorities, such as the relevant Water Authority, as appropriate. Management and maintenance requirements of the recommended onsite wastewater system design should be clearly detailed in the final report so landowners are aware of the commitment required to keep the system operating successfully.</w:t>
      </w:r>
    </w:p>
    <w:p w14:paraId="2E230670" w14:textId="7B9ADACB" w:rsidR="00871A83" w:rsidRPr="00456BD1" w:rsidRDefault="00456BD1" w:rsidP="00456BD1">
      <w:pPr>
        <w:rPr>
          <w:u w:val="single"/>
        </w:rPr>
      </w:pPr>
      <w:bookmarkStart w:id="137" w:name="_Toc378688087"/>
      <w:r>
        <w:rPr>
          <w:u w:val="single"/>
        </w:rPr>
        <w:t xml:space="preserve">4.5.2 </w:t>
      </w:r>
      <w:r w:rsidR="00871A83" w:rsidRPr="00456BD1">
        <w:rPr>
          <w:u w:val="single"/>
        </w:rPr>
        <w:t>Risk Assessment of Site Characteristics</w:t>
      </w:r>
      <w:bookmarkEnd w:id="137"/>
    </w:p>
    <w:p w14:paraId="6C0AEA47" w14:textId="6D6A36BF" w:rsidR="001E13F5" w:rsidRPr="006D4B7C" w:rsidRDefault="00871A83" w:rsidP="009E4853">
      <w:r w:rsidRPr="006D4B7C">
        <w:t>An example of an LCA matrix for site characteristics is presented in Table 3 below. Note that the level of constraint can apply to the entire site or just the proposed LAA(s).</w:t>
      </w:r>
    </w:p>
    <w:p w14:paraId="05C20BA1" w14:textId="77777777" w:rsidR="00B44581" w:rsidRDefault="00B44581" w:rsidP="00920DF2">
      <w:pPr>
        <w:rPr>
          <w:b/>
        </w:rPr>
        <w:sectPr w:rsidR="00B44581" w:rsidSect="005E43F3">
          <w:headerReference w:type="default" r:id="rId19"/>
          <w:footerReference w:type="default" r:id="rId20"/>
          <w:pgSz w:w="12240" w:h="15840"/>
          <w:pgMar w:top="1440" w:right="1440" w:bottom="1440" w:left="1440" w:header="708" w:footer="708" w:gutter="0"/>
          <w:cols w:space="708"/>
          <w:docGrid w:linePitch="360"/>
        </w:sectPr>
      </w:pPr>
    </w:p>
    <w:tbl>
      <w:tblPr>
        <w:tblW w:w="13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isk Assessment of Site Characteristics"/>
      </w:tblPr>
      <w:tblGrid>
        <w:gridCol w:w="2249"/>
        <w:gridCol w:w="2126"/>
        <w:gridCol w:w="949"/>
        <w:gridCol w:w="894"/>
        <w:gridCol w:w="1842"/>
        <w:gridCol w:w="426"/>
        <w:gridCol w:w="1559"/>
        <w:gridCol w:w="1697"/>
        <w:gridCol w:w="1461"/>
      </w:tblGrid>
      <w:tr w:rsidR="00920DF2" w:rsidRPr="006D4B7C" w14:paraId="4C45B2DD" w14:textId="77777777" w:rsidTr="00AC3500">
        <w:trPr>
          <w:cantSplit/>
          <w:jc w:val="center"/>
        </w:trPr>
        <w:tc>
          <w:tcPr>
            <w:tcW w:w="13203" w:type="dxa"/>
            <w:gridSpan w:val="9"/>
            <w:shd w:val="clear" w:color="auto" w:fill="D9D9D9" w:themeFill="background1" w:themeFillShade="D9"/>
            <w:vAlign w:val="center"/>
          </w:tcPr>
          <w:p w14:paraId="35E5CF12" w14:textId="01FDEEE2" w:rsidR="00920DF2" w:rsidRPr="00920DF2" w:rsidRDefault="00920DF2" w:rsidP="00920DF2">
            <w:pPr>
              <w:rPr>
                <w:rFonts w:cs="Arial"/>
                <w:b/>
              </w:rPr>
            </w:pPr>
            <w:r w:rsidRPr="00920DF2">
              <w:rPr>
                <w:b/>
              </w:rPr>
              <w:lastRenderedPageBreak/>
              <w:t>Table 3: Risk Assessment of Site Characteristics</w:t>
            </w:r>
          </w:p>
        </w:tc>
      </w:tr>
      <w:tr w:rsidR="00871A83" w:rsidRPr="006D4B7C" w14:paraId="4496D571" w14:textId="77777777" w:rsidTr="00AC3500">
        <w:trPr>
          <w:cantSplit/>
          <w:jc w:val="center"/>
        </w:trPr>
        <w:tc>
          <w:tcPr>
            <w:tcW w:w="2249" w:type="dxa"/>
            <w:vMerge w:val="restart"/>
            <w:shd w:val="clear" w:color="auto" w:fill="auto"/>
            <w:vAlign w:val="center"/>
          </w:tcPr>
          <w:p w14:paraId="507A67A0" w14:textId="77777777" w:rsidR="00871A83" w:rsidRPr="001E13F5" w:rsidRDefault="00871A83" w:rsidP="00354BAF">
            <w:pPr>
              <w:spacing w:before="60" w:after="60"/>
              <w:jc w:val="center"/>
              <w:rPr>
                <w:rFonts w:cs="Arial"/>
                <w:b/>
              </w:rPr>
            </w:pPr>
            <w:r w:rsidRPr="001E13F5">
              <w:rPr>
                <w:rFonts w:cs="Arial"/>
                <w:b/>
              </w:rPr>
              <w:t>Characteristic</w:t>
            </w:r>
          </w:p>
        </w:tc>
        <w:tc>
          <w:tcPr>
            <w:tcW w:w="9493" w:type="dxa"/>
            <w:gridSpan w:val="7"/>
            <w:shd w:val="clear" w:color="auto" w:fill="auto"/>
          </w:tcPr>
          <w:p w14:paraId="02E64B8E" w14:textId="77777777" w:rsidR="00871A83" w:rsidRPr="001E13F5" w:rsidRDefault="00871A83" w:rsidP="00354BAF">
            <w:pPr>
              <w:spacing w:before="60" w:after="60"/>
              <w:jc w:val="center"/>
              <w:rPr>
                <w:rFonts w:cs="Arial"/>
                <w:b/>
              </w:rPr>
            </w:pPr>
            <w:r w:rsidRPr="001E13F5">
              <w:rPr>
                <w:rFonts w:cs="Arial"/>
                <w:b/>
              </w:rPr>
              <w:t>Level of Constraint</w:t>
            </w:r>
          </w:p>
        </w:tc>
        <w:tc>
          <w:tcPr>
            <w:tcW w:w="1461" w:type="dxa"/>
            <w:vMerge w:val="restart"/>
            <w:shd w:val="clear" w:color="auto" w:fill="auto"/>
            <w:vAlign w:val="center"/>
          </w:tcPr>
          <w:p w14:paraId="57ED45AD" w14:textId="77777777" w:rsidR="00871A83" w:rsidRPr="001E13F5" w:rsidRDefault="00871A83" w:rsidP="00354BAF">
            <w:pPr>
              <w:spacing w:before="60" w:after="60"/>
              <w:jc w:val="center"/>
              <w:rPr>
                <w:rFonts w:cs="Arial"/>
                <w:b/>
              </w:rPr>
            </w:pPr>
            <w:r w:rsidRPr="001E13F5">
              <w:rPr>
                <w:rFonts w:cs="Arial"/>
                <w:b/>
              </w:rPr>
              <w:t>Assessed Level of Constraint for Site</w:t>
            </w:r>
          </w:p>
        </w:tc>
      </w:tr>
      <w:tr w:rsidR="00AC3500" w:rsidRPr="006D4B7C" w14:paraId="24289C4B" w14:textId="77777777" w:rsidTr="00AC3500">
        <w:trPr>
          <w:cantSplit/>
          <w:jc w:val="center"/>
        </w:trPr>
        <w:tc>
          <w:tcPr>
            <w:tcW w:w="2249" w:type="dxa"/>
            <w:vMerge/>
            <w:shd w:val="clear" w:color="auto" w:fill="auto"/>
          </w:tcPr>
          <w:p w14:paraId="6987277D" w14:textId="77777777" w:rsidR="00871A83" w:rsidRPr="001E13F5" w:rsidRDefault="00871A83" w:rsidP="00354BAF">
            <w:pPr>
              <w:spacing w:before="60" w:after="60"/>
              <w:jc w:val="center"/>
              <w:rPr>
                <w:rFonts w:cs="Arial"/>
              </w:rPr>
            </w:pPr>
          </w:p>
        </w:tc>
        <w:tc>
          <w:tcPr>
            <w:tcW w:w="3075" w:type="dxa"/>
            <w:gridSpan w:val="2"/>
            <w:shd w:val="clear" w:color="auto" w:fill="auto"/>
            <w:vAlign w:val="center"/>
          </w:tcPr>
          <w:p w14:paraId="0102E5A4" w14:textId="77777777" w:rsidR="00871A83" w:rsidRPr="001E13F5" w:rsidRDefault="00871A83" w:rsidP="00354BAF">
            <w:pPr>
              <w:spacing w:before="60" w:after="60"/>
              <w:jc w:val="center"/>
              <w:rPr>
                <w:rFonts w:cs="Arial"/>
                <w:b/>
              </w:rPr>
            </w:pPr>
            <w:r w:rsidRPr="001E13F5">
              <w:rPr>
                <w:rFonts w:cs="Arial"/>
                <w:b/>
              </w:rPr>
              <w:t>Nil or Minor</w:t>
            </w:r>
          </w:p>
        </w:tc>
        <w:tc>
          <w:tcPr>
            <w:tcW w:w="3162" w:type="dxa"/>
            <w:gridSpan w:val="3"/>
            <w:shd w:val="clear" w:color="auto" w:fill="auto"/>
            <w:vAlign w:val="center"/>
          </w:tcPr>
          <w:p w14:paraId="67308863" w14:textId="77777777" w:rsidR="00871A83" w:rsidRPr="001E13F5" w:rsidRDefault="00871A83" w:rsidP="00354BAF">
            <w:pPr>
              <w:spacing w:before="60" w:after="60"/>
              <w:jc w:val="center"/>
              <w:rPr>
                <w:rFonts w:cs="Arial"/>
                <w:b/>
              </w:rPr>
            </w:pPr>
            <w:r w:rsidRPr="001E13F5">
              <w:rPr>
                <w:rFonts w:cs="Arial"/>
                <w:b/>
              </w:rPr>
              <w:t>Moderate</w:t>
            </w:r>
          </w:p>
        </w:tc>
        <w:tc>
          <w:tcPr>
            <w:tcW w:w="3256" w:type="dxa"/>
            <w:gridSpan w:val="2"/>
            <w:shd w:val="clear" w:color="auto" w:fill="auto"/>
            <w:vAlign w:val="center"/>
          </w:tcPr>
          <w:p w14:paraId="4BED2691" w14:textId="77777777" w:rsidR="00871A83" w:rsidRPr="001E13F5" w:rsidRDefault="00871A83" w:rsidP="00354BAF">
            <w:pPr>
              <w:spacing w:before="60" w:after="60"/>
              <w:jc w:val="center"/>
              <w:rPr>
                <w:rFonts w:cs="Arial"/>
                <w:b/>
              </w:rPr>
            </w:pPr>
            <w:r w:rsidRPr="001E13F5">
              <w:rPr>
                <w:rFonts w:cs="Arial"/>
                <w:b/>
              </w:rPr>
              <w:t>Major</w:t>
            </w:r>
          </w:p>
        </w:tc>
        <w:tc>
          <w:tcPr>
            <w:tcW w:w="1461" w:type="dxa"/>
            <w:vMerge/>
            <w:shd w:val="clear" w:color="auto" w:fill="auto"/>
          </w:tcPr>
          <w:p w14:paraId="63ED5D7E" w14:textId="77777777" w:rsidR="00871A83" w:rsidRPr="001E13F5" w:rsidRDefault="00871A83" w:rsidP="00354BAF">
            <w:pPr>
              <w:spacing w:before="60" w:after="60"/>
              <w:jc w:val="center"/>
              <w:rPr>
                <w:rFonts w:cs="Arial"/>
              </w:rPr>
            </w:pPr>
          </w:p>
        </w:tc>
      </w:tr>
      <w:tr w:rsidR="00AC3500" w:rsidRPr="006D4B7C" w14:paraId="0EF79B7C" w14:textId="77777777" w:rsidTr="00AC3500">
        <w:trPr>
          <w:cantSplit/>
          <w:jc w:val="center"/>
        </w:trPr>
        <w:tc>
          <w:tcPr>
            <w:tcW w:w="2249" w:type="dxa"/>
            <w:shd w:val="clear" w:color="auto" w:fill="auto"/>
            <w:vAlign w:val="center"/>
          </w:tcPr>
          <w:p w14:paraId="4500A3D7" w14:textId="77777777" w:rsidR="00871A83" w:rsidRPr="001E13F5" w:rsidRDefault="00871A83" w:rsidP="00354BAF">
            <w:pPr>
              <w:spacing w:before="60" w:after="60"/>
              <w:rPr>
                <w:rFonts w:cs="Arial"/>
                <w:b/>
              </w:rPr>
            </w:pPr>
            <w:r w:rsidRPr="001E13F5">
              <w:rPr>
                <w:rFonts w:cs="Arial"/>
                <w:b/>
              </w:rPr>
              <w:t xml:space="preserve">Aspect </w:t>
            </w:r>
          </w:p>
          <w:p w14:paraId="449A4A98" w14:textId="77777777" w:rsidR="00871A83" w:rsidRPr="001E13F5" w:rsidRDefault="00871A83" w:rsidP="00354BAF">
            <w:pPr>
              <w:spacing w:before="60" w:after="60"/>
              <w:rPr>
                <w:rFonts w:cs="Arial"/>
                <w:b/>
              </w:rPr>
            </w:pPr>
            <w:r w:rsidRPr="001E13F5">
              <w:rPr>
                <w:rFonts w:cs="Arial"/>
                <w:b/>
              </w:rPr>
              <w:t>(affects solar radiation received)</w:t>
            </w:r>
          </w:p>
        </w:tc>
        <w:tc>
          <w:tcPr>
            <w:tcW w:w="3075" w:type="dxa"/>
            <w:gridSpan w:val="2"/>
            <w:shd w:val="clear" w:color="auto" w:fill="auto"/>
            <w:vAlign w:val="center"/>
          </w:tcPr>
          <w:p w14:paraId="6E2C7ABD" w14:textId="77777777" w:rsidR="00871A83" w:rsidRPr="001E13F5" w:rsidRDefault="00871A83" w:rsidP="00354BAF">
            <w:pPr>
              <w:spacing w:before="60" w:after="60"/>
              <w:jc w:val="center"/>
              <w:rPr>
                <w:rFonts w:cs="Arial"/>
              </w:rPr>
            </w:pPr>
            <w:r w:rsidRPr="001E13F5">
              <w:rPr>
                <w:rFonts w:cs="Arial"/>
              </w:rPr>
              <w:t xml:space="preserve">North / North-East / </w:t>
            </w:r>
          </w:p>
          <w:p w14:paraId="3B6D967A" w14:textId="77777777" w:rsidR="00871A83" w:rsidRPr="001E13F5" w:rsidRDefault="00871A83" w:rsidP="00354BAF">
            <w:pPr>
              <w:spacing w:before="60" w:after="60"/>
              <w:jc w:val="center"/>
              <w:rPr>
                <w:rFonts w:cs="Arial"/>
              </w:rPr>
            </w:pPr>
            <w:r w:rsidRPr="001E13F5">
              <w:rPr>
                <w:rFonts w:cs="Arial"/>
              </w:rPr>
              <w:t>North-West</w:t>
            </w:r>
          </w:p>
        </w:tc>
        <w:tc>
          <w:tcPr>
            <w:tcW w:w="3162" w:type="dxa"/>
            <w:gridSpan w:val="3"/>
            <w:shd w:val="clear" w:color="auto" w:fill="auto"/>
            <w:vAlign w:val="center"/>
          </w:tcPr>
          <w:p w14:paraId="76329CDC" w14:textId="77777777" w:rsidR="00871A83" w:rsidRPr="001E13F5" w:rsidRDefault="00871A83" w:rsidP="00354BAF">
            <w:pPr>
              <w:spacing w:before="60" w:after="60"/>
              <w:jc w:val="center"/>
              <w:rPr>
                <w:rFonts w:cs="Arial"/>
              </w:rPr>
            </w:pPr>
            <w:r w:rsidRPr="001E13F5">
              <w:rPr>
                <w:rFonts w:cs="Arial"/>
              </w:rPr>
              <w:t>East / West / South-East / South-West</w:t>
            </w:r>
          </w:p>
        </w:tc>
        <w:tc>
          <w:tcPr>
            <w:tcW w:w="3256" w:type="dxa"/>
            <w:gridSpan w:val="2"/>
            <w:shd w:val="clear" w:color="auto" w:fill="auto"/>
            <w:vAlign w:val="center"/>
          </w:tcPr>
          <w:p w14:paraId="0EB89C43" w14:textId="77777777" w:rsidR="00871A83" w:rsidRPr="001E13F5" w:rsidRDefault="00871A83" w:rsidP="00354BAF">
            <w:pPr>
              <w:spacing w:before="60" w:after="60"/>
              <w:jc w:val="center"/>
              <w:rPr>
                <w:rFonts w:cs="Arial"/>
              </w:rPr>
            </w:pPr>
            <w:r w:rsidRPr="001E13F5">
              <w:rPr>
                <w:rFonts w:cs="Arial"/>
              </w:rPr>
              <w:t>South</w:t>
            </w:r>
          </w:p>
        </w:tc>
        <w:tc>
          <w:tcPr>
            <w:tcW w:w="1461" w:type="dxa"/>
            <w:shd w:val="clear" w:color="auto" w:fill="auto"/>
          </w:tcPr>
          <w:p w14:paraId="5B4F5EE0" w14:textId="77777777" w:rsidR="00871A83" w:rsidRPr="001E13F5" w:rsidRDefault="00871A83" w:rsidP="00354BAF">
            <w:pPr>
              <w:spacing w:before="60" w:after="60"/>
              <w:rPr>
                <w:rFonts w:cs="Arial"/>
              </w:rPr>
            </w:pPr>
          </w:p>
        </w:tc>
      </w:tr>
      <w:tr w:rsidR="00AC3500" w:rsidRPr="006D4B7C" w14:paraId="0FF29A63" w14:textId="77777777" w:rsidTr="00AC3500">
        <w:trPr>
          <w:cantSplit/>
          <w:jc w:val="center"/>
        </w:trPr>
        <w:tc>
          <w:tcPr>
            <w:tcW w:w="2249" w:type="dxa"/>
            <w:shd w:val="clear" w:color="auto" w:fill="auto"/>
            <w:vAlign w:val="center"/>
          </w:tcPr>
          <w:p w14:paraId="4C148AEF" w14:textId="77777777" w:rsidR="00871A83" w:rsidRPr="001E13F5" w:rsidRDefault="00871A83" w:rsidP="00354BAF">
            <w:pPr>
              <w:spacing w:before="60" w:after="60"/>
              <w:rPr>
                <w:rFonts w:cs="Arial"/>
                <w:b/>
              </w:rPr>
            </w:pPr>
            <w:r w:rsidRPr="001E13F5">
              <w:rPr>
                <w:rFonts w:cs="Arial"/>
                <w:b/>
              </w:rPr>
              <w:t xml:space="preserve">Climate </w:t>
            </w:r>
          </w:p>
          <w:p w14:paraId="4B22D714" w14:textId="77777777" w:rsidR="00871A83" w:rsidRPr="001E13F5" w:rsidRDefault="00871A83" w:rsidP="00354BAF">
            <w:pPr>
              <w:spacing w:before="60" w:after="60"/>
              <w:rPr>
                <w:rFonts w:cs="Arial"/>
                <w:b/>
              </w:rPr>
            </w:pPr>
            <w:r w:rsidRPr="001E13F5">
              <w:rPr>
                <w:rFonts w:cs="Arial"/>
                <w:b/>
              </w:rPr>
              <w:t>(difference between annual rainfall and pan evaporation)</w:t>
            </w:r>
          </w:p>
        </w:tc>
        <w:tc>
          <w:tcPr>
            <w:tcW w:w="3075" w:type="dxa"/>
            <w:gridSpan w:val="2"/>
            <w:shd w:val="clear" w:color="auto" w:fill="auto"/>
            <w:vAlign w:val="center"/>
          </w:tcPr>
          <w:p w14:paraId="12A1F575" w14:textId="77777777" w:rsidR="00871A83" w:rsidRPr="001E13F5" w:rsidRDefault="00871A83" w:rsidP="00354BAF">
            <w:pPr>
              <w:spacing w:before="60" w:after="60"/>
              <w:jc w:val="center"/>
              <w:rPr>
                <w:rFonts w:cs="Arial"/>
              </w:rPr>
            </w:pPr>
            <w:r w:rsidRPr="001E13F5">
              <w:rPr>
                <w:rFonts w:cs="Arial"/>
              </w:rPr>
              <w:t>Excess of evaporation over rainfall in the wettest months</w:t>
            </w:r>
          </w:p>
        </w:tc>
        <w:tc>
          <w:tcPr>
            <w:tcW w:w="3162" w:type="dxa"/>
            <w:gridSpan w:val="3"/>
            <w:shd w:val="clear" w:color="auto" w:fill="auto"/>
            <w:vAlign w:val="center"/>
          </w:tcPr>
          <w:p w14:paraId="6A523F26" w14:textId="77777777" w:rsidR="00871A83" w:rsidRPr="001E13F5" w:rsidRDefault="00871A83" w:rsidP="00354BAF">
            <w:pPr>
              <w:spacing w:before="60" w:after="60"/>
              <w:jc w:val="center"/>
              <w:rPr>
                <w:rFonts w:cs="Arial"/>
              </w:rPr>
            </w:pPr>
            <w:r w:rsidRPr="001E13F5">
              <w:rPr>
                <w:rFonts w:cs="Arial"/>
              </w:rPr>
              <w:t>Rainfall approximates to evaporation</w:t>
            </w:r>
          </w:p>
        </w:tc>
        <w:tc>
          <w:tcPr>
            <w:tcW w:w="3256" w:type="dxa"/>
            <w:gridSpan w:val="2"/>
            <w:shd w:val="clear" w:color="auto" w:fill="auto"/>
            <w:vAlign w:val="center"/>
          </w:tcPr>
          <w:p w14:paraId="704D971A" w14:textId="77777777" w:rsidR="00871A83" w:rsidRPr="001E13F5" w:rsidRDefault="00871A83" w:rsidP="00354BAF">
            <w:pPr>
              <w:spacing w:before="60" w:after="60"/>
              <w:jc w:val="center"/>
              <w:rPr>
                <w:rFonts w:cs="Arial"/>
              </w:rPr>
            </w:pPr>
            <w:r w:rsidRPr="001E13F5">
              <w:rPr>
                <w:rFonts w:cs="Arial"/>
              </w:rPr>
              <w:t>Excess of rainfall over evaporation in the wettest months</w:t>
            </w:r>
          </w:p>
        </w:tc>
        <w:tc>
          <w:tcPr>
            <w:tcW w:w="1461" w:type="dxa"/>
            <w:shd w:val="clear" w:color="auto" w:fill="auto"/>
          </w:tcPr>
          <w:p w14:paraId="6BAABBC6" w14:textId="77777777" w:rsidR="00871A83" w:rsidRPr="001E13F5" w:rsidRDefault="00871A83" w:rsidP="00354BAF">
            <w:pPr>
              <w:spacing w:before="60" w:after="60"/>
              <w:rPr>
                <w:rFonts w:cs="Arial"/>
              </w:rPr>
            </w:pPr>
          </w:p>
        </w:tc>
      </w:tr>
      <w:tr w:rsidR="00AC3500" w:rsidRPr="006D4B7C" w14:paraId="162E641F" w14:textId="77777777" w:rsidTr="00AC3500">
        <w:trPr>
          <w:cantSplit/>
          <w:jc w:val="center"/>
        </w:trPr>
        <w:tc>
          <w:tcPr>
            <w:tcW w:w="2249" w:type="dxa"/>
            <w:shd w:val="clear" w:color="auto" w:fill="auto"/>
            <w:vAlign w:val="center"/>
          </w:tcPr>
          <w:p w14:paraId="69197A64" w14:textId="77777777" w:rsidR="00871A83" w:rsidRPr="001E13F5" w:rsidRDefault="00871A83" w:rsidP="00354BAF">
            <w:pPr>
              <w:spacing w:before="60" w:after="60"/>
              <w:rPr>
                <w:rFonts w:cs="Arial"/>
                <w:b/>
              </w:rPr>
            </w:pPr>
            <w:r w:rsidRPr="001E13F5">
              <w:rPr>
                <w:rFonts w:cs="Arial"/>
                <w:b/>
              </w:rPr>
              <w:t xml:space="preserve">Erosion </w:t>
            </w:r>
            <w:r w:rsidRPr="001E13F5">
              <w:rPr>
                <w:rFonts w:cs="Arial"/>
                <w:b/>
                <w:vertAlign w:val="superscript"/>
              </w:rPr>
              <w:t>1</w:t>
            </w:r>
          </w:p>
          <w:p w14:paraId="11793189" w14:textId="77777777" w:rsidR="00871A83" w:rsidRPr="001E13F5" w:rsidRDefault="00871A83" w:rsidP="00354BAF">
            <w:pPr>
              <w:spacing w:before="60" w:after="60"/>
              <w:rPr>
                <w:rFonts w:cs="Arial"/>
              </w:rPr>
            </w:pPr>
            <w:r w:rsidRPr="001E13F5">
              <w:rPr>
                <w:rFonts w:cs="Arial"/>
                <w:b/>
              </w:rPr>
              <w:t>(or potential for erosion)</w:t>
            </w:r>
          </w:p>
        </w:tc>
        <w:tc>
          <w:tcPr>
            <w:tcW w:w="3075" w:type="dxa"/>
            <w:gridSpan w:val="2"/>
            <w:shd w:val="clear" w:color="auto" w:fill="auto"/>
            <w:vAlign w:val="center"/>
          </w:tcPr>
          <w:p w14:paraId="716E1B20" w14:textId="77777777" w:rsidR="00871A83" w:rsidRPr="001E13F5" w:rsidRDefault="00871A83" w:rsidP="00354BAF">
            <w:pPr>
              <w:spacing w:before="60" w:after="60"/>
              <w:jc w:val="center"/>
              <w:rPr>
                <w:rFonts w:cs="Arial"/>
              </w:rPr>
            </w:pPr>
            <w:r w:rsidRPr="001E13F5">
              <w:rPr>
                <w:rFonts w:cs="Arial"/>
              </w:rPr>
              <w:t>Nil or minor</w:t>
            </w:r>
          </w:p>
        </w:tc>
        <w:tc>
          <w:tcPr>
            <w:tcW w:w="3162" w:type="dxa"/>
            <w:gridSpan w:val="3"/>
            <w:shd w:val="clear" w:color="auto" w:fill="auto"/>
            <w:vAlign w:val="center"/>
          </w:tcPr>
          <w:p w14:paraId="281389F8" w14:textId="77777777" w:rsidR="00871A83" w:rsidRPr="001E13F5" w:rsidRDefault="00871A83" w:rsidP="00354BAF">
            <w:pPr>
              <w:spacing w:before="60" w:after="60"/>
              <w:jc w:val="center"/>
              <w:rPr>
                <w:rFonts w:cs="Arial"/>
              </w:rPr>
            </w:pPr>
            <w:r w:rsidRPr="001E13F5">
              <w:rPr>
                <w:rFonts w:cs="Arial"/>
              </w:rPr>
              <w:t>Moderate</w:t>
            </w:r>
          </w:p>
        </w:tc>
        <w:tc>
          <w:tcPr>
            <w:tcW w:w="3256" w:type="dxa"/>
            <w:gridSpan w:val="2"/>
            <w:shd w:val="clear" w:color="auto" w:fill="auto"/>
            <w:vAlign w:val="center"/>
          </w:tcPr>
          <w:p w14:paraId="10A0C5CA" w14:textId="77777777" w:rsidR="00871A83" w:rsidRPr="001E13F5" w:rsidRDefault="00871A83" w:rsidP="00354BAF">
            <w:pPr>
              <w:spacing w:before="60" w:after="60"/>
              <w:jc w:val="center"/>
              <w:rPr>
                <w:rFonts w:cs="Arial"/>
              </w:rPr>
            </w:pPr>
            <w:r w:rsidRPr="001E13F5">
              <w:rPr>
                <w:rFonts w:cs="Arial"/>
              </w:rPr>
              <w:t>Severe</w:t>
            </w:r>
          </w:p>
        </w:tc>
        <w:tc>
          <w:tcPr>
            <w:tcW w:w="1461" w:type="dxa"/>
            <w:shd w:val="clear" w:color="auto" w:fill="auto"/>
          </w:tcPr>
          <w:p w14:paraId="02D08FEF" w14:textId="77777777" w:rsidR="00871A83" w:rsidRPr="001E13F5" w:rsidRDefault="00871A83" w:rsidP="00354BAF">
            <w:pPr>
              <w:spacing w:before="60" w:after="60"/>
              <w:rPr>
                <w:rFonts w:cs="Arial"/>
              </w:rPr>
            </w:pPr>
          </w:p>
        </w:tc>
      </w:tr>
      <w:tr w:rsidR="00AC3500" w:rsidRPr="006D4B7C" w14:paraId="1FAE6707" w14:textId="77777777" w:rsidTr="00AC3500">
        <w:trPr>
          <w:cantSplit/>
          <w:jc w:val="center"/>
        </w:trPr>
        <w:tc>
          <w:tcPr>
            <w:tcW w:w="2249" w:type="dxa"/>
            <w:shd w:val="clear" w:color="auto" w:fill="auto"/>
            <w:vAlign w:val="center"/>
          </w:tcPr>
          <w:p w14:paraId="0CC3B7C2" w14:textId="77777777" w:rsidR="00871A83" w:rsidRPr="001E13F5" w:rsidRDefault="00871A83" w:rsidP="00354BAF">
            <w:pPr>
              <w:spacing w:before="60" w:after="60"/>
              <w:rPr>
                <w:rFonts w:cs="Arial"/>
                <w:b/>
              </w:rPr>
            </w:pPr>
            <w:r w:rsidRPr="001E13F5">
              <w:rPr>
                <w:rFonts w:cs="Arial"/>
                <w:b/>
              </w:rPr>
              <w:t xml:space="preserve">Exposure </w:t>
            </w:r>
          </w:p>
          <w:p w14:paraId="4B6D4453" w14:textId="77777777" w:rsidR="00871A83" w:rsidRPr="001E13F5" w:rsidRDefault="00871A83" w:rsidP="00354BAF">
            <w:pPr>
              <w:spacing w:before="60" w:after="60"/>
              <w:rPr>
                <w:rFonts w:cs="Arial"/>
                <w:b/>
              </w:rPr>
            </w:pPr>
            <w:r w:rsidRPr="001E13F5">
              <w:rPr>
                <w:rFonts w:cs="Arial"/>
                <w:b/>
              </w:rPr>
              <w:t>to sun and wind</w:t>
            </w:r>
          </w:p>
        </w:tc>
        <w:tc>
          <w:tcPr>
            <w:tcW w:w="3075" w:type="dxa"/>
            <w:gridSpan w:val="2"/>
            <w:shd w:val="clear" w:color="auto" w:fill="auto"/>
            <w:vAlign w:val="center"/>
          </w:tcPr>
          <w:p w14:paraId="39E2FC7E" w14:textId="77777777" w:rsidR="00871A83" w:rsidRPr="001E13F5" w:rsidRDefault="00871A83" w:rsidP="00354BAF">
            <w:pPr>
              <w:spacing w:before="60" w:after="60"/>
              <w:jc w:val="center"/>
              <w:rPr>
                <w:rFonts w:cs="Arial"/>
              </w:rPr>
            </w:pPr>
            <w:r w:rsidRPr="001E13F5">
              <w:rPr>
                <w:rFonts w:cs="Arial"/>
              </w:rPr>
              <w:t>Full sun and/or high wind or</w:t>
            </w:r>
          </w:p>
          <w:p w14:paraId="53FD4D88" w14:textId="77777777" w:rsidR="00871A83" w:rsidRPr="001E13F5" w:rsidRDefault="00871A83" w:rsidP="00354BAF">
            <w:pPr>
              <w:spacing w:before="60" w:after="60"/>
              <w:jc w:val="center"/>
              <w:rPr>
                <w:rFonts w:cs="Arial"/>
              </w:rPr>
            </w:pPr>
            <w:r w:rsidRPr="001E13F5">
              <w:rPr>
                <w:rFonts w:cs="Arial"/>
              </w:rPr>
              <w:t>minimal shading</w:t>
            </w:r>
          </w:p>
        </w:tc>
        <w:tc>
          <w:tcPr>
            <w:tcW w:w="3162" w:type="dxa"/>
            <w:gridSpan w:val="3"/>
            <w:shd w:val="clear" w:color="auto" w:fill="auto"/>
            <w:vAlign w:val="center"/>
          </w:tcPr>
          <w:p w14:paraId="3794397E" w14:textId="77777777" w:rsidR="00871A83" w:rsidRPr="001E13F5" w:rsidRDefault="00871A83" w:rsidP="00354BAF">
            <w:pPr>
              <w:spacing w:before="60" w:after="60"/>
              <w:jc w:val="center"/>
              <w:rPr>
                <w:rFonts w:cs="Arial"/>
              </w:rPr>
            </w:pPr>
            <w:r w:rsidRPr="001E13F5">
              <w:rPr>
                <w:rFonts w:cs="Arial"/>
              </w:rPr>
              <w:t>Dappled light</w:t>
            </w:r>
          </w:p>
        </w:tc>
        <w:tc>
          <w:tcPr>
            <w:tcW w:w="3256" w:type="dxa"/>
            <w:gridSpan w:val="2"/>
            <w:shd w:val="clear" w:color="auto" w:fill="auto"/>
            <w:vAlign w:val="center"/>
          </w:tcPr>
          <w:p w14:paraId="4C6E5D81" w14:textId="77777777" w:rsidR="00871A83" w:rsidRPr="001E13F5" w:rsidRDefault="00871A83" w:rsidP="00354BAF">
            <w:pPr>
              <w:spacing w:before="60" w:after="60"/>
              <w:jc w:val="center"/>
              <w:rPr>
                <w:rFonts w:cs="Arial"/>
              </w:rPr>
            </w:pPr>
            <w:r w:rsidRPr="001E13F5">
              <w:rPr>
                <w:rFonts w:cs="Arial"/>
              </w:rPr>
              <w:t>Limited patches of light and little wind to heavily shaded all day</w:t>
            </w:r>
          </w:p>
        </w:tc>
        <w:tc>
          <w:tcPr>
            <w:tcW w:w="1461" w:type="dxa"/>
            <w:shd w:val="clear" w:color="auto" w:fill="auto"/>
          </w:tcPr>
          <w:p w14:paraId="410609AF" w14:textId="77777777" w:rsidR="00871A83" w:rsidRPr="001E13F5" w:rsidRDefault="00871A83" w:rsidP="00354BAF">
            <w:pPr>
              <w:spacing w:before="60" w:after="60"/>
              <w:rPr>
                <w:rFonts w:cs="Arial"/>
              </w:rPr>
            </w:pPr>
          </w:p>
        </w:tc>
      </w:tr>
      <w:tr w:rsidR="00AC3500" w:rsidRPr="006D4B7C" w14:paraId="0D079120" w14:textId="77777777" w:rsidTr="00AC3500">
        <w:trPr>
          <w:cantSplit/>
          <w:jc w:val="center"/>
        </w:trPr>
        <w:tc>
          <w:tcPr>
            <w:tcW w:w="2249" w:type="dxa"/>
            <w:shd w:val="clear" w:color="auto" w:fill="auto"/>
            <w:vAlign w:val="center"/>
          </w:tcPr>
          <w:p w14:paraId="00B332F7" w14:textId="77777777" w:rsidR="00871A83" w:rsidRPr="001E13F5" w:rsidRDefault="00871A83" w:rsidP="00354BAF">
            <w:pPr>
              <w:spacing w:before="60" w:after="60"/>
              <w:rPr>
                <w:rFonts w:cs="Arial"/>
                <w:b/>
              </w:rPr>
            </w:pPr>
            <w:r w:rsidRPr="001E13F5">
              <w:rPr>
                <w:rFonts w:cs="Arial"/>
                <w:b/>
              </w:rPr>
              <w:t xml:space="preserve">Fill </w:t>
            </w:r>
            <w:r w:rsidRPr="001E13F5">
              <w:rPr>
                <w:rFonts w:cs="Arial"/>
                <w:b/>
                <w:vertAlign w:val="superscript"/>
              </w:rPr>
              <w:t>2</w:t>
            </w:r>
          </w:p>
          <w:p w14:paraId="75B6E2C7" w14:textId="77777777" w:rsidR="00871A83" w:rsidRPr="001E13F5" w:rsidRDefault="00871A83" w:rsidP="00354BAF">
            <w:pPr>
              <w:spacing w:before="60" w:after="60"/>
              <w:rPr>
                <w:rFonts w:cs="Arial"/>
                <w:b/>
              </w:rPr>
            </w:pPr>
            <w:r w:rsidRPr="001E13F5">
              <w:rPr>
                <w:rFonts w:cs="Arial"/>
                <w:b/>
              </w:rPr>
              <w:t>(imported)</w:t>
            </w:r>
          </w:p>
        </w:tc>
        <w:tc>
          <w:tcPr>
            <w:tcW w:w="3075" w:type="dxa"/>
            <w:gridSpan w:val="2"/>
            <w:shd w:val="clear" w:color="auto" w:fill="auto"/>
            <w:vAlign w:val="center"/>
          </w:tcPr>
          <w:p w14:paraId="0426DD37" w14:textId="77777777" w:rsidR="00871A83" w:rsidRPr="001E13F5" w:rsidRDefault="00871A83" w:rsidP="00354BAF">
            <w:pPr>
              <w:spacing w:before="60" w:after="60"/>
              <w:jc w:val="center"/>
              <w:rPr>
                <w:rFonts w:cs="Arial"/>
              </w:rPr>
            </w:pPr>
            <w:r w:rsidRPr="001E13F5">
              <w:rPr>
                <w:rFonts w:cs="Arial"/>
              </w:rPr>
              <w:t>No fill or minimal fill,</w:t>
            </w:r>
          </w:p>
          <w:p w14:paraId="62013BA7" w14:textId="77777777" w:rsidR="00871A83" w:rsidRPr="001E13F5" w:rsidRDefault="00871A83" w:rsidP="00354BAF">
            <w:pPr>
              <w:spacing w:before="60" w:after="60"/>
              <w:jc w:val="center"/>
              <w:rPr>
                <w:rFonts w:cs="Arial"/>
              </w:rPr>
            </w:pPr>
            <w:r w:rsidRPr="001E13F5">
              <w:rPr>
                <w:rFonts w:cs="Arial"/>
              </w:rPr>
              <w:t>or fill is good quality topsoil</w:t>
            </w:r>
          </w:p>
        </w:tc>
        <w:tc>
          <w:tcPr>
            <w:tcW w:w="3162" w:type="dxa"/>
            <w:gridSpan w:val="3"/>
            <w:shd w:val="clear" w:color="auto" w:fill="auto"/>
            <w:vAlign w:val="center"/>
          </w:tcPr>
          <w:p w14:paraId="645A6A1B" w14:textId="77777777" w:rsidR="00871A83" w:rsidRPr="001E13F5" w:rsidRDefault="00871A83" w:rsidP="00354BAF">
            <w:pPr>
              <w:spacing w:before="60" w:after="60"/>
              <w:jc w:val="center"/>
              <w:rPr>
                <w:rFonts w:cs="Arial"/>
              </w:rPr>
            </w:pPr>
            <w:r w:rsidRPr="001E13F5">
              <w:rPr>
                <w:rFonts w:cs="Arial"/>
              </w:rPr>
              <w:t>Moderate coverage and fill is good quality</w:t>
            </w:r>
          </w:p>
        </w:tc>
        <w:tc>
          <w:tcPr>
            <w:tcW w:w="3256" w:type="dxa"/>
            <w:gridSpan w:val="2"/>
            <w:shd w:val="clear" w:color="auto" w:fill="auto"/>
            <w:vAlign w:val="center"/>
          </w:tcPr>
          <w:p w14:paraId="7BA571FC" w14:textId="77777777" w:rsidR="00871A83" w:rsidRPr="001E13F5" w:rsidRDefault="00871A83" w:rsidP="00354BAF">
            <w:pPr>
              <w:spacing w:before="60" w:after="60"/>
              <w:jc w:val="center"/>
              <w:rPr>
                <w:rFonts w:cs="Arial"/>
                <w:highlight w:val="yellow"/>
              </w:rPr>
            </w:pPr>
            <w:r w:rsidRPr="001E13F5">
              <w:rPr>
                <w:rFonts w:cs="Arial"/>
              </w:rPr>
              <w:t>Extensive poor quality fill and variable quality fill</w:t>
            </w:r>
          </w:p>
        </w:tc>
        <w:tc>
          <w:tcPr>
            <w:tcW w:w="1461" w:type="dxa"/>
            <w:shd w:val="clear" w:color="auto" w:fill="auto"/>
          </w:tcPr>
          <w:p w14:paraId="1512CB22" w14:textId="77777777" w:rsidR="00871A83" w:rsidRPr="001E13F5" w:rsidRDefault="00871A83" w:rsidP="00354BAF">
            <w:pPr>
              <w:spacing w:before="60" w:after="60"/>
              <w:rPr>
                <w:rFonts w:cs="Arial"/>
              </w:rPr>
            </w:pPr>
          </w:p>
        </w:tc>
      </w:tr>
      <w:tr w:rsidR="00AC3500" w:rsidRPr="006D4B7C" w14:paraId="089B3421" w14:textId="77777777" w:rsidTr="00AC3500">
        <w:trPr>
          <w:cantSplit/>
          <w:jc w:val="center"/>
        </w:trPr>
        <w:tc>
          <w:tcPr>
            <w:tcW w:w="2249" w:type="dxa"/>
            <w:shd w:val="clear" w:color="auto" w:fill="auto"/>
            <w:vAlign w:val="center"/>
          </w:tcPr>
          <w:p w14:paraId="76572DD2" w14:textId="77777777" w:rsidR="00871A83" w:rsidRPr="001E13F5" w:rsidRDefault="00871A83" w:rsidP="00354BAF">
            <w:pPr>
              <w:spacing w:before="60" w:after="60"/>
              <w:rPr>
                <w:rFonts w:cs="Arial"/>
                <w:b/>
              </w:rPr>
            </w:pPr>
            <w:r w:rsidRPr="001E13F5">
              <w:rPr>
                <w:rFonts w:cs="Arial"/>
                <w:b/>
              </w:rPr>
              <w:t xml:space="preserve">Flood frequency  (ARI) </w:t>
            </w:r>
            <w:r w:rsidRPr="001E13F5">
              <w:rPr>
                <w:rFonts w:cs="Arial"/>
                <w:b/>
                <w:vertAlign w:val="superscript"/>
              </w:rPr>
              <w:t>3</w:t>
            </w:r>
          </w:p>
        </w:tc>
        <w:tc>
          <w:tcPr>
            <w:tcW w:w="3075" w:type="dxa"/>
            <w:gridSpan w:val="2"/>
            <w:shd w:val="clear" w:color="auto" w:fill="auto"/>
            <w:vAlign w:val="center"/>
          </w:tcPr>
          <w:p w14:paraId="0985D025" w14:textId="77777777" w:rsidR="00871A83" w:rsidRPr="001E13F5" w:rsidRDefault="00871A83" w:rsidP="00354BAF">
            <w:pPr>
              <w:spacing w:before="60" w:after="60"/>
              <w:jc w:val="center"/>
              <w:rPr>
                <w:rFonts w:cs="Arial"/>
              </w:rPr>
            </w:pPr>
            <w:r w:rsidRPr="001E13F5">
              <w:rPr>
                <w:rFonts w:cs="Arial"/>
              </w:rPr>
              <w:t>Less than 1 in 100 years</w:t>
            </w:r>
          </w:p>
        </w:tc>
        <w:tc>
          <w:tcPr>
            <w:tcW w:w="3162" w:type="dxa"/>
            <w:gridSpan w:val="3"/>
            <w:shd w:val="clear" w:color="auto" w:fill="auto"/>
            <w:vAlign w:val="center"/>
          </w:tcPr>
          <w:p w14:paraId="6D8EE2D8" w14:textId="77777777" w:rsidR="00871A83" w:rsidRPr="001E13F5" w:rsidRDefault="00871A83" w:rsidP="00354BAF">
            <w:pPr>
              <w:spacing w:before="60" w:after="60"/>
              <w:jc w:val="center"/>
              <w:rPr>
                <w:rFonts w:cs="Arial"/>
              </w:rPr>
            </w:pPr>
            <w:r w:rsidRPr="001E13F5">
              <w:rPr>
                <w:rFonts w:cs="Arial"/>
              </w:rPr>
              <w:t>Between 100 and 20 years</w:t>
            </w:r>
          </w:p>
        </w:tc>
        <w:tc>
          <w:tcPr>
            <w:tcW w:w="3256" w:type="dxa"/>
            <w:gridSpan w:val="2"/>
            <w:shd w:val="clear" w:color="auto" w:fill="auto"/>
            <w:vAlign w:val="center"/>
          </w:tcPr>
          <w:p w14:paraId="1DA17CA5" w14:textId="77777777" w:rsidR="00871A83" w:rsidRPr="001E13F5" w:rsidRDefault="00871A83" w:rsidP="00354BAF">
            <w:pPr>
              <w:spacing w:before="60" w:after="60"/>
              <w:jc w:val="center"/>
              <w:rPr>
                <w:rFonts w:cs="Arial"/>
              </w:rPr>
            </w:pPr>
            <w:r w:rsidRPr="001E13F5">
              <w:rPr>
                <w:rFonts w:cs="Arial"/>
              </w:rPr>
              <w:t>More than 1 in 20 years</w:t>
            </w:r>
          </w:p>
        </w:tc>
        <w:tc>
          <w:tcPr>
            <w:tcW w:w="1461" w:type="dxa"/>
            <w:shd w:val="clear" w:color="auto" w:fill="auto"/>
          </w:tcPr>
          <w:p w14:paraId="5737894D" w14:textId="77777777" w:rsidR="00871A83" w:rsidRPr="001E13F5" w:rsidRDefault="00871A83" w:rsidP="00354BAF">
            <w:pPr>
              <w:spacing w:before="60" w:after="60"/>
              <w:rPr>
                <w:rFonts w:cs="Arial"/>
              </w:rPr>
            </w:pPr>
          </w:p>
        </w:tc>
      </w:tr>
      <w:tr w:rsidR="00AC3500" w:rsidRPr="006D4B7C" w14:paraId="21705BF5" w14:textId="77777777" w:rsidTr="00AC3500">
        <w:trPr>
          <w:cantSplit/>
          <w:jc w:val="center"/>
        </w:trPr>
        <w:tc>
          <w:tcPr>
            <w:tcW w:w="2249" w:type="dxa"/>
            <w:shd w:val="clear" w:color="auto" w:fill="auto"/>
            <w:vAlign w:val="center"/>
          </w:tcPr>
          <w:p w14:paraId="452B91B5" w14:textId="77777777" w:rsidR="00871A83" w:rsidRPr="001E13F5" w:rsidRDefault="00871A83" w:rsidP="00354BAF">
            <w:pPr>
              <w:spacing w:before="60" w:after="60"/>
              <w:rPr>
                <w:rFonts w:cs="Arial"/>
                <w:b/>
              </w:rPr>
            </w:pPr>
            <w:r w:rsidRPr="001E13F5">
              <w:rPr>
                <w:rFonts w:cs="Arial"/>
                <w:b/>
              </w:rPr>
              <w:t xml:space="preserve">Groundwater bores </w:t>
            </w:r>
            <w:r w:rsidRPr="001E13F5">
              <w:rPr>
                <w:rFonts w:cs="Arial"/>
                <w:b/>
                <w:vertAlign w:val="superscript"/>
              </w:rPr>
              <w:t>4</w:t>
            </w:r>
          </w:p>
        </w:tc>
        <w:tc>
          <w:tcPr>
            <w:tcW w:w="3075" w:type="dxa"/>
            <w:gridSpan w:val="2"/>
            <w:shd w:val="clear" w:color="auto" w:fill="auto"/>
            <w:vAlign w:val="center"/>
          </w:tcPr>
          <w:p w14:paraId="33819DAD" w14:textId="77777777" w:rsidR="00871A83" w:rsidRPr="001E13F5" w:rsidRDefault="00871A83" w:rsidP="00354BAF">
            <w:pPr>
              <w:spacing w:before="60" w:after="60"/>
              <w:jc w:val="center"/>
              <w:rPr>
                <w:rFonts w:cs="Arial"/>
              </w:rPr>
            </w:pPr>
            <w:r w:rsidRPr="001E13F5">
              <w:rPr>
                <w:rFonts w:cs="Arial"/>
              </w:rPr>
              <w:t>No bores onsite or on neighbouring properties</w:t>
            </w:r>
          </w:p>
        </w:tc>
        <w:tc>
          <w:tcPr>
            <w:tcW w:w="3162" w:type="dxa"/>
            <w:gridSpan w:val="3"/>
            <w:shd w:val="clear" w:color="auto" w:fill="auto"/>
            <w:vAlign w:val="center"/>
          </w:tcPr>
          <w:p w14:paraId="0E8AD649" w14:textId="77777777" w:rsidR="00871A83" w:rsidRPr="001E13F5" w:rsidRDefault="00871A83" w:rsidP="00354BAF">
            <w:pPr>
              <w:spacing w:before="60" w:after="60"/>
              <w:jc w:val="center"/>
              <w:rPr>
                <w:rFonts w:cs="Arial"/>
              </w:rPr>
            </w:pPr>
            <w:r w:rsidRPr="001E13F5">
              <w:rPr>
                <w:rFonts w:cs="Arial"/>
              </w:rPr>
              <w:t>Setback distance from bore complies with requirements in EPA Code of Practice 891.3 (as amended)</w:t>
            </w:r>
          </w:p>
        </w:tc>
        <w:tc>
          <w:tcPr>
            <w:tcW w:w="3256" w:type="dxa"/>
            <w:gridSpan w:val="2"/>
            <w:shd w:val="clear" w:color="auto" w:fill="auto"/>
            <w:vAlign w:val="center"/>
          </w:tcPr>
          <w:p w14:paraId="7F4B593A" w14:textId="77777777" w:rsidR="00871A83" w:rsidRPr="001E13F5" w:rsidRDefault="00871A83" w:rsidP="00354BAF">
            <w:pPr>
              <w:spacing w:before="60" w:after="60"/>
              <w:jc w:val="center"/>
              <w:rPr>
                <w:rFonts w:cs="Arial"/>
              </w:rPr>
            </w:pPr>
            <w:r w:rsidRPr="001E13F5">
              <w:rPr>
                <w:rFonts w:cs="Arial"/>
              </w:rPr>
              <w:t>Setback distance from bore does not comply with requirements in EPA Code of Practice 891.3 (as amended)</w:t>
            </w:r>
          </w:p>
        </w:tc>
        <w:tc>
          <w:tcPr>
            <w:tcW w:w="1461" w:type="dxa"/>
            <w:shd w:val="clear" w:color="auto" w:fill="auto"/>
          </w:tcPr>
          <w:p w14:paraId="08AAF472" w14:textId="77777777" w:rsidR="00871A83" w:rsidRPr="001E13F5" w:rsidRDefault="00871A83" w:rsidP="00354BAF">
            <w:pPr>
              <w:spacing w:before="60" w:after="60"/>
              <w:rPr>
                <w:rFonts w:cs="Arial"/>
              </w:rPr>
            </w:pPr>
          </w:p>
        </w:tc>
      </w:tr>
      <w:tr w:rsidR="008F074A" w:rsidRPr="006D4B7C" w14:paraId="2E5AB9EE" w14:textId="77777777" w:rsidTr="00B36A42">
        <w:trPr>
          <w:cantSplit/>
          <w:jc w:val="center"/>
        </w:trPr>
        <w:tc>
          <w:tcPr>
            <w:tcW w:w="2249" w:type="dxa"/>
            <w:vMerge w:val="restart"/>
            <w:shd w:val="clear" w:color="auto" w:fill="auto"/>
            <w:vAlign w:val="center"/>
          </w:tcPr>
          <w:p w14:paraId="2E98E517" w14:textId="77777777" w:rsidR="008F074A" w:rsidRPr="001E13F5" w:rsidRDefault="008F074A" w:rsidP="00B36A42">
            <w:pPr>
              <w:spacing w:before="60" w:after="60"/>
              <w:jc w:val="center"/>
              <w:rPr>
                <w:rFonts w:cs="Arial"/>
                <w:b/>
              </w:rPr>
            </w:pPr>
            <w:r w:rsidRPr="001E13F5">
              <w:rPr>
                <w:rFonts w:cs="Arial"/>
                <w:b/>
              </w:rPr>
              <w:lastRenderedPageBreak/>
              <w:t>Characteristic</w:t>
            </w:r>
          </w:p>
        </w:tc>
        <w:tc>
          <w:tcPr>
            <w:tcW w:w="9493" w:type="dxa"/>
            <w:gridSpan w:val="7"/>
            <w:shd w:val="clear" w:color="auto" w:fill="auto"/>
          </w:tcPr>
          <w:p w14:paraId="3A995D20" w14:textId="77777777" w:rsidR="008F074A" w:rsidRPr="001E13F5" w:rsidRDefault="008F074A" w:rsidP="00B36A42">
            <w:pPr>
              <w:spacing w:before="60" w:after="60"/>
              <w:jc w:val="center"/>
              <w:rPr>
                <w:rFonts w:cs="Arial"/>
                <w:b/>
              </w:rPr>
            </w:pPr>
            <w:r w:rsidRPr="001E13F5">
              <w:rPr>
                <w:rFonts w:cs="Arial"/>
                <w:b/>
              </w:rPr>
              <w:t>Level of Constraint</w:t>
            </w:r>
          </w:p>
        </w:tc>
        <w:tc>
          <w:tcPr>
            <w:tcW w:w="1461" w:type="dxa"/>
            <w:vMerge w:val="restart"/>
            <w:shd w:val="clear" w:color="auto" w:fill="auto"/>
            <w:vAlign w:val="center"/>
          </w:tcPr>
          <w:p w14:paraId="28967030" w14:textId="77777777" w:rsidR="008F074A" w:rsidRPr="001E13F5" w:rsidRDefault="008F074A" w:rsidP="00B36A42">
            <w:pPr>
              <w:spacing w:before="60" w:after="60"/>
              <w:jc w:val="center"/>
              <w:rPr>
                <w:rFonts w:cs="Arial"/>
                <w:b/>
              </w:rPr>
            </w:pPr>
            <w:r w:rsidRPr="001E13F5">
              <w:rPr>
                <w:rFonts w:cs="Arial"/>
                <w:b/>
              </w:rPr>
              <w:t>Assessed Level of Constraint for Site</w:t>
            </w:r>
          </w:p>
        </w:tc>
      </w:tr>
      <w:tr w:rsidR="008F074A" w:rsidRPr="006D4B7C" w14:paraId="23467F67" w14:textId="77777777" w:rsidTr="00B36A42">
        <w:trPr>
          <w:cantSplit/>
          <w:jc w:val="center"/>
        </w:trPr>
        <w:tc>
          <w:tcPr>
            <w:tcW w:w="2249" w:type="dxa"/>
            <w:vMerge/>
            <w:shd w:val="clear" w:color="auto" w:fill="auto"/>
          </w:tcPr>
          <w:p w14:paraId="699BA6CA" w14:textId="77777777" w:rsidR="008F074A" w:rsidRPr="001E13F5" w:rsidRDefault="008F074A" w:rsidP="00B36A42">
            <w:pPr>
              <w:spacing w:before="60" w:after="60"/>
              <w:jc w:val="center"/>
              <w:rPr>
                <w:rFonts w:cs="Arial"/>
              </w:rPr>
            </w:pPr>
          </w:p>
        </w:tc>
        <w:tc>
          <w:tcPr>
            <w:tcW w:w="3075" w:type="dxa"/>
            <w:gridSpan w:val="2"/>
            <w:shd w:val="clear" w:color="auto" w:fill="auto"/>
            <w:vAlign w:val="center"/>
          </w:tcPr>
          <w:p w14:paraId="135A9097" w14:textId="77777777" w:rsidR="008F074A" w:rsidRPr="001E13F5" w:rsidRDefault="008F074A" w:rsidP="00B36A42">
            <w:pPr>
              <w:spacing w:before="60" w:after="60"/>
              <w:jc w:val="center"/>
              <w:rPr>
                <w:rFonts w:cs="Arial"/>
                <w:b/>
              </w:rPr>
            </w:pPr>
            <w:r w:rsidRPr="001E13F5">
              <w:rPr>
                <w:rFonts w:cs="Arial"/>
                <w:b/>
              </w:rPr>
              <w:t>Nil or Minor</w:t>
            </w:r>
          </w:p>
        </w:tc>
        <w:tc>
          <w:tcPr>
            <w:tcW w:w="3162" w:type="dxa"/>
            <w:gridSpan w:val="3"/>
            <w:shd w:val="clear" w:color="auto" w:fill="auto"/>
            <w:vAlign w:val="center"/>
          </w:tcPr>
          <w:p w14:paraId="1469B857" w14:textId="77777777" w:rsidR="008F074A" w:rsidRPr="001E13F5" w:rsidRDefault="008F074A" w:rsidP="00B36A42">
            <w:pPr>
              <w:spacing w:before="60" w:after="60"/>
              <w:jc w:val="center"/>
              <w:rPr>
                <w:rFonts w:cs="Arial"/>
                <w:b/>
              </w:rPr>
            </w:pPr>
            <w:r w:rsidRPr="001E13F5">
              <w:rPr>
                <w:rFonts w:cs="Arial"/>
                <w:b/>
              </w:rPr>
              <w:t>Moderate</w:t>
            </w:r>
          </w:p>
        </w:tc>
        <w:tc>
          <w:tcPr>
            <w:tcW w:w="3256" w:type="dxa"/>
            <w:gridSpan w:val="2"/>
            <w:shd w:val="clear" w:color="auto" w:fill="auto"/>
            <w:vAlign w:val="center"/>
          </w:tcPr>
          <w:p w14:paraId="36D1A006" w14:textId="77777777" w:rsidR="008F074A" w:rsidRPr="001E13F5" w:rsidRDefault="008F074A" w:rsidP="00B36A42">
            <w:pPr>
              <w:spacing w:before="60" w:after="60"/>
              <w:jc w:val="center"/>
              <w:rPr>
                <w:rFonts w:cs="Arial"/>
                <w:b/>
              </w:rPr>
            </w:pPr>
            <w:r w:rsidRPr="001E13F5">
              <w:rPr>
                <w:rFonts w:cs="Arial"/>
                <w:b/>
              </w:rPr>
              <w:t>Major</w:t>
            </w:r>
          </w:p>
        </w:tc>
        <w:tc>
          <w:tcPr>
            <w:tcW w:w="1461" w:type="dxa"/>
            <w:vMerge/>
            <w:shd w:val="clear" w:color="auto" w:fill="auto"/>
          </w:tcPr>
          <w:p w14:paraId="22F4C56C" w14:textId="77777777" w:rsidR="008F074A" w:rsidRPr="001E13F5" w:rsidRDefault="008F074A" w:rsidP="00B36A42">
            <w:pPr>
              <w:spacing w:before="60" w:after="60"/>
              <w:jc w:val="center"/>
              <w:rPr>
                <w:rFonts w:cs="Arial"/>
              </w:rPr>
            </w:pPr>
          </w:p>
        </w:tc>
      </w:tr>
      <w:tr w:rsidR="00AC3500" w:rsidRPr="006D4B7C" w14:paraId="05D9F710" w14:textId="77777777" w:rsidTr="00AC3500">
        <w:trPr>
          <w:cantSplit/>
          <w:jc w:val="center"/>
        </w:trPr>
        <w:tc>
          <w:tcPr>
            <w:tcW w:w="2249" w:type="dxa"/>
            <w:shd w:val="clear" w:color="auto" w:fill="auto"/>
            <w:vAlign w:val="center"/>
          </w:tcPr>
          <w:p w14:paraId="6E8495BA" w14:textId="77777777" w:rsidR="00871A83" w:rsidRPr="001E13F5" w:rsidRDefault="00871A83" w:rsidP="00354BAF">
            <w:pPr>
              <w:spacing w:before="60" w:after="60"/>
              <w:rPr>
                <w:rFonts w:cs="Arial"/>
                <w:b/>
              </w:rPr>
            </w:pPr>
            <w:r w:rsidRPr="001E13F5">
              <w:rPr>
                <w:rFonts w:cs="Arial"/>
                <w:b/>
              </w:rPr>
              <w:t>Land area</w:t>
            </w:r>
          </w:p>
          <w:p w14:paraId="6F70E499" w14:textId="77777777" w:rsidR="00871A83" w:rsidRPr="001E13F5" w:rsidRDefault="00871A83" w:rsidP="00354BAF">
            <w:pPr>
              <w:spacing w:before="60" w:after="60"/>
              <w:rPr>
                <w:rFonts w:cs="Arial"/>
                <w:b/>
              </w:rPr>
            </w:pPr>
            <w:r w:rsidRPr="001E13F5">
              <w:rPr>
                <w:rFonts w:cs="Arial"/>
                <w:b/>
              </w:rPr>
              <w:t>available for LAA</w:t>
            </w:r>
          </w:p>
        </w:tc>
        <w:tc>
          <w:tcPr>
            <w:tcW w:w="3075" w:type="dxa"/>
            <w:gridSpan w:val="2"/>
            <w:shd w:val="clear" w:color="auto" w:fill="auto"/>
            <w:vAlign w:val="center"/>
          </w:tcPr>
          <w:p w14:paraId="58FEAE4D" w14:textId="77777777" w:rsidR="00871A83" w:rsidRPr="001E13F5" w:rsidRDefault="00871A83" w:rsidP="00354BAF">
            <w:pPr>
              <w:spacing w:before="60" w:after="60"/>
              <w:jc w:val="center"/>
              <w:rPr>
                <w:rFonts w:cs="Arial"/>
              </w:rPr>
            </w:pPr>
            <w:r w:rsidRPr="001E13F5">
              <w:rPr>
                <w:rFonts w:cs="Arial"/>
              </w:rPr>
              <w:t>Exceeds LAA and duplicate LAA and buffer distance requirements</w:t>
            </w:r>
          </w:p>
        </w:tc>
        <w:tc>
          <w:tcPr>
            <w:tcW w:w="3162" w:type="dxa"/>
            <w:gridSpan w:val="3"/>
            <w:shd w:val="clear" w:color="auto" w:fill="auto"/>
            <w:vAlign w:val="center"/>
          </w:tcPr>
          <w:p w14:paraId="3D71AF64" w14:textId="77777777" w:rsidR="00871A83" w:rsidRPr="001E13F5" w:rsidRDefault="00871A83" w:rsidP="00354BAF">
            <w:pPr>
              <w:spacing w:before="60" w:after="60"/>
              <w:jc w:val="center"/>
              <w:rPr>
                <w:rFonts w:cs="Arial"/>
              </w:rPr>
            </w:pPr>
            <w:r w:rsidRPr="001E13F5">
              <w:rPr>
                <w:rFonts w:cs="Arial"/>
              </w:rPr>
              <w:t>Meets LAA and duplicate LAA and buffer distance requirements</w:t>
            </w:r>
          </w:p>
        </w:tc>
        <w:tc>
          <w:tcPr>
            <w:tcW w:w="3256" w:type="dxa"/>
            <w:gridSpan w:val="2"/>
            <w:shd w:val="clear" w:color="auto" w:fill="auto"/>
            <w:vAlign w:val="center"/>
          </w:tcPr>
          <w:p w14:paraId="4D626CFD" w14:textId="77777777" w:rsidR="00871A83" w:rsidRPr="001E13F5" w:rsidRDefault="00871A83" w:rsidP="00354BAF">
            <w:pPr>
              <w:spacing w:before="60" w:after="60"/>
              <w:jc w:val="center"/>
              <w:rPr>
                <w:rFonts w:cs="Arial"/>
              </w:rPr>
            </w:pPr>
            <w:r w:rsidRPr="001E13F5">
              <w:rPr>
                <w:rFonts w:cs="Arial"/>
              </w:rPr>
              <w:t>Insufficient area for LAA</w:t>
            </w:r>
          </w:p>
        </w:tc>
        <w:tc>
          <w:tcPr>
            <w:tcW w:w="1461" w:type="dxa"/>
            <w:shd w:val="clear" w:color="auto" w:fill="auto"/>
          </w:tcPr>
          <w:p w14:paraId="53FC01B2" w14:textId="77777777" w:rsidR="00871A83" w:rsidRPr="001E13F5" w:rsidRDefault="00871A83" w:rsidP="00354BAF">
            <w:pPr>
              <w:spacing w:before="60" w:after="60"/>
              <w:rPr>
                <w:rFonts w:cs="Arial"/>
              </w:rPr>
            </w:pPr>
          </w:p>
        </w:tc>
      </w:tr>
      <w:tr w:rsidR="00AC3500" w:rsidRPr="006D4B7C" w14:paraId="05CC4333" w14:textId="77777777" w:rsidTr="00AC3500">
        <w:trPr>
          <w:cantSplit/>
          <w:jc w:val="center"/>
        </w:trPr>
        <w:tc>
          <w:tcPr>
            <w:tcW w:w="2249" w:type="dxa"/>
            <w:shd w:val="clear" w:color="auto" w:fill="auto"/>
            <w:vAlign w:val="center"/>
          </w:tcPr>
          <w:p w14:paraId="15E7DBC9" w14:textId="77777777" w:rsidR="00871A83" w:rsidRPr="001E13F5" w:rsidRDefault="00871A83" w:rsidP="00354BAF">
            <w:pPr>
              <w:spacing w:before="60" w:after="60"/>
              <w:rPr>
                <w:rFonts w:cs="Arial"/>
                <w:b/>
              </w:rPr>
            </w:pPr>
            <w:r w:rsidRPr="001E13F5">
              <w:rPr>
                <w:rFonts w:cs="Arial"/>
                <w:b/>
              </w:rPr>
              <w:t xml:space="preserve">Landslip </w:t>
            </w:r>
          </w:p>
          <w:p w14:paraId="7AE75F9E" w14:textId="77777777" w:rsidR="00871A83" w:rsidRPr="001E13F5" w:rsidRDefault="00871A83" w:rsidP="00354BAF">
            <w:pPr>
              <w:spacing w:before="60" w:after="60"/>
              <w:rPr>
                <w:rFonts w:cs="Arial"/>
                <w:b/>
              </w:rPr>
            </w:pPr>
            <w:r w:rsidRPr="001E13F5">
              <w:rPr>
                <w:rFonts w:cs="Arial"/>
                <w:b/>
              </w:rPr>
              <w:t xml:space="preserve">(or landslip potential) </w:t>
            </w:r>
            <w:r w:rsidRPr="001E13F5">
              <w:rPr>
                <w:rFonts w:cs="Arial"/>
                <w:b/>
                <w:vertAlign w:val="superscript"/>
              </w:rPr>
              <w:t>5</w:t>
            </w:r>
          </w:p>
        </w:tc>
        <w:tc>
          <w:tcPr>
            <w:tcW w:w="3075" w:type="dxa"/>
            <w:gridSpan w:val="2"/>
            <w:shd w:val="clear" w:color="auto" w:fill="auto"/>
            <w:vAlign w:val="center"/>
          </w:tcPr>
          <w:p w14:paraId="194C3A0B" w14:textId="77777777" w:rsidR="00871A83" w:rsidRPr="001E13F5" w:rsidRDefault="00871A83" w:rsidP="00354BAF">
            <w:pPr>
              <w:spacing w:before="60" w:after="60"/>
              <w:jc w:val="center"/>
              <w:rPr>
                <w:rFonts w:cs="Arial"/>
              </w:rPr>
            </w:pPr>
            <w:r w:rsidRPr="001E13F5">
              <w:rPr>
                <w:rFonts w:cs="Arial"/>
              </w:rPr>
              <w:t>Nil</w:t>
            </w:r>
          </w:p>
        </w:tc>
        <w:tc>
          <w:tcPr>
            <w:tcW w:w="3162" w:type="dxa"/>
            <w:gridSpan w:val="3"/>
            <w:shd w:val="clear" w:color="auto" w:fill="auto"/>
            <w:vAlign w:val="center"/>
          </w:tcPr>
          <w:p w14:paraId="1C5B8566" w14:textId="77777777" w:rsidR="00871A83" w:rsidRPr="001E13F5" w:rsidRDefault="00871A83" w:rsidP="00354BAF">
            <w:pPr>
              <w:spacing w:before="60" w:after="60"/>
              <w:jc w:val="center"/>
              <w:rPr>
                <w:rFonts w:cs="Arial"/>
              </w:rPr>
            </w:pPr>
            <w:r w:rsidRPr="001E13F5">
              <w:rPr>
                <w:rFonts w:cs="Arial"/>
              </w:rPr>
              <w:t>Minor to moderate</w:t>
            </w:r>
          </w:p>
        </w:tc>
        <w:tc>
          <w:tcPr>
            <w:tcW w:w="3256" w:type="dxa"/>
            <w:gridSpan w:val="2"/>
            <w:shd w:val="clear" w:color="auto" w:fill="auto"/>
            <w:vAlign w:val="center"/>
          </w:tcPr>
          <w:p w14:paraId="7E1965E1" w14:textId="77777777" w:rsidR="00871A83" w:rsidRPr="001E13F5" w:rsidRDefault="00871A83" w:rsidP="00354BAF">
            <w:pPr>
              <w:spacing w:before="60" w:after="60"/>
              <w:jc w:val="center"/>
              <w:rPr>
                <w:rFonts w:cs="Arial"/>
              </w:rPr>
            </w:pPr>
            <w:r w:rsidRPr="001E13F5">
              <w:rPr>
                <w:rFonts w:cs="Arial"/>
              </w:rPr>
              <w:t>High or Severe</w:t>
            </w:r>
          </w:p>
        </w:tc>
        <w:tc>
          <w:tcPr>
            <w:tcW w:w="1461" w:type="dxa"/>
            <w:shd w:val="clear" w:color="auto" w:fill="auto"/>
          </w:tcPr>
          <w:p w14:paraId="2F66620C" w14:textId="77777777" w:rsidR="00871A83" w:rsidRPr="001E13F5" w:rsidRDefault="00871A83" w:rsidP="00354BAF">
            <w:pPr>
              <w:spacing w:before="60" w:after="60"/>
              <w:rPr>
                <w:rFonts w:cs="Arial"/>
              </w:rPr>
            </w:pPr>
          </w:p>
        </w:tc>
      </w:tr>
      <w:tr w:rsidR="00AC3500" w:rsidRPr="006D4B7C" w14:paraId="5A743383" w14:textId="77777777" w:rsidTr="00AC3500">
        <w:trPr>
          <w:cantSplit/>
          <w:jc w:val="center"/>
        </w:trPr>
        <w:tc>
          <w:tcPr>
            <w:tcW w:w="2249" w:type="dxa"/>
            <w:shd w:val="clear" w:color="auto" w:fill="auto"/>
            <w:vAlign w:val="center"/>
          </w:tcPr>
          <w:p w14:paraId="083AB108" w14:textId="77777777" w:rsidR="00871A83" w:rsidRPr="001E13F5" w:rsidRDefault="00871A83" w:rsidP="00354BAF">
            <w:pPr>
              <w:spacing w:before="60" w:after="60"/>
              <w:rPr>
                <w:rFonts w:cs="Arial"/>
                <w:b/>
              </w:rPr>
            </w:pPr>
            <w:r w:rsidRPr="001E13F5">
              <w:rPr>
                <w:rFonts w:cs="Arial"/>
                <w:b/>
              </w:rPr>
              <w:t xml:space="preserve">Rock outcrops </w:t>
            </w:r>
          </w:p>
          <w:p w14:paraId="4EA6278B" w14:textId="77777777" w:rsidR="00871A83" w:rsidRPr="001E13F5" w:rsidRDefault="00871A83" w:rsidP="00354BAF">
            <w:pPr>
              <w:spacing w:before="60" w:after="60"/>
              <w:rPr>
                <w:rFonts w:cs="Arial"/>
                <w:b/>
              </w:rPr>
            </w:pPr>
            <w:r w:rsidRPr="001E13F5">
              <w:rPr>
                <w:rFonts w:cs="Arial"/>
                <w:b/>
              </w:rPr>
              <w:t>(% of surface)</w:t>
            </w:r>
          </w:p>
        </w:tc>
        <w:tc>
          <w:tcPr>
            <w:tcW w:w="3075" w:type="dxa"/>
            <w:gridSpan w:val="2"/>
            <w:tcBorders>
              <w:bottom w:val="single" w:sz="4" w:space="0" w:color="auto"/>
            </w:tcBorders>
            <w:shd w:val="clear" w:color="auto" w:fill="auto"/>
            <w:vAlign w:val="center"/>
          </w:tcPr>
          <w:p w14:paraId="5747DCB5" w14:textId="77777777" w:rsidR="00871A83" w:rsidRPr="001E13F5" w:rsidRDefault="00871A83" w:rsidP="00354BAF">
            <w:pPr>
              <w:spacing w:before="60" w:after="60"/>
              <w:jc w:val="center"/>
              <w:rPr>
                <w:rFonts w:cs="Arial"/>
              </w:rPr>
            </w:pPr>
            <w:r w:rsidRPr="001E13F5">
              <w:rPr>
                <w:rFonts w:cs="Arial"/>
              </w:rPr>
              <w:t>&lt;10%</w:t>
            </w:r>
          </w:p>
        </w:tc>
        <w:tc>
          <w:tcPr>
            <w:tcW w:w="3162" w:type="dxa"/>
            <w:gridSpan w:val="3"/>
            <w:tcBorders>
              <w:bottom w:val="single" w:sz="4" w:space="0" w:color="auto"/>
            </w:tcBorders>
            <w:shd w:val="clear" w:color="auto" w:fill="auto"/>
            <w:vAlign w:val="center"/>
          </w:tcPr>
          <w:p w14:paraId="7AEAE417" w14:textId="77777777" w:rsidR="00871A83" w:rsidRPr="001E13F5" w:rsidRDefault="00871A83" w:rsidP="00354BAF">
            <w:pPr>
              <w:spacing w:before="60" w:after="60"/>
              <w:jc w:val="center"/>
              <w:rPr>
                <w:rFonts w:cs="Arial"/>
              </w:rPr>
            </w:pPr>
            <w:r w:rsidRPr="001E13F5">
              <w:rPr>
                <w:rFonts w:cs="Arial"/>
              </w:rPr>
              <w:t>10-20%</w:t>
            </w:r>
          </w:p>
        </w:tc>
        <w:tc>
          <w:tcPr>
            <w:tcW w:w="3256" w:type="dxa"/>
            <w:gridSpan w:val="2"/>
            <w:tcBorders>
              <w:bottom w:val="single" w:sz="4" w:space="0" w:color="auto"/>
            </w:tcBorders>
            <w:shd w:val="clear" w:color="auto" w:fill="auto"/>
            <w:vAlign w:val="center"/>
          </w:tcPr>
          <w:p w14:paraId="203D4C7B" w14:textId="77777777" w:rsidR="00871A83" w:rsidRPr="001E13F5" w:rsidRDefault="00871A83" w:rsidP="00354BAF">
            <w:pPr>
              <w:spacing w:before="60" w:after="60"/>
              <w:jc w:val="center"/>
              <w:rPr>
                <w:rFonts w:cs="Arial"/>
              </w:rPr>
            </w:pPr>
            <w:r w:rsidRPr="001E13F5">
              <w:rPr>
                <w:rFonts w:cs="Arial"/>
              </w:rPr>
              <w:t>&gt;20%</w:t>
            </w:r>
          </w:p>
        </w:tc>
        <w:tc>
          <w:tcPr>
            <w:tcW w:w="1461" w:type="dxa"/>
            <w:shd w:val="clear" w:color="auto" w:fill="auto"/>
          </w:tcPr>
          <w:p w14:paraId="6AABC367" w14:textId="77777777" w:rsidR="00871A83" w:rsidRPr="001E13F5" w:rsidRDefault="00871A83" w:rsidP="00354BAF">
            <w:pPr>
              <w:spacing w:before="60" w:after="60"/>
              <w:rPr>
                <w:rFonts w:cs="Arial"/>
              </w:rPr>
            </w:pPr>
          </w:p>
        </w:tc>
      </w:tr>
      <w:tr w:rsidR="00AC3500" w:rsidRPr="006D4B7C" w14:paraId="2927CA0F" w14:textId="77777777" w:rsidTr="00AC3500">
        <w:trPr>
          <w:cantSplit/>
          <w:jc w:val="center"/>
        </w:trPr>
        <w:tc>
          <w:tcPr>
            <w:tcW w:w="2249" w:type="dxa"/>
            <w:shd w:val="clear" w:color="auto" w:fill="auto"/>
            <w:vAlign w:val="center"/>
          </w:tcPr>
          <w:p w14:paraId="36E9146A" w14:textId="77777777" w:rsidR="00871A83" w:rsidRPr="001E13F5" w:rsidRDefault="00871A83" w:rsidP="00354BAF">
            <w:pPr>
              <w:spacing w:before="60" w:after="60"/>
              <w:rPr>
                <w:rFonts w:cs="Arial"/>
                <w:b/>
              </w:rPr>
            </w:pPr>
            <w:r w:rsidRPr="001E13F5">
              <w:rPr>
                <w:rFonts w:cs="Arial"/>
                <w:b/>
              </w:rPr>
              <w:t>Slope Form</w:t>
            </w:r>
          </w:p>
          <w:p w14:paraId="26C0E899" w14:textId="77777777" w:rsidR="00871A83" w:rsidRPr="001E13F5" w:rsidRDefault="00871A83" w:rsidP="00354BAF">
            <w:pPr>
              <w:spacing w:before="60" w:after="60"/>
              <w:rPr>
                <w:rFonts w:cs="Arial"/>
                <w:b/>
              </w:rPr>
            </w:pPr>
            <w:r w:rsidRPr="001E13F5">
              <w:rPr>
                <w:rFonts w:cs="Arial"/>
                <w:b/>
              </w:rPr>
              <w:t>(affects water shedding ability)</w:t>
            </w:r>
          </w:p>
        </w:tc>
        <w:tc>
          <w:tcPr>
            <w:tcW w:w="3075" w:type="dxa"/>
            <w:gridSpan w:val="2"/>
            <w:shd w:val="clear" w:color="auto" w:fill="auto"/>
            <w:vAlign w:val="center"/>
          </w:tcPr>
          <w:p w14:paraId="51A7F100" w14:textId="77777777" w:rsidR="00871A83" w:rsidRPr="001E13F5" w:rsidRDefault="00871A83" w:rsidP="00354BAF">
            <w:pPr>
              <w:spacing w:before="60" w:after="60"/>
              <w:jc w:val="center"/>
              <w:rPr>
                <w:rFonts w:cs="Arial"/>
              </w:rPr>
            </w:pPr>
            <w:r w:rsidRPr="001E13F5">
              <w:rPr>
                <w:rFonts w:cs="Arial"/>
              </w:rPr>
              <w:t>Convex or divergent side-slopes</w:t>
            </w:r>
          </w:p>
        </w:tc>
        <w:tc>
          <w:tcPr>
            <w:tcW w:w="3162" w:type="dxa"/>
            <w:gridSpan w:val="3"/>
            <w:shd w:val="clear" w:color="auto" w:fill="auto"/>
            <w:vAlign w:val="center"/>
          </w:tcPr>
          <w:p w14:paraId="32D5686A" w14:textId="77777777" w:rsidR="00871A83" w:rsidRPr="001E13F5" w:rsidRDefault="00871A83" w:rsidP="00354BAF">
            <w:pPr>
              <w:spacing w:before="60" w:after="60"/>
              <w:jc w:val="center"/>
              <w:rPr>
                <w:rFonts w:cs="Arial"/>
              </w:rPr>
            </w:pPr>
            <w:r w:rsidRPr="001E13F5">
              <w:rPr>
                <w:rFonts w:cs="Arial"/>
              </w:rPr>
              <w:t>Straight side-slopes</w:t>
            </w:r>
          </w:p>
        </w:tc>
        <w:tc>
          <w:tcPr>
            <w:tcW w:w="3256" w:type="dxa"/>
            <w:gridSpan w:val="2"/>
            <w:shd w:val="clear" w:color="auto" w:fill="auto"/>
            <w:vAlign w:val="center"/>
          </w:tcPr>
          <w:p w14:paraId="40137510" w14:textId="77777777" w:rsidR="00871A83" w:rsidRPr="001E13F5" w:rsidRDefault="00871A83" w:rsidP="00354BAF">
            <w:pPr>
              <w:spacing w:before="60" w:after="60"/>
              <w:jc w:val="center"/>
              <w:rPr>
                <w:rFonts w:cs="Arial"/>
              </w:rPr>
            </w:pPr>
            <w:r w:rsidRPr="001E13F5">
              <w:rPr>
                <w:rFonts w:cs="Arial"/>
              </w:rPr>
              <w:t>Concave or convergent side-slopes</w:t>
            </w:r>
          </w:p>
        </w:tc>
        <w:tc>
          <w:tcPr>
            <w:tcW w:w="1461" w:type="dxa"/>
            <w:shd w:val="clear" w:color="auto" w:fill="auto"/>
          </w:tcPr>
          <w:p w14:paraId="457EB663" w14:textId="77777777" w:rsidR="00871A83" w:rsidRPr="001E13F5" w:rsidRDefault="00871A83" w:rsidP="00354BAF">
            <w:pPr>
              <w:spacing w:before="60" w:after="60"/>
              <w:rPr>
                <w:rFonts w:cs="Arial"/>
              </w:rPr>
            </w:pPr>
          </w:p>
        </w:tc>
      </w:tr>
      <w:tr w:rsidR="00871A83" w:rsidRPr="006D4B7C" w14:paraId="41ECD0F6" w14:textId="77777777" w:rsidTr="00AC3500">
        <w:trPr>
          <w:cantSplit/>
          <w:jc w:val="center"/>
        </w:trPr>
        <w:tc>
          <w:tcPr>
            <w:tcW w:w="2249" w:type="dxa"/>
            <w:shd w:val="clear" w:color="auto" w:fill="auto"/>
            <w:vAlign w:val="center"/>
          </w:tcPr>
          <w:p w14:paraId="0BF78010" w14:textId="77777777" w:rsidR="00871A83" w:rsidRPr="001E13F5" w:rsidRDefault="00871A83" w:rsidP="00354BAF">
            <w:pPr>
              <w:spacing w:before="60" w:after="60"/>
              <w:rPr>
                <w:rFonts w:cs="Arial"/>
                <w:b/>
              </w:rPr>
            </w:pPr>
            <w:r w:rsidRPr="001E13F5">
              <w:rPr>
                <w:rFonts w:cs="Arial"/>
                <w:b/>
              </w:rPr>
              <w:t xml:space="preserve">Slope gradient </w:t>
            </w:r>
            <w:r w:rsidRPr="001E13F5">
              <w:rPr>
                <w:rFonts w:cs="Arial"/>
                <w:b/>
                <w:vertAlign w:val="superscript"/>
              </w:rPr>
              <w:t>6</w:t>
            </w:r>
            <w:r w:rsidRPr="001E13F5">
              <w:rPr>
                <w:rFonts w:cs="Arial"/>
                <w:b/>
              </w:rPr>
              <w:t xml:space="preserve"> (%)</w:t>
            </w:r>
          </w:p>
        </w:tc>
        <w:tc>
          <w:tcPr>
            <w:tcW w:w="9493" w:type="dxa"/>
            <w:gridSpan w:val="7"/>
            <w:shd w:val="clear" w:color="auto" w:fill="E0E0E0"/>
            <w:vAlign w:val="center"/>
          </w:tcPr>
          <w:p w14:paraId="30F8989D" w14:textId="77777777" w:rsidR="00871A83" w:rsidRPr="001E13F5" w:rsidRDefault="00871A83" w:rsidP="00354BAF">
            <w:pPr>
              <w:spacing w:before="60" w:after="60"/>
              <w:jc w:val="center"/>
              <w:rPr>
                <w:rFonts w:cs="Arial"/>
              </w:rPr>
            </w:pPr>
          </w:p>
        </w:tc>
        <w:tc>
          <w:tcPr>
            <w:tcW w:w="1461" w:type="dxa"/>
            <w:shd w:val="clear" w:color="auto" w:fill="D9D9D9"/>
          </w:tcPr>
          <w:p w14:paraId="4C039EB8" w14:textId="77777777" w:rsidR="00871A83" w:rsidRPr="001E13F5" w:rsidRDefault="00871A83" w:rsidP="00354BAF">
            <w:pPr>
              <w:spacing w:before="60" w:after="60"/>
              <w:rPr>
                <w:rFonts w:cs="Arial"/>
              </w:rPr>
            </w:pPr>
          </w:p>
        </w:tc>
      </w:tr>
      <w:tr w:rsidR="00AC3500" w:rsidRPr="006D4B7C" w14:paraId="612F87C8" w14:textId="77777777" w:rsidTr="00AC3500">
        <w:trPr>
          <w:cantSplit/>
          <w:jc w:val="center"/>
        </w:trPr>
        <w:tc>
          <w:tcPr>
            <w:tcW w:w="2249" w:type="dxa"/>
            <w:shd w:val="clear" w:color="auto" w:fill="auto"/>
            <w:vAlign w:val="center"/>
          </w:tcPr>
          <w:p w14:paraId="35193839" w14:textId="77777777" w:rsidR="00871A83" w:rsidRPr="001E13F5" w:rsidRDefault="00871A83" w:rsidP="00354BAF">
            <w:pPr>
              <w:spacing w:before="60" w:after="60"/>
              <w:rPr>
                <w:rFonts w:cs="Arial"/>
              </w:rPr>
            </w:pPr>
            <w:r w:rsidRPr="001E13F5">
              <w:rPr>
                <w:rFonts w:cs="Arial"/>
              </w:rPr>
              <w:t>(a) for absorption trenches and beds</w:t>
            </w:r>
          </w:p>
        </w:tc>
        <w:tc>
          <w:tcPr>
            <w:tcW w:w="3075" w:type="dxa"/>
            <w:gridSpan w:val="2"/>
            <w:shd w:val="clear" w:color="auto" w:fill="auto"/>
            <w:vAlign w:val="center"/>
          </w:tcPr>
          <w:p w14:paraId="238EA7CB" w14:textId="77777777" w:rsidR="00871A83" w:rsidRPr="001E13F5" w:rsidRDefault="00871A83" w:rsidP="00354BAF">
            <w:pPr>
              <w:spacing w:before="60" w:after="60"/>
              <w:jc w:val="center"/>
              <w:rPr>
                <w:rFonts w:cs="Arial"/>
              </w:rPr>
            </w:pPr>
            <w:r w:rsidRPr="001E13F5">
              <w:rPr>
                <w:rFonts w:cs="Arial"/>
              </w:rPr>
              <w:t>&lt;6%</w:t>
            </w:r>
          </w:p>
        </w:tc>
        <w:tc>
          <w:tcPr>
            <w:tcW w:w="3162" w:type="dxa"/>
            <w:gridSpan w:val="3"/>
            <w:shd w:val="clear" w:color="auto" w:fill="auto"/>
            <w:vAlign w:val="center"/>
          </w:tcPr>
          <w:p w14:paraId="32C7DC5B" w14:textId="77777777" w:rsidR="00871A83" w:rsidRPr="001E13F5" w:rsidRDefault="00871A83" w:rsidP="00354BAF">
            <w:pPr>
              <w:spacing w:before="60" w:after="60"/>
              <w:jc w:val="center"/>
              <w:rPr>
                <w:rFonts w:cs="Arial"/>
              </w:rPr>
            </w:pPr>
            <w:r w:rsidRPr="001E13F5">
              <w:rPr>
                <w:rFonts w:cs="Arial"/>
              </w:rPr>
              <w:t>6-15%</w:t>
            </w:r>
          </w:p>
        </w:tc>
        <w:tc>
          <w:tcPr>
            <w:tcW w:w="3256" w:type="dxa"/>
            <w:gridSpan w:val="2"/>
            <w:shd w:val="clear" w:color="auto" w:fill="auto"/>
            <w:vAlign w:val="center"/>
          </w:tcPr>
          <w:p w14:paraId="385D5F15" w14:textId="77777777" w:rsidR="00871A83" w:rsidRPr="001E13F5" w:rsidRDefault="00871A83" w:rsidP="00354BAF">
            <w:pPr>
              <w:spacing w:before="60" w:after="60"/>
              <w:jc w:val="center"/>
              <w:rPr>
                <w:rFonts w:cs="Arial"/>
              </w:rPr>
            </w:pPr>
            <w:r w:rsidRPr="001E13F5">
              <w:rPr>
                <w:rFonts w:cs="Arial"/>
              </w:rPr>
              <w:t>&gt;15%</w:t>
            </w:r>
          </w:p>
        </w:tc>
        <w:tc>
          <w:tcPr>
            <w:tcW w:w="1461" w:type="dxa"/>
            <w:shd w:val="clear" w:color="auto" w:fill="auto"/>
          </w:tcPr>
          <w:p w14:paraId="7115822A" w14:textId="77777777" w:rsidR="00871A83" w:rsidRPr="001E13F5" w:rsidRDefault="00871A83" w:rsidP="00354BAF">
            <w:pPr>
              <w:spacing w:before="60" w:after="60"/>
              <w:rPr>
                <w:rFonts w:cs="Arial"/>
              </w:rPr>
            </w:pPr>
          </w:p>
        </w:tc>
      </w:tr>
      <w:tr w:rsidR="00AC3500" w:rsidRPr="006D4B7C" w14:paraId="79FE9F72" w14:textId="77777777" w:rsidTr="00AC3500">
        <w:trPr>
          <w:cantSplit/>
          <w:jc w:val="center"/>
        </w:trPr>
        <w:tc>
          <w:tcPr>
            <w:tcW w:w="2249" w:type="dxa"/>
            <w:shd w:val="clear" w:color="auto" w:fill="auto"/>
            <w:vAlign w:val="center"/>
          </w:tcPr>
          <w:p w14:paraId="7778ED87" w14:textId="77777777" w:rsidR="00871A83" w:rsidRPr="001E13F5" w:rsidRDefault="00871A83" w:rsidP="00354BAF">
            <w:pPr>
              <w:spacing w:before="60" w:after="60"/>
              <w:rPr>
                <w:rFonts w:cs="Arial"/>
              </w:rPr>
            </w:pPr>
            <w:r w:rsidRPr="001E13F5">
              <w:rPr>
                <w:rFonts w:cs="Arial"/>
              </w:rPr>
              <w:t>(b) for surface irrigation</w:t>
            </w:r>
          </w:p>
        </w:tc>
        <w:tc>
          <w:tcPr>
            <w:tcW w:w="3075" w:type="dxa"/>
            <w:gridSpan w:val="2"/>
            <w:shd w:val="clear" w:color="auto" w:fill="auto"/>
            <w:vAlign w:val="center"/>
          </w:tcPr>
          <w:p w14:paraId="753D4721" w14:textId="77777777" w:rsidR="00871A83" w:rsidRPr="001E13F5" w:rsidRDefault="00871A83" w:rsidP="00354BAF">
            <w:pPr>
              <w:spacing w:before="60" w:after="60"/>
              <w:jc w:val="center"/>
              <w:rPr>
                <w:rFonts w:cs="Arial"/>
              </w:rPr>
            </w:pPr>
            <w:r w:rsidRPr="001E13F5">
              <w:rPr>
                <w:rFonts w:cs="Arial"/>
              </w:rPr>
              <w:t>&lt;6%</w:t>
            </w:r>
          </w:p>
        </w:tc>
        <w:tc>
          <w:tcPr>
            <w:tcW w:w="3162" w:type="dxa"/>
            <w:gridSpan w:val="3"/>
            <w:shd w:val="clear" w:color="auto" w:fill="auto"/>
            <w:vAlign w:val="center"/>
          </w:tcPr>
          <w:p w14:paraId="4ADEBD31" w14:textId="77777777" w:rsidR="00871A83" w:rsidRPr="001E13F5" w:rsidRDefault="00871A83" w:rsidP="00354BAF">
            <w:pPr>
              <w:spacing w:before="60" w:after="60"/>
              <w:jc w:val="center"/>
              <w:rPr>
                <w:rFonts w:cs="Arial"/>
              </w:rPr>
            </w:pPr>
            <w:r w:rsidRPr="001E13F5">
              <w:rPr>
                <w:rFonts w:cs="Arial"/>
              </w:rPr>
              <w:t>6-10%</w:t>
            </w:r>
          </w:p>
        </w:tc>
        <w:tc>
          <w:tcPr>
            <w:tcW w:w="3256" w:type="dxa"/>
            <w:gridSpan w:val="2"/>
            <w:shd w:val="clear" w:color="auto" w:fill="auto"/>
            <w:vAlign w:val="center"/>
          </w:tcPr>
          <w:p w14:paraId="5E0CD28C" w14:textId="77777777" w:rsidR="00871A83" w:rsidRPr="001E13F5" w:rsidRDefault="00871A83" w:rsidP="00354BAF">
            <w:pPr>
              <w:spacing w:before="60" w:after="60"/>
              <w:jc w:val="center"/>
              <w:rPr>
                <w:rFonts w:cs="Arial"/>
              </w:rPr>
            </w:pPr>
            <w:r w:rsidRPr="001E13F5">
              <w:rPr>
                <w:rFonts w:cs="Arial"/>
              </w:rPr>
              <w:t>&gt;10%</w:t>
            </w:r>
          </w:p>
        </w:tc>
        <w:tc>
          <w:tcPr>
            <w:tcW w:w="1461" w:type="dxa"/>
            <w:shd w:val="clear" w:color="auto" w:fill="auto"/>
          </w:tcPr>
          <w:p w14:paraId="2CF62538" w14:textId="77777777" w:rsidR="00871A83" w:rsidRPr="001E13F5" w:rsidRDefault="00871A83" w:rsidP="00354BAF">
            <w:pPr>
              <w:spacing w:before="60" w:after="60"/>
              <w:rPr>
                <w:rFonts w:cs="Arial"/>
              </w:rPr>
            </w:pPr>
          </w:p>
        </w:tc>
      </w:tr>
      <w:tr w:rsidR="00AC3500" w:rsidRPr="006D4B7C" w14:paraId="046DB367" w14:textId="77777777" w:rsidTr="00AC3500">
        <w:trPr>
          <w:cantSplit/>
          <w:jc w:val="center"/>
        </w:trPr>
        <w:tc>
          <w:tcPr>
            <w:tcW w:w="2249" w:type="dxa"/>
            <w:shd w:val="clear" w:color="auto" w:fill="auto"/>
            <w:vAlign w:val="center"/>
          </w:tcPr>
          <w:p w14:paraId="3837CAE8" w14:textId="77777777" w:rsidR="00871A83" w:rsidRPr="001E13F5" w:rsidRDefault="00871A83" w:rsidP="00354BAF">
            <w:pPr>
              <w:spacing w:before="60" w:after="60"/>
              <w:rPr>
                <w:rFonts w:cs="Arial"/>
              </w:rPr>
            </w:pPr>
            <w:r w:rsidRPr="001E13F5">
              <w:rPr>
                <w:rFonts w:cs="Arial"/>
              </w:rPr>
              <w:t>(c) for subsurface irrigation</w:t>
            </w:r>
          </w:p>
        </w:tc>
        <w:tc>
          <w:tcPr>
            <w:tcW w:w="3075" w:type="dxa"/>
            <w:gridSpan w:val="2"/>
            <w:shd w:val="clear" w:color="auto" w:fill="auto"/>
            <w:vAlign w:val="center"/>
          </w:tcPr>
          <w:p w14:paraId="4F6FEEBC" w14:textId="77777777" w:rsidR="00871A83" w:rsidRPr="001E13F5" w:rsidRDefault="00871A83" w:rsidP="00354BAF">
            <w:pPr>
              <w:spacing w:before="60" w:after="60"/>
              <w:jc w:val="center"/>
              <w:rPr>
                <w:rFonts w:cs="Arial"/>
              </w:rPr>
            </w:pPr>
            <w:r w:rsidRPr="001E13F5">
              <w:rPr>
                <w:rFonts w:cs="Arial"/>
              </w:rPr>
              <w:t>&lt;10%</w:t>
            </w:r>
          </w:p>
        </w:tc>
        <w:tc>
          <w:tcPr>
            <w:tcW w:w="3162" w:type="dxa"/>
            <w:gridSpan w:val="3"/>
            <w:tcBorders>
              <w:bottom w:val="single" w:sz="4" w:space="0" w:color="auto"/>
            </w:tcBorders>
            <w:shd w:val="clear" w:color="auto" w:fill="auto"/>
            <w:vAlign w:val="center"/>
          </w:tcPr>
          <w:p w14:paraId="142694F1" w14:textId="77777777" w:rsidR="00871A83" w:rsidRPr="001E13F5" w:rsidRDefault="00871A83" w:rsidP="00354BAF">
            <w:pPr>
              <w:spacing w:before="60" w:after="60"/>
              <w:jc w:val="center"/>
              <w:rPr>
                <w:rFonts w:cs="Arial"/>
              </w:rPr>
            </w:pPr>
            <w:r w:rsidRPr="001E13F5">
              <w:rPr>
                <w:rFonts w:cs="Arial"/>
              </w:rPr>
              <w:t>10-30%</w:t>
            </w:r>
          </w:p>
        </w:tc>
        <w:tc>
          <w:tcPr>
            <w:tcW w:w="3256" w:type="dxa"/>
            <w:gridSpan w:val="2"/>
            <w:shd w:val="clear" w:color="auto" w:fill="auto"/>
            <w:vAlign w:val="center"/>
          </w:tcPr>
          <w:p w14:paraId="272C9195" w14:textId="77777777" w:rsidR="00871A83" w:rsidRPr="001E13F5" w:rsidRDefault="00871A83" w:rsidP="00354BAF">
            <w:pPr>
              <w:spacing w:before="60" w:after="60"/>
              <w:jc w:val="center"/>
              <w:rPr>
                <w:rFonts w:cs="Arial"/>
              </w:rPr>
            </w:pPr>
            <w:r w:rsidRPr="001E13F5">
              <w:rPr>
                <w:rFonts w:cs="Arial"/>
              </w:rPr>
              <w:t>&gt;30%</w:t>
            </w:r>
          </w:p>
        </w:tc>
        <w:tc>
          <w:tcPr>
            <w:tcW w:w="1461" w:type="dxa"/>
            <w:shd w:val="clear" w:color="auto" w:fill="auto"/>
          </w:tcPr>
          <w:p w14:paraId="73D9C529" w14:textId="77777777" w:rsidR="00871A83" w:rsidRPr="001E13F5" w:rsidRDefault="00871A83" w:rsidP="00354BAF">
            <w:pPr>
              <w:spacing w:before="60" w:after="60"/>
              <w:rPr>
                <w:rFonts w:cs="Arial"/>
              </w:rPr>
            </w:pPr>
          </w:p>
        </w:tc>
      </w:tr>
      <w:tr w:rsidR="00AC3500" w:rsidRPr="006D4B7C" w14:paraId="7C5FBE58" w14:textId="77777777" w:rsidTr="00AC3500">
        <w:trPr>
          <w:cantSplit/>
          <w:jc w:val="center"/>
        </w:trPr>
        <w:tc>
          <w:tcPr>
            <w:tcW w:w="2249" w:type="dxa"/>
            <w:shd w:val="clear" w:color="auto" w:fill="auto"/>
            <w:vAlign w:val="center"/>
          </w:tcPr>
          <w:p w14:paraId="7F88337B" w14:textId="77777777" w:rsidR="00871A83" w:rsidRPr="001E13F5" w:rsidRDefault="00871A83" w:rsidP="00354BAF">
            <w:pPr>
              <w:spacing w:before="60" w:after="60"/>
              <w:rPr>
                <w:rFonts w:cs="Arial"/>
                <w:b/>
              </w:rPr>
            </w:pPr>
            <w:r w:rsidRPr="001E13F5">
              <w:rPr>
                <w:rFonts w:cs="Arial"/>
                <w:b/>
              </w:rPr>
              <w:t xml:space="preserve">Soil Drainage </w:t>
            </w:r>
            <w:r w:rsidRPr="001E13F5">
              <w:rPr>
                <w:rFonts w:cs="Arial"/>
                <w:b/>
                <w:vertAlign w:val="superscript"/>
              </w:rPr>
              <w:t>7</w:t>
            </w:r>
          </w:p>
          <w:p w14:paraId="272BF750" w14:textId="77777777" w:rsidR="00871A83" w:rsidRPr="001E13F5" w:rsidRDefault="00871A83" w:rsidP="00354BAF">
            <w:pPr>
              <w:spacing w:before="60" w:after="60"/>
              <w:rPr>
                <w:rFonts w:cs="Arial"/>
                <w:b/>
              </w:rPr>
            </w:pPr>
            <w:r w:rsidRPr="001E13F5">
              <w:rPr>
                <w:rFonts w:cs="Arial"/>
                <w:b/>
              </w:rPr>
              <w:t xml:space="preserve">(qualitative) </w:t>
            </w:r>
          </w:p>
          <w:p w14:paraId="5CBB74AE" w14:textId="77777777" w:rsidR="00871A83" w:rsidRPr="001E13F5" w:rsidRDefault="00871A83" w:rsidP="00354BAF">
            <w:pPr>
              <w:spacing w:before="60" w:after="60"/>
              <w:rPr>
                <w:rFonts w:cs="Arial"/>
                <w:b/>
              </w:rPr>
            </w:pPr>
          </w:p>
        </w:tc>
        <w:tc>
          <w:tcPr>
            <w:tcW w:w="3075" w:type="dxa"/>
            <w:gridSpan w:val="2"/>
            <w:shd w:val="clear" w:color="auto" w:fill="auto"/>
            <w:vAlign w:val="center"/>
          </w:tcPr>
          <w:p w14:paraId="1E780F07" w14:textId="77777777" w:rsidR="00871A83" w:rsidRPr="001E13F5" w:rsidRDefault="00871A83" w:rsidP="00354BAF">
            <w:pPr>
              <w:spacing w:before="60" w:after="60"/>
              <w:jc w:val="center"/>
              <w:rPr>
                <w:rFonts w:cs="Arial"/>
              </w:rPr>
            </w:pPr>
            <w:r w:rsidRPr="001E13F5">
              <w:rPr>
                <w:rFonts w:cs="Arial"/>
              </w:rPr>
              <w:t>No visible signs or likelihood of dampness, even in wet season</w:t>
            </w:r>
          </w:p>
        </w:tc>
        <w:tc>
          <w:tcPr>
            <w:tcW w:w="3162" w:type="dxa"/>
            <w:gridSpan w:val="3"/>
            <w:shd w:val="clear" w:color="auto" w:fill="auto"/>
            <w:vAlign w:val="center"/>
          </w:tcPr>
          <w:p w14:paraId="7EE554E2" w14:textId="77777777" w:rsidR="00871A83" w:rsidRPr="001E13F5" w:rsidRDefault="00871A83" w:rsidP="00354BAF">
            <w:pPr>
              <w:spacing w:before="60" w:after="60"/>
              <w:jc w:val="center"/>
              <w:rPr>
                <w:rFonts w:cs="Arial"/>
              </w:rPr>
            </w:pPr>
            <w:r w:rsidRPr="001E13F5">
              <w:rPr>
                <w:rFonts w:cs="Arial"/>
              </w:rPr>
              <w:t>Some signs or likelihood of dampness</w:t>
            </w:r>
          </w:p>
        </w:tc>
        <w:tc>
          <w:tcPr>
            <w:tcW w:w="3256" w:type="dxa"/>
            <w:gridSpan w:val="2"/>
            <w:shd w:val="clear" w:color="auto" w:fill="auto"/>
            <w:vAlign w:val="center"/>
          </w:tcPr>
          <w:p w14:paraId="3EF65E09" w14:textId="77777777" w:rsidR="00871A83" w:rsidRPr="001E13F5" w:rsidRDefault="00871A83" w:rsidP="00354BAF">
            <w:pPr>
              <w:spacing w:before="60" w:after="60"/>
              <w:jc w:val="center"/>
              <w:rPr>
                <w:rFonts w:cs="Arial"/>
              </w:rPr>
            </w:pPr>
            <w:r w:rsidRPr="001E13F5">
              <w:rPr>
                <w:rFonts w:cs="Arial"/>
              </w:rPr>
              <w:t>Wet soil, moisture-loving plants, standing water in pit; water ponding on surface, soil pit fills with water</w:t>
            </w:r>
          </w:p>
        </w:tc>
        <w:tc>
          <w:tcPr>
            <w:tcW w:w="1461" w:type="dxa"/>
            <w:shd w:val="clear" w:color="auto" w:fill="auto"/>
          </w:tcPr>
          <w:p w14:paraId="0C824362" w14:textId="77777777" w:rsidR="00871A83" w:rsidRPr="001E13F5" w:rsidRDefault="00871A83" w:rsidP="00354BAF">
            <w:pPr>
              <w:spacing w:before="60" w:after="60"/>
              <w:rPr>
                <w:rFonts w:cs="Arial"/>
              </w:rPr>
            </w:pPr>
          </w:p>
        </w:tc>
      </w:tr>
      <w:tr w:rsidR="008F074A" w:rsidRPr="006D4B7C" w14:paraId="6A1DCF80" w14:textId="77777777" w:rsidTr="00B36A42">
        <w:trPr>
          <w:cantSplit/>
          <w:jc w:val="center"/>
        </w:trPr>
        <w:tc>
          <w:tcPr>
            <w:tcW w:w="2249" w:type="dxa"/>
            <w:vMerge w:val="restart"/>
            <w:shd w:val="clear" w:color="auto" w:fill="auto"/>
            <w:vAlign w:val="center"/>
          </w:tcPr>
          <w:p w14:paraId="5ECFE08E" w14:textId="77777777" w:rsidR="008F074A" w:rsidRPr="001E13F5" w:rsidRDefault="008F074A" w:rsidP="00B36A42">
            <w:pPr>
              <w:spacing w:before="60" w:after="60"/>
              <w:jc w:val="center"/>
              <w:rPr>
                <w:rFonts w:cs="Arial"/>
                <w:b/>
              </w:rPr>
            </w:pPr>
            <w:r w:rsidRPr="001E13F5">
              <w:rPr>
                <w:rFonts w:cs="Arial"/>
                <w:b/>
              </w:rPr>
              <w:lastRenderedPageBreak/>
              <w:t>Characteristic</w:t>
            </w:r>
          </w:p>
        </w:tc>
        <w:tc>
          <w:tcPr>
            <w:tcW w:w="9493" w:type="dxa"/>
            <w:gridSpan w:val="7"/>
            <w:shd w:val="clear" w:color="auto" w:fill="auto"/>
          </w:tcPr>
          <w:p w14:paraId="67E68372" w14:textId="77777777" w:rsidR="008F074A" w:rsidRPr="001E13F5" w:rsidRDefault="008F074A" w:rsidP="00B36A42">
            <w:pPr>
              <w:spacing w:before="60" w:after="60"/>
              <w:jc w:val="center"/>
              <w:rPr>
                <w:rFonts w:cs="Arial"/>
                <w:b/>
              </w:rPr>
            </w:pPr>
            <w:r w:rsidRPr="001E13F5">
              <w:rPr>
                <w:rFonts w:cs="Arial"/>
                <w:b/>
              </w:rPr>
              <w:t>Level of Constraint</w:t>
            </w:r>
          </w:p>
        </w:tc>
        <w:tc>
          <w:tcPr>
            <w:tcW w:w="1461" w:type="dxa"/>
            <w:vMerge w:val="restart"/>
            <w:shd w:val="clear" w:color="auto" w:fill="auto"/>
            <w:vAlign w:val="center"/>
          </w:tcPr>
          <w:p w14:paraId="114DA0C8" w14:textId="77777777" w:rsidR="008F074A" w:rsidRPr="001E13F5" w:rsidRDefault="008F074A" w:rsidP="00B36A42">
            <w:pPr>
              <w:spacing w:before="60" w:after="60"/>
              <w:jc w:val="center"/>
              <w:rPr>
                <w:rFonts w:cs="Arial"/>
                <w:b/>
              </w:rPr>
            </w:pPr>
            <w:r w:rsidRPr="001E13F5">
              <w:rPr>
                <w:rFonts w:cs="Arial"/>
                <w:b/>
              </w:rPr>
              <w:t>Assessed Level of Constraint for Site</w:t>
            </w:r>
          </w:p>
        </w:tc>
      </w:tr>
      <w:tr w:rsidR="008F074A" w:rsidRPr="006D4B7C" w14:paraId="08A09AAB" w14:textId="77777777" w:rsidTr="00B36A42">
        <w:trPr>
          <w:cantSplit/>
          <w:jc w:val="center"/>
        </w:trPr>
        <w:tc>
          <w:tcPr>
            <w:tcW w:w="2249" w:type="dxa"/>
            <w:vMerge/>
            <w:shd w:val="clear" w:color="auto" w:fill="auto"/>
          </w:tcPr>
          <w:p w14:paraId="14AE6035" w14:textId="77777777" w:rsidR="008F074A" w:rsidRPr="001E13F5" w:rsidRDefault="008F074A" w:rsidP="00B36A42">
            <w:pPr>
              <w:spacing w:before="60" w:after="60"/>
              <w:jc w:val="center"/>
              <w:rPr>
                <w:rFonts w:cs="Arial"/>
              </w:rPr>
            </w:pPr>
          </w:p>
        </w:tc>
        <w:tc>
          <w:tcPr>
            <w:tcW w:w="3075" w:type="dxa"/>
            <w:gridSpan w:val="2"/>
            <w:shd w:val="clear" w:color="auto" w:fill="auto"/>
            <w:vAlign w:val="center"/>
          </w:tcPr>
          <w:p w14:paraId="00AD8AA7" w14:textId="77777777" w:rsidR="008F074A" w:rsidRPr="001E13F5" w:rsidRDefault="008F074A" w:rsidP="00B36A42">
            <w:pPr>
              <w:spacing w:before="60" w:after="60"/>
              <w:jc w:val="center"/>
              <w:rPr>
                <w:rFonts w:cs="Arial"/>
                <w:b/>
              </w:rPr>
            </w:pPr>
            <w:r w:rsidRPr="001E13F5">
              <w:rPr>
                <w:rFonts w:cs="Arial"/>
                <w:b/>
              </w:rPr>
              <w:t>Nil or Minor</w:t>
            </w:r>
          </w:p>
        </w:tc>
        <w:tc>
          <w:tcPr>
            <w:tcW w:w="3162" w:type="dxa"/>
            <w:gridSpan w:val="3"/>
            <w:shd w:val="clear" w:color="auto" w:fill="auto"/>
            <w:vAlign w:val="center"/>
          </w:tcPr>
          <w:p w14:paraId="1CACE164" w14:textId="77777777" w:rsidR="008F074A" w:rsidRPr="001E13F5" w:rsidRDefault="008F074A" w:rsidP="00B36A42">
            <w:pPr>
              <w:spacing w:before="60" w:after="60"/>
              <w:jc w:val="center"/>
              <w:rPr>
                <w:rFonts w:cs="Arial"/>
                <w:b/>
              </w:rPr>
            </w:pPr>
            <w:r w:rsidRPr="001E13F5">
              <w:rPr>
                <w:rFonts w:cs="Arial"/>
                <w:b/>
              </w:rPr>
              <w:t>Moderate</w:t>
            </w:r>
          </w:p>
        </w:tc>
        <w:tc>
          <w:tcPr>
            <w:tcW w:w="3256" w:type="dxa"/>
            <w:gridSpan w:val="2"/>
            <w:shd w:val="clear" w:color="auto" w:fill="auto"/>
            <w:vAlign w:val="center"/>
          </w:tcPr>
          <w:p w14:paraId="2F4F8010" w14:textId="77777777" w:rsidR="008F074A" w:rsidRPr="001E13F5" w:rsidRDefault="008F074A" w:rsidP="00B36A42">
            <w:pPr>
              <w:spacing w:before="60" w:after="60"/>
              <w:jc w:val="center"/>
              <w:rPr>
                <w:rFonts w:cs="Arial"/>
                <w:b/>
              </w:rPr>
            </w:pPr>
            <w:r w:rsidRPr="001E13F5">
              <w:rPr>
                <w:rFonts w:cs="Arial"/>
                <w:b/>
              </w:rPr>
              <w:t>Major</w:t>
            </w:r>
          </w:p>
        </w:tc>
        <w:tc>
          <w:tcPr>
            <w:tcW w:w="1461" w:type="dxa"/>
            <w:vMerge/>
            <w:shd w:val="clear" w:color="auto" w:fill="auto"/>
          </w:tcPr>
          <w:p w14:paraId="17F0B6C6" w14:textId="77777777" w:rsidR="008F074A" w:rsidRPr="001E13F5" w:rsidRDefault="008F074A" w:rsidP="00B36A42">
            <w:pPr>
              <w:spacing w:before="60" w:after="60"/>
              <w:jc w:val="center"/>
              <w:rPr>
                <w:rFonts w:cs="Arial"/>
              </w:rPr>
            </w:pPr>
          </w:p>
        </w:tc>
      </w:tr>
      <w:tr w:rsidR="008F074A" w:rsidRPr="006D4B7C" w14:paraId="22F44215" w14:textId="77777777" w:rsidTr="00B36A42">
        <w:trPr>
          <w:cantSplit/>
          <w:jc w:val="center"/>
        </w:trPr>
        <w:tc>
          <w:tcPr>
            <w:tcW w:w="2249" w:type="dxa"/>
            <w:shd w:val="clear" w:color="auto" w:fill="auto"/>
            <w:vAlign w:val="center"/>
          </w:tcPr>
          <w:p w14:paraId="201D5CDB" w14:textId="77777777" w:rsidR="008F074A" w:rsidRPr="001E13F5" w:rsidRDefault="008F074A" w:rsidP="00B36A42">
            <w:pPr>
              <w:spacing w:before="60" w:after="60"/>
              <w:rPr>
                <w:rFonts w:cs="Arial"/>
                <w:b/>
              </w:rPr>
            </w:pPr>
            <w:r w:rsidRPr="001E13F5">
              <w:rPr>
                <w:rFonts w:cs="Arial"/>
                <w:b/>
              </w:rPr>
              <w:t xml:space="preserve">Stormwater </w:t>
            </w:r>
          </w:p>
          <w:p w14:paraId="217FEE0A" w14:textId="77777777" w:rsidR="008F074A" w:rsidRPr="001E13F5" w:rsidRDefault="008F074A" w:rsidP="00B36A42">
            <w:pPr>
              <w:spacing w:before="60" w:after="60"/>
              <w:rPr>
                <w:rFonts w:cs="Arial"/>
                <w:b/>
              </w:rPr>
            </w:pPr>
            <w:r w:rsidRPr="001E13F5">
              <w:rPr>
                <w:rFonts w:cs="Arial"/>
                <w:b/>
              </w:rPr>
              <w:t>run-on</w:t>
            </w:r>
          </w:p>
        </w:tc>
        <w:tc>
          <w:tcPr>
            <w:tcW w:w="3075" w:type="dxa"/>
            <w:gridSpan w:val="2"/>
            <w:shd w:val="clear" w:color="auto" w:fill="auto"/>
            <w:vAlign w:val="center"/>
          </w:tcPr>
          <w:p w14:paraId="43DBBD1D" w14:textId="77777777" w:rsidR="008F074A" w:rsidRPr="001E13F5" w:rsidRDefault="008F074A" w:rsidP="00B36A42">
            <w:pPr>
              <w:jc w:val="center"/>
              <w:rPr>
                <w:rFonts w:cs="Arial"/>
                <w:color w:val="231F20"/>
              </w:rPr>
            </w:pPr>
            <w:r w:rsidRPr="001E13F5">
              <w:rPr>
                <w:rFonts w:cs="Arial"/>
              </w:rPr>
              <w:t>Low likelihood of stormwater run-on</w:t>
            </w:r>
          </w:p>
        </w:tc>
        <w:tc>
          <w:tcPr>
            <w:tcW w:w="3162" w:type="dxa"/>
            <w:gridSpan w:val="3"/>
            <w:shd w:val="clear" w:color="auto" w:fill="E0E0E0"/>
            <w:vAlign w:val="center"/>
          </w:tcPr>
          <w:p w14:paraId="5FF2E650" w14:textId="77777777" w:rsidR="008F074A" w:rsidRPr="001E13F5" w:rsidRDefault="008F074A" w:rsidP="00B36A42">
            <w:pPr>
              <w:spacing w:before="60" w:after="60"/>
              <w:jc w:val="center"/>
              <w:rPr>
                <w:rFonts w:cs="Arial"/>
              </w:rPr>
            </w:pPr>
          </w:p>
        </w:tc>
        <w:tc>
          <w:tcPr>
            <w:tcW w:w="3256" w:type="dxa"/>
            <w:gridSpan w:val="2"/>
            <w:shd w:val="clear" w:color="auto" w:fill="auto"/>
            <w:vAlign w:val="center"/>
          </w:tcPr>
          <w:p w14:paraId="047A70AB" w14:textId="77777777" w:rsidR="008F074A" w:rsidRPr="001E13F5" w:rsidRDefault="008F074A" w:rsidP="00B36A42">
            <w:pPr>
              <w:spacing w:before="60" w:after="60"/>
              <w:jc w:val="center"/>
              <w:rPr>
                <w:rFonts w:cs="Arial"/>
              </w:rPr>
            </w:pPr>
            <w:r w:rsidRPr="001E13F5">
              <w:rPr>
                <w:rFonts w:cs="Arial"/>
              </w:rPr>
              <w:t>High likelihood of inundation by stormwater run-on</w:t>
            </w:r>
          </w:p>
        </w:tc>
        <w:tc>
          <w:tcPr>
            <w:tcW w:w="1461" w:type="dxa"/>
            <w:shd w:val="clear" w:color="auto" w:fill="auto"/>
          </w:tcPr>
          <w:p w14:paraId="68410F49" w14:textId="77777777" w:rsidR="008F074A" w:rsidRPr="001E13F5" w:rsidRDefault="008F074A" w:rsidP="00B36A42">
            <w:pPr>
              <w:spacing w:before="60" w:after="60"/>
              <w:rPr>
                <w:rFonts w:cs="Arial"/>
              </w:rPr>
            </w:pPr>
          </w:p>
        </w:tc>
      </w:tr>
      <w:tr w:rsidR="008F074A" w:rsidRPr="006D4B7C" w14:paraId="026F0FF7" w14:textId="77777777" w:rsidTr="00B36A42">
        <w:trPr>
          <w:cantSplit/>
          <w:jc w:val="center"/>
        </w:trPr>
        <w:tc>
          <w:tcPr>
            <w:tcW w:w="2249" w:type="dxa"/>
            <w:shd w:val="clear" w:color="auto" w:fill="auto"/>
            <w:vAlign w:val="center"/>
          </w:tcPr>
          <w:p w14:paraId="0F97DBF3" w14:textId="77777777" w:rsidR="008F074A" w:rsidRPr="001E13F5" w:rsidRDefault="008F074A" w:rsidP="00B36A42">
            <w:pPr>
              <w:spacing w:before="60" w:after="60"/>
              <w:rPr>
                <w:rFonts w:cs="Arial"/>
                <w:b/>
              </w:rPr>
            </w:pPr>
            <w:r w:rsidRPr="001E13F5">
              <w:rPr>
                <w:rFonts w:cs="Arial"/>
                <w:b/>
              </w:rPr>
              <w:t xml:space="preserve">Surface waters - setback distance (m) </w:t>
            </w:r>
            <w:r w:rsidRPr="001E13F5">
              <w:rPr>
                <w:rFonts w:cs="Arial"/>
                <w:b/>
                <w:vertAlign w:val="superscript"/>
              </w:rPr>
              <w:t>9</w:t>
            </w:r>
          </w:p>
        </w:tc>
        <w:tc>
          <w:tcPr>
            <w:tcW w:w="3075" w:type="dxa"/>
            <w:gridSpan w:val="2"/>
            <w:shd w:val="clear" w:color="auto" w:fill="auto"/>
            <w:vAlign w:val="center"/>
          </w:tcPr>
          <w:p w14:paraId="4FDDB538" w14:textId="77777777" w:rsidR="008F074A" w:rsidRPr="001E13F5" w:rsidRDefault="008F074A" w:rsidP="00B36A42">
            <w:pPr>
              <w:spacing w:before="60" w:after="60"/>
              <w:jc w:val="center"/>
              <w:rPr>
                <w:rFonts w:cs="Arial"/>
              </w:rPr>
            </w:pPr>
            <w:r w:rsidRPr="001E13F5">
              <w:rPr>
                <w:rFonts w:cs="Arial"/>
              </w:rPr>
              <w:t>Setback distance complies with requirements in EPA Code of Practice 891.3 (as amended)</w:t>
            </w:r>
          </w:p>
        </w:tc>
        <w:tc>
          <w:tcPr>
            <w:tcW w:w="3162" w:type="dxa"/>
            <w:gridSpan w:val="3"/>
            <w:shd w:val="clear" w:color="auto" w:fill="E0E0E0"/>
            <w:vAlign w:val="center"/>
          </w:tcPr>
          <w:p w14:paraId="077E0B2D" w14:textId="77777777" w:rsidR="008F074A" w:rsidRPr="001E13F5" w:rsidRDefault="008F074A" w:rsidP="00B36A42">
            <w:pPr>
              <w:spacing w:before="60" w:after="60"/>
              <w:jc w:val="center"/>
              <w:rPr>
                <w:rFonts w:cs="Arial"/>
              </w:rPr>
            </w:pPr>
          </w:p>
        </w:tc>
        <w:tc>
          <w:tcPr>
            <w:tcW w:w="3256" w:type="dxa"/>
            <w:gridSpan w:val="2"/>
            <w:shd w:val="clear" w:color="auto" w:fill="auto"/>
            <w:vAlign w:val="center"/>
          </w:tcPr>
          <w:p w14:paraId="097F6B0F" w14:textId="77777777" w:rsidR="008F074A" w:rsidRPr="001E13F5" w:rsidRDefault="008F074A" w:rsidP="00B36A42">
            <w:pPr>
              <w:spacing w:before="60" w:after="60"/>
              <w:jc w:val="center"/>
              <w:rPr>
                <w:rFonts w:cs="Arial"/>
              </w:rPr>
            </w:pPr>
            <w:r w:rsidRPr="001E13F5">
              <w:rPr>
                <w:rFonts w:cs="Arial"/>
              </w:rPr>
              <w:t>Setback distance does not comply with requirements in EPA Code of Practice 891.3 (as amended)</w:t>
            </w:r>
          </w:p>
        </w:tc>
        <w:tc>
          <w:tcPr>
            <w:tcW w:w="1461" w:type="dxa"/>
            <w:shd w:val="clear" w:color="auto" w:fill="auto"/>
          </w:tcPr>
          <w:p w14:paraId="783ACA47" w14:textId="77777777" w:rsidR="008F074A" w:rsidRPr="001E13F5" w:rsidRDefault="008F074A" w:rsidP="00B36A42">
            <w:pPr>
              <w:spacing w:before="60" w:after="60"/>
              <w:rPr>
                <w:rFonts w:cs="Arial"/>
              </w:rPr>
            </w:pPr>
          </w:p>
        </w:tc>
      </w:tr>
      <w:tr w:rsidR="008F074A" w:rsidRPr="006D4B7C" w14:paraId="404AEAA1" w14:textId="77777777" w:rsidTr="00B36A42">
        <w:trPr>
          <w:cantSplit/>
          <w:jc w:val="center"/>
        </w:trPr>
        <w:tc>
          <w:tcPr>
            <w:tcW w:w="2249" w:type="dxa"/>
            <w:shd w:val="clear" w:color="auto" w:fill="auto"/>
            <w:vAlign w:val="center"/>
          </w:tcPr>
          <w:p w14:paraId="79C4281B" w14:textId="77777777" w:rsidR="008F074A" w:rsidRPr="001E13F5" w:rsidRDefault="008F074A" w:rsidP="00B36A42">
            <w:pPr>
              <w:spacing w:before="60" w:after="60"/>
              <w:rPr>
                <w:rFonts w:cs="Arial"/>
                <w:b/>
              </w:rPr>
            </w:pPr>
            <w:r w:rsidRPr="001E13F5">
              <w:rPr>
                <w:rFonts w:cs="Arial"/>
                <w:b/>
              </w:rPr>
              <w:t>Vegetation coverage over the site</w:t>
            </w:r>
          </w:p>
        </w:tc>
        <w:tc>
          <w:tcPr>
            <w:tcW w:w="3075" w:type="dxa"/>
            <w:gridSpan w:val="2"/>
            <w:shd w:val="clear" w:color="auto" w:fill="auto"/>
            <w:vAlign w:val="center"/>
          </w:tcPr>
          <w:p w14:paraId="7543888C" w14:textId="77777777" w:rsidR="008F074A" w:rsidRPr="001E13F5" w:rsidRDefault="008F074A" w:rsidP="00B36A42">
            <w:pPr>
              <w:spacing w:before="60" w:after="60"/>
              <w:jc w:val="center"/>
              <w:rPr>
                <w:rFonts w:cs="Arial"/>
              </w:rPr>
            </w:pPr>
            <w:r w:rsidRPr="001E13F5">
              <w:rPr>
                <w:rFonts w:cs="Arial"/>
              </w:rPr>
              <w:t>Plentiful vegetation with healthy growth and good potential for nutrient uptake</w:t>
            </w:r>
          </w:p>
        </w:tc>
        <w:tc>
          <w:tcPr>
            <w:tcW w:w="3162" w:type="dxa"/>
            <w:gridSpan w:val="3"/>
            <w:shd w:val="clear" w:color="auto" w:fill="auto"/>
            <w:vAlign w:val="center"/>
          </w:tcPr>
          <w:p w14:paraId="3ADA537A" w14:textId="77777777" w:rsidR="008F074A" w:rsidRPr="001E13F5" w:rsidRDefault="008F074A" w:rsidP="00B36A42">
            <w:pPr>
              <w:spacing w:before="60" w:after="60"/>
              <w:jc w:val="center"/>
              <w:rPr>
                <w:rFonts w:cs="Arial"/>
              </w:rPr>
            </w:pPr>
            <w:r w:rsidRPr="001E13F5">
              <w:rPr>
                <w:rFonts w:cs="Arial"/>
              </w:rPr>
              <w:t>Limited variety of vegetation</w:t>
            </w:r>
          </w:p>
        </w:tc>
        <w:tc>
          <w:tcPr>
            <w:tcW w:w="3256" w:type="dxa"/>
            <w:gridSpan w:val="2"/>
            <w:shd w:val="clear" w:color="auto" w:fill="auto"/>
            <w:vAlign w:val="center"/>
          </w:tcPr>
          <w:p w14:paraId="64C14975" w14:textId="77777777" w:rsidR="008F074A" w:rsidRPr="001E13F5" w:rsidRDefault="008F074A" w:rsidP="00B36A42">
            <w:pPr>
              <w:spacing w:before="60" w:after="60"/>
              <w:jc w:val="center"/>
              <w:rPr>
                <w:rFonts w:cs="Arial"/>
              </w:rPr>
            </w:pPr>
            <w:r w:rsidRPr="001E13F5">
              <w:rPr>
                <w:rFonts w:cs="Arial"/>
              </w:rPr>
              <w:t>Sparse vegetation or no vegetation</w:t>
            </w:r>
          </w:p>
        </w:tc>
        <w:tc>
          <w:tcPr>
            <w:tcW w:w="1461" w:type="dxa"/>
            <w:shd w:val="clear" w:color="auto" w:fill="auto"/>
          </w:tcPr>
          <w:p w14:paraId="662BFB0C" w14:textId="77777777" w:rsidR="008F074A" w:rsidRPr="001E13F5" w:rsidRDefault="008F074A" w:rsidP="00B36A42">
            <w:pPr>
              <w:spacing w:before="60" w:after="60"/>
              <w:rPr>
                <w:rFonts w:cs="Arial"/>
              </w:rPr>
            </w:pPr>
          </w:p>
        </w:tc>
      </w:tr>
      <w:tr w:rsidR="008F074A" w:rsidRPr="006D4B7C" w14:paraId="2F29728E" w14:textId="77777777" w:rsidTr="00B36A42">
        <w:trPr>
          <w:cantSplit/>
          <w:jc w:val="center"/>
        </w:trPr>
        <w:tc>
          <w:tcPr>
            <w:tcW w:w="2249" w:type="dxa"/>
            <w:vMerge w:val="restart"/>
            <w:shd w:val="clear" w:color="auto" w:fill="auto"/>
            <w:vAlign w:val="center"/>
          </w:tcPr>
          <w:p w14:paraId="3C9381FA" w14:textId="77777777" w:rsidR="008F074A" w:rsidRPr="001E13F5" w:rsidRDefault="008F074A" w:rsidP="00B36A42">
            <w:pPr>
              <w:spacing w:before="60" w:after="60"/>
              <w:jc w:val="center"/>
              <w:rPr>
                <w:rFonts w:cs="Arial"/>
                <w:b/>
              </w:rPr>
            </w:pPr>
            <w:r w:rsidRPr="001E13F5">
              <w:rPr>
                <w:rFonts w:cs="Arial"/>
                <w:b/>
              </w:rPr>
              <w:t>Characteristic</w:t>
            </w:r>
          </w:p>
        </w:tc>
        <w:tc>
          <w:tcPr>
            <w:tcW w:w="9493" w:type="dxa"/>
            <w:gridSpan w:val="7"/>
            <w:shd w:val="clear" w:color="auto" w:fill="auto"/>
          </w:tcPr>
          <w:p w14:paraId="01EE2CFD" w14:textId="77777777" w:rsidR="008F074A" w:rsidRPr="001E13F5" w:rsidRDefault="008F074A" w:rsidP="00B36A42">
            <w:pPr>
              <w:spacing w:before="60" w:after="60"/>
              <w:jc w:val="center"/>
              <w:rPr>
                <w:rFonts w:cs="Arial"/>
                <w:b/>
              </w:rPr>
            </w:pPr>
            <w:r w:rsidRPr="001E13F5">
              <w:rPr>
                <w:rFonts w:cs="Arial"/>
                <w:b/>
              </w:rPr>
              <w:t>Level of Constraint</w:t>
            </w:r>
          </w:p>
        </w:tc>
        <w:tc>
          <w:tcPr>
            <w:tcW w:w="1461" w:type="dxa"/>
            <w:vMerge w:val="restart"/>
            <w:shd w:val="clear" w:color="auto" w:fill="auto"/>
            <w:vAlign w:val="center"/>
          </w:tcPr>
          <w:p w14:paraId="29409F3B" w14:textId="77777777" w:rsidR="008F074A" w:rsidRPr="001E13F5" w:rsidRDefault="008F074A" w:rsidP="00B36A42">
            <w:pPr>
              <w:spacing w:before="60" w:after="60"/>
              <w:jc w:val="center"/>
              <w:rPr>
                <w:rFonts w:cs="Arial"/>
                <w:b/>
              </w:rPr>
            </w:pPr>
            <w:r w:rsidRPr="001E13F5">
              <w:rPr>
                <w:rFonts w:cs="Arial"/>
                <w:b/>
              </w:rPr>
              <w:t>Assessed Level of Constraint for Site</w:t>
            </w:r>
          </w:p>
        </w:tc>
      </w:tr>
      <w:tr w:rsidR="008F074A" w:rsidRPr="006D4B7C" w14:paraId="697B3BCE" w14:textId="77777777" w:rsidTr="00AB4826">
        <w:trPr>
          <w:cantSplit/>
          <w:jc w:val="center"/>
        </w:trPr>
        <w:tc>
          <w:tcPr>
            <w:tcW w:w="2249" w:type="dxa"/>
            <w:vMerge/>
            <w:shd w:val="clear" w:color="auto" w:fill="auto"/>
          </w:tcPr>
          <w:p w14:paraId="641C6D14" w14:textId="77777777" w:rsidR="008F074A" w:rsidRPr="001E13F5" w:rsidRDefault="008F074A" w:rsidP="00B36A42">
            <w:pPr>
              <w:spacing w:before="60" w:after="60"/>
              <w:jc w:val="center"/>
              <w:rPr>
                <w:rFonts w:cs="Arial"/>
              </w:rPr>
            </w:pPr>
          </w:p>
        </w:tc>
        <w:tc>
          <w:tcPr>
            <w:tcW w:w="3969" w:type="dxa"/>
            <w:gridSpan w:val="3"/>
            <w:shd w:val="clear" w:color="auto" w:fill="auto"/>
            <w:vAlign w:val="center"/>
          </w:tcPr>
          <w:p w14:paraId="31917AA6" w14:textId="77777777" w:rsidR="008F074A" w:rsidRPr="001E13F5" w:rsidRDefault="008F074A" w:rsidP="00B36A42">
            <w:pPr>
              <w:spacing w:before="60" w:after="60"/>
              <w:jc w:val="center"/>
              <w:rPr>
                <w:rFonts w:cs="Arial"/>
                <w:b/>
              </w:rPr>
            </w:pPr>
            <w:r w:rsidRPr="001E13F5">
              <w:rPr>
                <w:rFonts w:cs="Arial"/>
                <w:b/>
              </w:rPr>
              <w:t>Nil or Minor</w:t>
            </w:r>
          </w:p>
        </w:tc>
        <w:tc>
          <w:tcPr>
            <w:tcW w:w="1842" w:type="dxa"/>
            <w:shd w:val="clear" w:color="auto" w:fill="auto"/>
            <w:vAlign w:val="center"/>
          </w:tcPr>
          <w:p w14:paraId="351AF8BD" w14:textId="77777777" w:rsidR="008F074A" w:rsidRPr="001E13F5" w:rsidRDefault="008F074A" w:rsidP="00B36A42">
            <w:pPr>
              <w:spacing w:before="60" w:after="60"/>
              <w:jc w:val="center"/>
              <w:rPr>
                <w:rFonts w:cs="Arial"/>
                <w:b/>
              </w:rPr>
            </w:pPr>
            <w:r w:rsidRPr="001E13F5">
              <w:rPr>
                <w:rFonts w:cs="Arial"/>
                <w:b/>
              </w:rPr>
              <w:t>Moderate</w:t>
            </w:r>
          </w:p>
        </w:tc>
        <w:tc>
          <w:tcPr>
            <w:tcW w:w="3682" w:type="dxa"/>
            <w:gridSpan w:val="3"/>
            <w:shd w:val="clear" w:color="auto" w:fill="auto"/>
            <w:vAlign w:val="center"/>
          </w:tcPr>
          <w:p w14:paraId="66C53A9B" w14:textId="77777777" w:rsidR="008F074A" w:rsidRPr="001E13F5" w:rsidRDefault="008F074A" w:rsidP="00B36A42">
            <w:pPr>
              <w:spacing w:before="60" w:after="60"/>
              <w:jc w:val="center"/>
              <w:rPr>
                <w:rFonts w:cs="Arial"/>
                <w:b/>
              </w:rPr>
            </w:pPr>
            <w:r w:rsidRPr="001E13F5">
              <w:rPr>
                <w:rFonts w:cs="Arial"/>
                <w:b/>
              </w:rPr>
              <w:t>Major</w:t>
            </w:r>
          </w:p>
        </w:tc>
        <w:tc>
          <w:tcPr>
            <w:tcW w:w="1461" w:type="dxa"/>
            <w:vMerge/>
            <w:shd w:val="clear" w:color="auto" w:fill="auto"/>
          </w:tcPr>
          <w:p w14:paraId="3766453E" w14:textId="77777777" w:rsidR="008F074A" w:rsidRPr="001E13F5" w:rsidRDefault="008F074A" w:rsidP="00B36A42">
            <w:pPr>
              <w:spacing w:before="60" w:after="60"/>
              <w:jc w:val="center"/>
              <w:rPr>
                <w:rFonts w:cs="Arial"/>
              </w:rPr>
            </w:pPr>
          </w:p>
        </w:tc>
      </w:tr>
      <w:tr w:rsidR="00AB4826" w:rsidRPr="006D4B7C" w14:paraId="030F60A2" w14:textId="77777777" w:rsidTr="00AB4826">
        <w:trPr>
          <w:cantSplit/>
          <w:jc w:val="center"/>
        </w:trPr>
        <w:tc>
          <w:tcPr>
            <w:tcW w:w="2249" w:type="dxa"/>
            <w:shd w:val="clear" w:color="auto" w:fill="auto"/>
            <w:vAlign w:val="center"/>
          </w:tcPr>
          <w:p w14:paraId="00163B92" w14:textId="77777777" w:rsidR="00871A83" w:rsidRPr="001E13F5" w:rsidRDefault="00871A83" w:rsidP="00354BAF">
            <w:pPr>
              <w:spacing w:before="60" w:after="60"/>
              <w:rPr>
                <w:rFonts w:cs="Arial"/>
                <w:b/>
              </w:rPr>
            </w:pPr>
            <w:r w:rsidRPr="001E13F5">
              <w:rPr>
                <w:rFonts w:cs="Arial"/>
                <w:b/>
              </w:rPr>
              <w:t xml:space="preserve">Soil Drainage </w:t>
            </w:r>
            <w:r w:rsidRPr="001E13F5">
              <w:rPr>
                <w:rFonts w:cs="Arial"/>
                <w:b/>
                <w:vertAlign w:val="superscript"/>
              </w:rPr>
              <w:t>8</w:t>
            </w:r>
            <w:r w:rsidRPr="001E13F5">
              <w:rPr>
                <w:rFonts w:cs="Arial"/>
                <w:b/>
              </w:rPr>
              <w:t xml:space="preserve"> (Field Handbook definitions) </w:t>
            </w:r>
          </w:p>
          <w:p w14:paraId="6FF7FE6B" w14:textId="77777777" w:rsidR="00871A83" w:rsidRPr="001E13F5" w:rsidRDefault="00871A83" w:rsidP="00354BAF">
            <w:pPr>
              <w:spacing w:before="60" w:after="60"/>
              <w:rPr>
                <w:rFonts w:cs="Arial"/>
                <w:b/>
              </w:rPr>
            </w:pPr>
          </w:p>
        </w:tc>
        <w:tc>
          <w:tcPr>
            <w:tcW w:w="2126" w:type="dxa"/>
            <w:shd w:val="clear" w:color="auto" w:fill="auto"/>
            <w:vAlign w:val="center"/>
          </w:tcPr>
          <w:p w14:paraId="17E8396C" w14:textId="77777777" w:rsidR="00871A83" w:rsidRPr="001E13F5" w:rsidRDefault="00871A83" w:rsidP="00354BAF">
            <w:pPr>
              <w:spacing w:before="60" w:after="60"/>
              <w:jc w:val="center"/>
              <w:rPr>
                <w:rFonts w:cs="Arial"/>
              </w:rPr>
            </w:pPr>
            <w:r w:rsidRPr="001E13F5">
              <w:rPr>
                <w:rFonts w:cs="Arial"/>
              </w:rPr>
              <w:t>Rapidly drained. Water removed from soil rapidly in relation to supply, excess water flows downward rapidly. No horizon remains wet for more than a few hours after addition</w:t>
            </w:r>
          </w:p>
        </w:tc>
        <w:tc>
          <w:tcPr>
            <w:tcW w:w="1843" w:type="dxa"/>
            <w:gridSpan w:val="2"/>
            <w:shd w:val="clear" w:color="auto" w:fill="auto"/>
            <w:vAlign w:val="center"/>
          </w:tcPr>
          <w:p w14:paraId="42EFB096" w14:textId="77777777" w:rsidR="00871A83" w:rsidRPr="001E13F5" w:rsidRDefault="00871A83" w:rsidP="00354BAF">
            <w:pPr>
              <w:spacing w:before="60" w:after="60"/>
              <w:jc w:val="center"/>
              <w:rPr>
                <w:rFonts w:cs="Arial"/>
              </w:rPr>
            </w:pPr>
            <w:r w:rsidRPr="001E13F5">
              <w:rPr>
                <w:rFonts w:cs="Arial"/>
              </w:rPr>
              <w:t>Well drained. Water removed from the soil readily, excess flows downward. Some horizons may remain wet for several days after addition</w:t>
            </w:r>
          </w:p>
        </w:tc>
        <w:tc>
          <w:tcPr>
            <w:tcW w:w="1842" w:type="dxa"/>
            <w:tcBorders>
              <w:bottom w:val="single" w:sz="4" w:space="0" w:color="auto"/>
            </w:tcBorders>
            <w:shd w:val="clear" w:color="auto" w:fill="auto"/>
            <w:vAlign w:val="center"/>
          </w:tcPr>
          <w:p w14:paraId="005647DB" w14:textId="77777777" w:rsidR="00871A83" w:rsidRPr="001E13F5" w:rsidRDefault="00871A83" w:rsidP="00354BAF">
            <w:pPr>
              <w:spacing w:before="60" w:after="60"/>
              <w:jc w:val="center"/>
              <w:rPr>
                <w:rFonts w:cs="Arial"/>
              </w:rPr>
            </w:pPr>
            <w:r w:rsidRPr="001E13F5">
              <w:rPr>
                <w:rFonts w:cs="Arial"/>
              </w:rPr>
              <w:t>Moderately well drained. Water removed somewhat slowly in relation to supply, some horizons may remain wet for a week or more after addition</w:t>
            </w:r>
          </w:p>
        </w:tc>
        <w:tc>
          <w:tcPr>
            <w:tcW w:w="1985" w:type="dxa"/>
            <w:gridSpan w:val="2"/>
            <w:shd w:val="clear" w:color="auto" w:fill="auto"/>
            <w:vAlign w:val="center"/>
          </w:tcPr>
          <w:p w14:paraId="090F5C7A" w14:textId="77777777" w:rsidR="00871A83" w:rsidRPr="001E13F5" w:rsidRDefault="00871A83" w:rsidP="00354BAF">
            <w:pPr>
              <w:spacing w:before="60" w:after="60"/>
              <w:jc w:val="center"/>
              <w:rPr>
                <w:rFonts w:cs="Arial"/>
              </w:rPr>
            </w:pPr>
            <w:r w:rsidRPr="001E13F5">
              <w:rPr>
                <w:rFonts w:cs="Arial"/>
              </w:rPr>
              <w:t>Imperfectly drained. Water removed very slowly in relation to supply, seasonal ponding, all horizons wet for periods of several months, some mottling</w:t>
            </w:r>
          </w:p>
        </w:tc>
        <w:tc>
          <w:tcPr>
            <w:tcW w:w="1697" w:type="dxa"/>
            <w:shd w:val="clear" w:color="auto" w:fill="auto"/>
            <w:vAlign w:val="center"/>
          </w:tcPr>
          <w:p w14:paraId="2D5B657A" w14:textId="77777777" w:rsidR="00871A83" w:rsidRPr="001E13F5" w:rsidRDefault="00871A83" w:rsidP="00354BAF">
            <w:pPr>
              <w:spacing w:before="60" w:after="60"/>
              <w:jc w:val="center"/>
              <w:rPr>
                <w:rFonts w:cs="Arial"/>
              </w:rPr>
            </w:pPr>
            <w:r w:rsidRPr="001E13F5">
              <w:rPr>
                <w:rFonts w:cs="Arial"/>
              </w:rPr>
              <w:t>Poorly/Very poorly drained. Water remains at or near the surface for most of the year, strong gleying. All horizons wet for several months</w:t>
            </w:r>
          </w:p>
        </w:tc>
        <w:tc>
          <w:tcPr>
            <w:tcW w:w="1461" w:type="dxa"/>
            <w:shd w:val="clear" w:color="auto" w:fill="auto"/>
          </w:tcPr>
          <w:p w14:paraId="2650C12B" w14:textId="77777777" w:rsidR="00871A83" w:rsidRPr="001E13F5" w:rsidRDefault="00871A83" w:rsidP="00354BAF">
            <w:pPr>
              <w:spacing w:before="60" w:after="60"/>
              <w:rPr>
                <w:rFonts w:cs="Arial"/>
              </w:rPr>
            </w:pPr>
          </w:p>
        </w:tc>
      </w:tr>
    </w:tbl>
    <w:p w14:paraId="1991CA50" w14:textId="77777777" w:rsidR="0043667C" w:rsidRDefault="0043667C" w:rsidP="0043667C">
      <w:pPr>
        <w:spacing w:after="0"/>
        <w:rPr>
          <w:b/>
        </w:rPr>
      </w:pPr>
    </w:p>
    <w:p w14:paraId="18974ADD" w14:textId="77777777" w:rsidR="0043667C" w:rsidRPr="00B60EAA" w:rsidRDefault="0043667C" w:rsidP="0043667C">
      <w:pPr>
        <w:spacing w:after="0"/>
        <w:rPr>
          <w:b/>
        </w:rPr>
      </w:pPr>
      <w:r w:rsidRPr="00B60EAA">
        <w:rPr>
          <w:b/>
        </w:rPr>
        <w:lastRenderedPageBreak/>
        <w:t>Legend:</w:t>
      </w:r>
    </w:p>
    <w:p w14:paraId="7F1FD0E8" w14:textId="77777777" w:rsidR="0043667C" w:rsidRDefault="0043667C" w:rsidP="0043667C">
      <w:pPr>
        <w:pStyle w:val="NoSpacing"/>
        <w:rPr>
          <w:b/>
        </w:rPr>
      </w:pPr>
    </w:p>
    <w:p w14:paraId="029E3F35" w14:textId="77777777" w:rsidR="0043667C" w:rsidRPr="00AB4826" w:rsidRDefault="0043667C" w:rsidP="0043667C">
      <w:pPr>
        <w:pStyle w:val="NoSpacing"/>
      </w:pPr>
      <w:r w:rsidRPr="00AB4826">
        <w:t>Nil or Minor: If all constraints are minor, conventional/standard designs are generally satisfactory.</w:t>
      </w:r>
    </w:p>
    <w:p w14:paraId="0BEB8F87" w14:textId="77777777" w:rsidR="0043667C" w:rsidRPr="00AB4826" w:rsidRDefault="0043667C" w:rsidP="0043667C">
      <w:pPr>
        <w:pStyle w:val="NoSpacing"/>
      </w:pPr>
      <w:r w:rsidRPr="00AB4826">
        <w:t>Moderate: For each moderate constraint an appropriate design modification over and above that of a standard design, should be outlined.</w:t>
      </w:r>
    </w:p>
    <w:p w14:paraId="66EDD528" w14:textId="77777777" w:rsidR="0043667C" w:rsidRPr="001E13F5" w:rsidRDefault="0043667C" w:rsidP="0043667C">
      <w:pPr>
        <w:pStyle w:val="NoSpacing"/>
        <w:rPr>
          <w:i/>
        </w:rPr>
      </w:pPr>
      <w:r w:rsidRPr="00AB4826">
        <w:t>Major: Any major constraint might prove an impediment to successful on-site wastewater man</w:t>
      </w:r>
      <w:r w:rsidRPr="006D4B7C">
        <w:t>agement, or alternatively will require in-depth investigation and incorporation of sophisticated mitigation measures in the design to permit complian</w:t>
      </w:r>
      <w:r>
        <w:t>t onsite wastewater management.</w:t>
      </w:r>
    </w:p>
    <w:p w14:paraId="4D174952" w14:textId="77777777" w:rsidR="0043667C" w:rsidRDefault="0043667C" w:rsidP="0043667C">
      <w:pPr>
        <w:spacing w:after="0"/>
        <w:rPr>
          <w:b/>
        </w:rPr>
      </w:pPr>
    </w:p>
    <w:p w14:paraId="1164ABA1" w14:textId="77777777" w:rsidR="0043667C" w:rsidRPr="00AB4826" w:rsidRDefault="0043667C" w:rsidP="0043667C">
      <w:pPr>
        <w:spacing w:after="0"/>
      </w:pPr>
      <w:r w:rsidRPr="00AB4826">
        <w:t>Provide the following information in the LCA report:</w:t>
      </w:r>
    </w:p>
    <w:p w14:paraId="5E18F4FC" w14:textId="77777777" w:rsidR="0043667C" w:rsidRPr="00AB4826" w:rsidRDefault="0043667C" w:rsidP="0043667C">
      <w:pPr>
        <w:spacing w:after="0"/>
        <w:rPr>
          <w:b/>
        </w:rPr>
      </w:pPr>
    </w:p>
    <w:p w14:paraId="7E7B5BE8" w14:textId="77777777" w:rsidR="0043667C" w:rsidRPr="003D07E7" w:rsidRDefault="0043667C" w:rsidP="0043667C">
      <w:pPr>
        <w:pStyle w:val="ListParagraph"/>
        <w:numPr>
          <w:ilvl w:val="0"/>
          <w:numId w:val="29"/>
        </w:numPr>
        <w:rPr>
          <w:rFonts w:cs="Arial"/>
          <w:szCs w:val="20"/>
        </w:rPr>
      </w:pPr>
      <w:r w:rsidRPr="003D07E7">
        <w:rPr>
          <w:rFonts w:cs="Arial"/>
          <w:szCs w:val="20"/>
        </w:rPr>
        <w:t>Provide basis for erosion rating</w:t>
      </w:r>
    </w:p>
    <w:p w14:paraId="5D81D6DB" w14:textId="77777777" w:rsidR="0043667C" w:rsidRPr="003D07E7" w:rsidRDefault="0043667C" w:rsidP="0043667C">
      <w:pPr>
        <w:pStyle w:val="ListParagraph"/>
        <w:numPr>
          <w:ilvl w:val="0"/>
          <w:numId w:val="29"/>
        </w:numPr>
        <w:rPr>
          <w:rFonts w:cs="Arial"/>
          <w:szCs w:val="20"/>
        </w:rPr>
      </w:pPr>
      <w:r w:rsidRPr="003D07E7">
        <w:rPr>
          <w:rFonts w:cs="Arial"/>
          <w:szCs w:val="20"/>
        </w:rPr>
        <w:t>Describe the nature of the fill and compaction</w:t>
      </w:r>
    </w:p>
    <w:p w14:paraId="591C67E6" w14:textId="77777777" w:rsidR="0043667C" w:rsidRPr="003D07E7" w:rsidRDefault="0043667C" w:rsidP="0043667C">
      <w:pPr>
        <w:pStyle w:val="ListParagraph"/>
        <w:numPr>
          <w:ilvl w:val="0"/>
          <w:numId w:val="29"/>
        </w:numPr>
        <w:rPr>
          <w:rFonts w:cs="Arial"/>
          <w:szCs w:val="20"/>
        </w:rPr>
      </w:pPr>
      <w:r w:rsidRPr="003D07E7">
        <w:rPr>
          <w:rFonts w:cs="Arial"/>
          <w:szCs w:val="20"/>
        </w:rPr>
        <w:t>Annual Return Interval (in years)</w:t>
      </w:r>
    </w:p>
    <w:p w14:paraId="31CAC250" w14:textId="77777777" w:rsidR="0043667C" w:rsidRPr="003D07E7" w:rsidRDefault="0043667C" w:rsidP="0043667C">
      <w:pPr>
        <w:pStyle w:val="ListParagraph"/>
        <w:numPr>
          <w:ilvl w:val="0"/>
          <w:numId w:val="29"/>
        </w:numPr>
        <w:rPr>
          <w:rFonts w:cs="Arial"/>
          <w:szCs w:val="20"/>
        </w:rPr>
      </w:pPr>
      <w:r w:rsidRPr="003D07E7">
        <w:rPr>
          <w:rFonts w:cs="Arial"/>
          <w:szCs w:val="20"/>
        </w:rPr>
        <w:t>Refer to setback buffers for groundwater bores in Table 5 of the EPA Code of Practice (2013)</w:t>
      </w:r>
    </w:p>
    <w:p w14:paraId="4A8D5625" w14:textId="77777777" w:rsidR="0043667C" w:rsidRPr="003D07E7" w:rsidRDefault="0043667C" w:rsidP="0043667C">
      <w:pPr>
        <w:pStyle w:val="ListParagraph"/>
        <w:numPr>
          <w:ilvl w:val="0"/>
          <w:numId w:val="29"/>
        </w:numPr>
        <w:rPr>
          <w:rFonts w:cs="Arial"/>
          <w:szCs w:val="20"/>
        </w:rPr>
      </w:pPr>
      <w:r w:rsidRPr="003D07E7">
        <w:rPr>
          <w:rFonts w:cs="Arial"/>
          <w:szCs w:val="20"/>
        </w:rPr>
        <w:t xml:space="preserve">May require assessment by a geotechnical expert. Consider the potential for the additional water from the treatment system to impact the stability of the soil by reducing the friction forces within the soil or increasing the mass of the block of soil. </w:t>
      </w:r>
    </w:p>
    <w:p w14:paraId="2B2EB68A" w14:textId="77777777" w:rsidR="0043667C" w:rsidRPr="003D07E7" w:rsidRDefault="0043667C" w:rsidP="0043667C">
      <w:pPr>
        <w:pStyle w:val="ListParagraph"/>
        <w:numPr>
          <w:ilvl w:val="0"/>
          <w:numId w:val="29"/>
        </w:numPr>
        <w:rPr>
          <w:rFonts w:cs="Arial"/>
          <w:szCs w:val="20"/>
        </w:rPr>
      </w:pPr>
      <w:r w:rsidRPr="003D07E7">
        <w:rPr>
          <w:rFonts w:cs="Arial"/>
          <w:szCs w:val="20"/>
        </w:rPr>
        <w:t>Gentler slopes are required for higher loading rates. Steeper slopes have the potential for landslip and soil erosion.</w:t>
      </w:r>
    </w:p>
    <w:p w14:paraId="3A1D9198" w14:textId="77777777" w:rsidR="0043667C" w:rsidRPr="003D07E7" w:rsidRDefault="0043667C" w:rsidP="0043667C">
      <w:pPr>
        <w:pStyle w:val="ListParagraph"/>
        <w:numPr>
          <w:ilvl w:val="0"/>
          <w:numId w:val="29"/>
        </w:numPr>
        <w:rPr>
          <w:rFonts w:cs="Arial"/>
          <w:szCs w:val="20"/>
        </w:rPr>
      </w:pPr>
      <w:r w:rsidRPr="003D07E7">
        <w:rPr>
          <w:rFonts w:cs="Arial"/>
          <w:szCs w:val="20"/>
        </w:rPr>
        <w:t>Provide date and weather conditions</w:t>
      </w:r>
    </w:p>
    <w:p w14:paraId="1B67364F" w14:textId="77777777" w:rsidR="0043667C" w:rsidRPr="003D07E7" w:rsidRDefault="0043667C" w:rsidP="0043667C">
      <w:pPr>
        <w:pStyle w:val="ListParagraph"/>
        <w:numPr>
          <w:ilvl w:val="0"/>
          <w:numId w:val="29"/>
        </w:numPr>
        <w:rPr>
          <w:rFonts w:cs="Arial"/>
          <w:szCs w:val="20"/>
        </w:rPr>
      </w:pPr>
      <w:r w:rsidRPr="003D07E7">
        <w:rPr>
          <w:rFonts w:cs="Arial"/>
          <w:szCs w:val="20"/>
        </w:rPr>
        <w:t>Use local anecdotal information</w:t>
      </w:r>
    </w:p>
    <w:p w14:paraId="619B301E" w14:textId="77777777" w:rsidR="0043667C" w:rsidRPr="00AB4826" w:rsidRDefault="0043667C" w:rsidP="0043667C">
      <w:pPr>
        <w:pStyle w:val="ListParagraph"/>
        <w:numPr>
          <w:ilvl w:val="0"/>
          <w:numId w:val="29"/>
        </w:numPr>
        <w:rPr>
          <w:b/>
        </w:rPr>
      </w:pPr>
      <w:r w:rsidRPr="003D07E7">
        <w:rPr>
          <w:rFonts w:cs="Arial"/>
          <w:szCs w:val="20"/>
        </w:rPr>
        <w:t>Refer to setback buffers for specific waterway types in Table 5 the EPA Code of Practice (2013).</w:t>
      </w:r>
    </w:p>
    <w:p w14:paraId="15290967" w14:textId="77777777" w:rsidR="00AB4826" w:rsidRPr="0043667C" w:rsidRDefault="00AB4826" w:rsidP="0043667C">
      <w:pPr>
        <w:pStyle w:val="ListParagraph"/>
        <w:ind w:left="360"/>
        <w:rPr>
          <w:rFonts w:cs="Arial"/>
          <w:szCs w:val="20"/>
        </w:rPr>
        <w:sectPr w:rsidR="00AB4826" w:rsidRPr="0043667C" w:rsidSect="00B44581">
          <w:pgSz w:w="15840" w:h="12240" w:orient="landscape"/>
          <w:pgMar w:top="1440" w:right="1440" w:bottom="1440" w:left="1440" w:header="709" w:footer="709" w:gutter="0"/>
          <w:cols w:space="708"/>
          <w:docGrid w:linePitch="360"/>
        </w:sectPr>
      </w:pPr>
    </w:p>
    <w:p w14:paraId="6F437062" w14:textId="09DB7F3C" w:rsidR="00871A83" w:rsidRPr="00456BD1" w:rsidRDefault="00456BD1" w:rsidP="00456BD1">
      <w:pPr>
        <w:rPr>
          <w:u w:val="single"/>
        </w:rPr>
      </w:pPr>
      <w:bookmarkStart w:id="138" w:name="_Toc378688088"/>
      <w:r>
        <w:rPr>
          <w:u w:val="single"/>
        </w:rPr>
        <w:lastRenderedPageBreak/>
        <w:t xml:space="preserve">4.5.3 </w:t>
      </w:r>
      <w:r w:rsidR="00871A83" w:rsidRPr="00456BD1">
        <w:rPr>
          <w:u w:val="single"/>
        </w:rPr>
        <w:t>Risk Assessment of Soil Characteristics</w:t>
      </w:r>
      <w:bookmarkEnd w:id="138"/>
    </w:p>
    <w:p w14:paraId="093B51CC" w14:textId="6E124541" w:rsidR="003D07E7" w:rsidRDefault="00871A83" w:rsidP="003D07E7">
      <w:r w:rsidRPr="006D4B7C">
        <w:t>The assessor should consider each parameter of the soil characteristics identified at the site or the test results obtained for the soil sample(s) and identify the level of constraint imposed. Where these present a moderate or major level of constraint, the assessor should describe how the proposed design adequately mitigates the constraint to the extent that the design can reasonably be expected to perform to meet appropriate public health, environmental and amenity requirements. The final recommendation depends on the relative severity and influence of individual features on potential onsite wastewater management options. Where possible, a solution that overcomes the constraints simply or naturally is preferred over a solution requiring high and ongoing maintenance. The final outcome should be made in consultation with Council and other regulatory authorities, such as the water authority, as appropriate.</w:t>
      </w:r>
    </w:p>
    <w:p w14:paraId="62D39AEA" w14:textId="77777777" w:rsidR="00A442B0" w:rsidRDefault="00A442B0" w:rsidP="003D07E7">
      <w:pPr>
        <w:sectPr w:rsidR="00A442B0" w:rsidSect="00A442B0">
          <w:type w:val="continuous"/>
          <w:pgSz w:w="12240" w:h="15840"/>
          <w:pgMar w:top="1440" w:right="1440" w:bottom="1440" w:left="1440" w:header="708" w:footer="708" w:gutter="0"/>
          <w:cols w:space="708"/>
          <w:docGrid w:linePitch="360"/>
        </w:sectPr>
      </w:pPr>
    </w:p>
    <w:tbl>
      <w:tblPr>
        <w:tblW w:w="131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isk Assessment of Soil Characteristics"/>
      </w:tblPr>
      <w:tblGrid>
        <w:gridCol w:w="2269"/>
        <w:gridCol w:w="2976"/>
        <w:gridCol w:w="2977"/>
        <w:gridCol w:w="2835"/>
        <w:gridCol w:w="2126"/>
      </w:tblGrid>
      <w:tr w:rsidR="00AB4826" w:rsidRPr="006D4B7C" w14:paraId="3E5E8C2B" w14:textId="77777777" w:rsidTr="00D4531C">
        <w:trPr>
          <w:cantSplit/>
        </w:trPr>
        <w:tc>
          <w:tcPr>
            <w:tcW w:w="13183" w:type="dxa"/>
            <w:gridSpan w:val="5"/>
            <w:shd w:val="clear" w:color="auto" w:fill="D9D9D9" w:themeFill="background1" w:themeFillShade="D9"/>
            <w:vAlign w:val="center"/>
          </w:tcPr>
          <w:p w14:paraId="3C3AFF3D" w14:textId="285C99C9" w:rsidR="00AB4826" w:rsidRPr="00AB4826" w:rsidRDefault="00AB4826" w:rsidP="00AB4826">
            <w:pPr>
              <w:rPr>
                <w:rFonts w:cs="Arial"/>
                <w:b/>
              </w:rPr>
            </w:pPr>
            <w:r w:rsidRPr="00AB4826">
              <w:rPr>
                <w:b/>
              </w:rPr>
              <w:lastRenderedPageBreak/>
              <w:t>Table 4: Risk Assessment of Soil Characteristics</w:t>
            </w:r>
          </w:p>
        </w:tc>
      </w:tr>
      <w:tr w:rsidR="00871A83" w:rsidRPr="006D4B7C" w14:paraId="03BC1C2F" w14:textId="77777777" w:rsidTr="00D4531C">
        <w:trPr>
          <w:cantSplit/>
        </w:trPr>
        <w:tc>
          <w:tcPr>
            <w:tcW w:w="2269" w:type="dxa"/>
            <w:vMerge w:val="restart"/>
            <w:shd w:val="clear" w:color="auto" w:fill="auto"/>
            <w:vAlign w:val="center"/>
          </w:tcPr>
          <w:p w14:paraId="7EEC4AAE" w14:textId="77777777" w:rsidR="00871A83" w:rsidRPr="00E34CC3" w:rsidRDefault="00871A83" w:rsidP="00354BAF">
            <w:pPr>
              <w:spacing w:before="60" w:after="60"/>
              <w:jc w:val="center"/>
              <w:rPr>
                <w:rFonts w:cs="Arial"/>
                <w:b/>
              </w:rPr>
            </w:pPr>
            <w:r w:rsidRPr="00E34CC3">
              <w:rPr>
                <w:rFonts w:cs="Arial"/>
                <w:b/>
              </w:rPr>
              <w:t>Characteristic</w:t>
            </w:r>
          </w:p>
        </w:tc>
        <w:tc>
          <w:tcPr>
            <w:tcW w:w="8788" w:type="dxa"/>
            <w:gridSpan w:val="3"/>
            <w:shd w:val="clear" w:color="auto" w:fill="auto"/>
            <w:vAlign w:val="center"/>
          </w:tcPr>
          <w:p w14:paraId="49F9F8C9" w14:textId="77777777" w:rsidR="00871A83" w:rsidRPr="00E34CC3" w:rsidRDefault="00871A83" w:rsidP="00354BAF">
            <w:pPr>
              <w:spacing w:before="60" w:after="60"/>
              <w:jc w:val="center"/>
              <w:rPr>
                <w:rFonts w:cs="Arial"/>
                <w:b/>
              </w:rPr>
            </w:pPr>
            <w:r w:rsidRPr="00E34CC3">
              <w:rPr>
                <w:rFonts w:cs="Arial"/>
                <w:b/>
              </w:rPr>
              <w:t>Level of Constraint</w:t>
            </w:r>
          </w:p>
        </w:tc>
        <w:tc>
          <w:tcPr>
            <w:tcW w:w="2126" w:type="dxa"/>
            <w:vMerge w:val="restart"/>
            <w:shd w:val="clear" w:color="auto" w:fill="auto"/>
            <w:vAlign w:val="center"/>
          </w:tcPr>
          <w:p w14:paraId="15CA0F5D" w14:textId="77777777" w:rsidR="00871A83" w:rsidRPr="00E34CC3" w:rsidRDefault="00871A83" w:rsidP="00354BAF">
            <w:pPr>
              <w:spacing w:before="60" w:after="60"/>
              <w:jc w:val="center"/>
              <w:rPr>
                <w:rFonts w:cs="Arial"/>
                <w:b/>
              </w:rPr>
            </w:pPr>
            <w:r w:rsidRPr="00E34CC3">
              <w:rPr>
                <w:rFonts w:cs="Arial"/>
                <w:b/>
              </w:rPr>
              <w:t>Assessed Level of Constraint for Site</w:t>
            </w:r>
          </w:p>
        </w:tc>
      </w:tr>
      <w:tr w:rsidR="0011373A" w:rsidRPr="006D4B7C" w14:paraId="4B7DF0FE" w14:textId="77777777" w:rsidTr="00D4531C">
        <w:trPr>
          <w:cantSplit/>
        </w:trPr>
        <w:tc>
          <w:tcPr>
            <w:tcW w:w="2269" w:type="dxa"/>
            <w:vMerge/>
            <w:shd w:val="clear" w:color="auto" w:fill="auto"/>
          </w:tcPr>
          <w:p w14:paraId="6291EFCB" w14:textId="77777777" w:rsidR="00871A83" w:rsidRPr="00E34CC3" w:rsidRDefault="00871A83" w:rsidP="00354BAF">
            <w:pPr>
              <w:spacing w:before="60" w:after="60"/>
              <w:jc w:val="center"/>
              <w:rPr>
                <w:rFonts w:cs="Arial"/>
              </w:rPr>
            </w:pPr>
          </w:p>
        </w:tc>
        <w:tc>
          <w:tcPr>
            <w:tcW w:w="2976" w:type="dxa"/>
            <w:shd w:val="clear" w:color="auto" w:fill="auto"/>
            <w:vAlign w:val="center"/>
          </w:tcPr>
          <w:p w14:paraId="13A92BD8" w14:textId="77777777" w:rsidR="00871A83" w:rsidRPr="00E34CC3" w:rsidRDefault="00871A83" w:rsidP="00354BAF">
            <w:pPr>
              <w:spacing w:before="60" w:after="60"/>
              <w:jc w:val="center"/>
              <w:rPr>
                <w:rFonts w:cs="Arial"/>
                <w:b/>
              </w:rPr>
            </w:pPr>
            <w:r w:rsidRPr="00E34CC3">
              <w:rPr>
                <w:rFonts w:cs="Arial"/>
                <w:b/>
              </w:rPr>
              <w:t>Nil or Minor</w:t>
            </w:r>
          </w:p>
        </w:tc>
        <w:tc>
          <w:tcPr>
            <w:tcW w:w="2977" w:type="dxa"/>
            <w:shd w:val="clear" w:color="auto" w:fill="auto"/>
            <w:vAlign w:val="center"/>
          </w:tcPr>
          <w:p w14:paraId="5C03C2ED" w14:textId="77777777" w:rsidR="00871A83" w:rsidRPr="00E34CC3" w:rsidRDefault="00871A83" w:rsidP="00354BAF">
            <w:pPr>
              <w:spacing w:before="60" w:after="60"/>
              <w:jc w:val="center"/>
              <w:rPr>
                <w:rFonts w:cs="Arial"/>
                <w:b/>
              </w:rPr>
            </w:pPr>
            <w:r w:rsidRPr="00E34CC3">
              <w:rPr>
                <w:rFonts w:cs="Arial"/>
                <w:b/>
              </w:rPr>
              <w:t>Moderate</w:t>
            </w:r>
          </w:p>
        </w:tc>
        <w:tc>
          <w:tcPr>
            <w:tcW w:w="2835" w:type="dxa"/>
            <w:shd w:val="clear" w:color="auto" w:fill="auto"/>
            <w:vAlign w:val="center"/>
          </w:tcPr>
          <w:p w14:paraId="1759E68D" w14:textId="77777777" w:rsidR="00871A83" w:rsidRPr="00E34CC3" w:rsidRDefault="00871A83" w:rsidP="00354BAF">
            <w:pPr>
              <w:spacing w:before="60" w:after="60"/>
              <w:jc w:val="center"/>
              <w:rPr>
                <w:rFonts w:cs="Arial"/>
                <w:b/>
              </w:rPr>
            </w:pPr>
            <w:r w:rsidRPr="00E34CC3">
              <w:rPr>
                <w:rFonts w:cs="Arial"/>
                <w:b/>
              </w:rPr>
              <w:t>Major</w:t>
            </w:r>
          </w:p>
        </w:tc>
        <w:tc>
          <w:tcPr>
            <w:tcW w:w="2126" w:type="dxa"/>
            <w:vMerge/>
            <w:shd w:val="clear" w:color="auto" w:fill="auto"/>
          </w:tcPr>
          <w:p w14:paraId="6EEE6AA3" w14:textId="77777777" w:rsidR="00871A83" w:rsidRPr="00E34CC3" w:rsidRDefault="00871A83" w:rsidP="00354BAF">
            <w:pPr>
              <w:spacing w:before="60" w:after="60"/>
              <w:jc w:val="center"/>
              <w:rPr>
                <w:rFonts w:cs="Arial"/>
              </w:rPr>
            </w:pPr>
          </w:p>
        </w:tc>
      </w:tr>
      <w:tr w:rsidR="0011373A" w:rsidRPr="006D4B7C" w14:paraId="68F00591" w14:textId="77777777" w:rsidTr="00D4531C">
        <w:trPr>
          <w:cantSplit/>
        </w:trPr>
        <w:tc>
          <w:tcPr>
            <w:tcW w:w="2269" w:type="dxa"/>
            <w:shd w:val="clear" w:color="auto" w:fill="auto"/>
          </w:tcPr>
          <w:p w14:paraId="39930AD4" w14:textId="77777777" w:rsidR="00871A83" w:rsidRPr="00E34CC3" w:rsidRDefault="00871A83" w:rsidP="00354BAF">
            <w:pPr>
              <w:spacing w:before="60" w:after="60"/>
              <w:rPr>
                <w:rFonts w:cs="Arial"/>
                <w:b/>
              </w:rPr>
            </w:pPr>
            <w:r w:rsidRPr="00E34CC3">
              <w:rPr>
                <w:rFonts w:cs="Arial"/>
                <w:b/>
              </w:rPr>
              <w:t>Electrical Conductivity</w:t>
            </w:r>
          </w:p>
          <w:p w14:paraId="59133697" w14:textId="4A3EF67F" w:rsidR="00871A83" w:rsidRPr="00E34CC3" w:rsidRDefault="00871A83" w:rsidP="00D4531C">
            <w:pPr>
              <w:spacing w:before="60" w:after="60"/>
              <w:rPr>
                <w:rFonts w:cs="Arial"/>
                <w:b/>
              </w:rPr>
            </w:pPr>
            <w:r w:rsidRPr="00E34CC3">
              <w:rPr>
                <w:rFonts w:cs="Arial"/>
                <w:b/>
              </w:rPr>
              <w:t xml:space="preserve">(ECe) (dS/m) as a measure of soil salinity </w:t>
            </w:r>
            <w:r w:rsidR="00D4531C">
              <w:rPr>
                <w:rFonts w:cs="Arial"/>
                <w:b/>
                <w:vertAlign w:val="superscript"/>
              </w:rPr>
              <w:t>1</w:t>
            </w:r>
          </w:p>
        </w:tc>
        <w:tc>
          <w:tcPr>
            <w:tcW w:w="2976" w:type="dxa"/>
            <w:shd w:val="clear" w:color="auto" w:fill="auto"/>
          </w:tcPr>
          <w:p w14:paraId="512214F3" w14:textId="77777777" w:rsidR="00871A83" w:rsidRPr="00E34CC3" w:rsidRDefault="00871A83" w:rsidP="00354BAF">
            <w:pPr>
              <w:spacing w:before="60" w:after="60"/>
              <w:jc w:val="center"/>
              <w:rPr>
                <w:rFonts w:cs="Arial"/>
              </w:rPr>
            </w:pPr>
            <w:r w:rsidRPr="00E34CC3">
              <w:rPr>
                <w:rFonts w:cs="Arial"/>
              </w:rPr>
              <w:t>&lt;0.8</w:t>
            </w:r>
          </w:p>
        </w:tc>
        <w:tc>
          <w:tcPr>
            <w:tcW w:w="2977" w:type="dxa"/>
            <w:shd w:val="clear" w:color="auto" w:fill="auto"/>
          </w:tcPr>
          <w:p w14:paraId="238A7CCE" w14:textId="77777777" w:rsidR="00871A83" w:rsidRPr="00E34CC3" w:rsidRDefault="00871A83" w:rsidP="00354BAF">
            <w:pPr>
              <w:spacing w:before="60" w:after="60"/>
              <w:jc w:val="center"/>
              <w:rPr>
                <w:rFonts w:cs="Arial"/>
              </w:rPr>
            </w:pPr>
            <w:r w:rsidRPr="00E34CC3">
              <w:rPr>
                <w:rFonts w:cs="Arial"/>
              </w:rPr>
              <w:t>0.8 - 2</w:t>
            </w:r>
          </w:p>
        </w:tc>
        <w:tc>
          <w:tcPr>
            <w:tcW w:w="2835" w:type="dxa"/>
            <w:shd w:val="clear" w:color="auto" w:fill="auto"/>
          </w:tcPr>
          <w:p w14:paraId="12E2AC1A" w14:textId="77777777" w:rsidR="00871A83" w:rsidRPr="00E34CC3" w:rsidRDefault="00871A83" w:rsidP="00354BAF">
            <w:pPr>
              <w:spacing w:before="60" w:after="60"/>
              <w:jc w:val="center"/>
              <w:rPr>
                <w:rFonts w:cs="Arial"/>
              </w:rPr>
            </w:pPr>
            <w:r w:rsidRPr="00E34CC3">
              <w:rPr>
                <w:rFonts w:cs="Arial"/>
              </w:rPr>
              <w:t>&gt;2</w:t>
            </w:r>
          </w:p>
        </w:tc>
        <w:tc>
          <w:tcPr>
            <w:tcW w:w="2126" w:type="dxa"/>
            <w:shd w:val="clear" w:color="auto" w:fill="auto"/>
          </w:tcPr>
          <w:p w14:paraId="1CF11CF1" w14:textId="77777777" w:rsidR="00871A83" w:rsidRPr="00E34CC3" w:rsidRDefault="00871A83" w:rsidP="00354BAF">
            <w:pPr>
              <w:spacing w:before="60" w:after="60"/>
              <w:rPr>
                <w:rFonts w:cs="Arial"/>
              </w:rPr>
            </w:pPr>
          </w:p>
        </w:tc>
      </w:tr>
      <w:tr w:rsidR="0011373A" w:rsidRPr="006D4B7C" w14:paraId="14301938" w14:textId="77777777" w:rsidTr="00D4531C">
        <w:trPr>
          <w:cantSplit/>
        </w:trPr>
        <w:tc>
          <w:tcPr>
            <w:tcW w:w="2269" w:type="dxa"/>
            <w:shd w:val="clear" w:color="auto" w:fill="auto"/>
          </w:tcPr>
          <w:p w14:paraId="5B127878" w14:textId="77777777" w:rsidR="00871A83" w:rsidRPr="00E34CC3" w:rsidRDefault="00871A83" w:rsidP="00354BAF">
            <w:pPr>
              <w:spacing w:before="60" w:after="60"/>
              <w:rPr>
                <w:rFonts w:cs="Arial"/>
                <w:b/>
              </w:rPr>
            </w:pPr>
            <w:r w:rsidRPr="00E34CC3">
              <w:rPr>
                <w:rFonts w:cs="Arial"/>
                <w:b/>
              </w:rPr>
              <w:t>Emerson Aggregate Class</w:t>
            </w:r>
          </w:p>
          <w:p w14:paraId="6EA489E7" w14:textId="77777777" w:rsidR="00871A83" w:rsidRPr="00E34CC3" w:rsidRDefault="00871A83" w:rsidP="00354BAF">
            <w:pPr>
              <w:spacing w:before="60" w:after="60"/>
              <w:rPr>
                <w:rFonts w:cs="Arial"/>
                <w:b/>
              </w:rPr>
            </w:pPr>
            <w:r w:rsidRPr="00E34CC3">
              <w:rPr>
                <w:rFonts w:cs="Arial"/>
                <w:b/>
              </w:rPr>
              <w:t>(consider in context of sodicity)</w:t>
            </w:r>
          </w:p>
        </w:tc>
        <w:tc>
          <w:tcPr>
            <w:tcW w:w="2976" w:type="dxa"/>
            <w:shd w:val="clear" w:color="auto" w:fill="auto"/>
          </w:tcPr>
          <w:p w14:paraId="394B5BDA" w14:textId="77777777" w:rsidR="00871A83" w:rsidRPr="00E34CC3" w:rsidRDefault="00871A83" w:rsidP="00354BAF">
            <w:pPr>
              <w:spacing w:before="60" w:after="60"/>
              <w:jc w:val="center"/>
              <w:rPr>
                <w:rFonts w:cs="Arial"/>
              </w:rPr>
            </w:pPr>
            <w:r w:rsidRPr="00E34CC3">
              <w:rPr>
                <w:rFonts w:cs="Arial"/>
              </w:rPr>
              <w:t>4, 5, 6, 8</w:t>
            </w:r>
          </w:p>
        </w:tc>
        <w:tc>
          <w:tcPr>
            <w:tcW w:w="2977" w:type="dxa"/>
            <w:shd w:val="clear" w:color="auto" w:fill="auto"/>
          </w:tcPr>
          <w:p w14:paraId="1B0F9A7B" w14:textId="77777777" w:rsidR="00871A83" w:rsidRPr="00E34CC3" w:rsidRDefault="00871A83" w:rsidP="00354BAF">
            <w:pPr>
              <w:spacing w:before="60" w:after="60"/>
              <w:jc w:val="center"/>
              <w:rPr>
                <w:rFonts w:cs="Arial"/>
              </w:rPr>
            </w:pPr>
            <w:r w:rsidRPr="00E34CC3">
              <w:rPr>
                <w:rFonts w:cs="Arial"/>
              </w:rPr>
              <w:t>7</w:t>
            </w:r>
          </w:p>
        </w:tc>
        <w:tc>
          <w:tcPr>
            <w:tcW w:w="2835" w:type="dxa"/>
            <w:shd w:val="clear" w:color="auto" w:fill="auto"/>
          </w:tcPr>
          <w:p w14:paraId="40A623D2" w14:textId="77777777" w:rsidR="00871A83" w:rsidRPr="00E34CC3" w:rsidRDefault="00871A83" w:rsidP="00354BAF">
            <w:pPr>
              <w:spacing w:before="60" w:after="60"/>
              <w:jc w:val="center"/>
              <w:rPr>
                <w:rFonts w:cs="Arial"/>
              </w:rPr>
            </w:pPr>
            <w:r w:rsidRPr="00E34CC3">
              <w:rPr>
                <w:rFonts w:cs="Arial"/>
              </w:rPr>
              <w:t>1, 2, 3</w:t>
            </w:r>
          </w:p>
        </w:tc>
        <w:tc>
          <w:tcPr>
            <w:tcW w:w="2126" w:type="dxa"/>
            <w:shd w:val="clear" w:color="auto" w:fill="auto"/>
          </w:tcPr>
          <w:p w14:paraId="40B8FF8A" w14:textId="77777777" w:rsidR="00871A83" w:rsidRPr="00E34CC3" w:rsidRDefault="00871A83" w:rsidP="00354BAF">
            <w:pPr>
              <w:spacing w:before="60" w:after="60"/>
              <w:rPr>
                <w:rFonts w:cs="Arial"/>
              </w:rPr>
            </w:pPr>
          </w:p>
        </w:tc>
      </w:tr>
      <w:tr w:rsidR="0011373A" w:rsidRPr="006D4B7C" w14:paraId="3F23740E" w14:textId="77777777" w:rsidTr="00D4531C">
        <w:trPr>
          <w:cantSplit/>
        </w:trPr>
        <w:tc>
          <w:tcPr>
            <w:tcW w:w="2269" w:type="dxa"/>
            <w:shd w:val="clear" w:color="auto" w:fill="auto"/>
          </w:tcPr>
          <w:p w14:paraId="144422C8" w14:textId="77777777" w:rsidR="00871A83" w:rsidRPr="00E34CC3" w:rsidRDefault="00871A83" w:rsidP="00354BAF">
            <w:pPr>
              <w:spacing w:before="60" w:after="60"/>
              <w:rPr>
                <w:rFonts w:cs="Arial"/>
                <w:b/>
              </w:rPr>
            </w:pPr>
            <w:r w:rsidRPr="00E34CC3">
              <w:rPr>
                <w:rFonts w:cs="Arial"/>
                <w:b/>
              </w:rPr>
              <w:t xml:space="preserve">Gleying </w:t>
            </w:r>
            <w:r w:rsidRPr="00E34CC3">
              <w:rPr>
                <w:rFonts w:cs="Arial"/>
                <w:b/>
                <w:vertAlign w:val="superscript"/>
              </w:rPr>
              <w:t>2</w:t>
            </w:r>
          </w:p>
          <w:p w14:paraId="14F7174B" w14:textId="77777777" w:rsidR="00871A83" w:rsidRPr="00E34CC3" w:rsidRDefault="00871A83" w:rsidP="00354BAF">
            <w:pPr>
              <w:spacing w:before="60" w:after="60"/>
              <w:rPr>
                <w:rFonts w:cs="Arial"/>
                <w:b/>
              </w:rPr>
            </w:pPr>
            <w:r w:rsidRPr="00E34CC3">
              <w:rPr>
                <w:rFonts w:cs="Arial"/>
                <w:b/>
              </w:rPr>
              <w:t xml:space="preserve">(see Munsell Soil Colour Chart) </w:t>
            </w:r>
          </w:p>
        </w:tc>
        <w:tc>
          <w:tcPr>
            <w:tcW w:w="2976" w:type="dxa"/>
            <w:shd w:val="clear" w:color="auto" w:fill="auto"/>
          </w:tcPr>
          <w:p w14:paraId="66455A68" w14:textId="77777777" w:rsidR="00871A83" w:rsidRPr="00E34CC3" w:rsidRDefault="00871A83" w:rsidP="00354BAF">
            <w:pPr>
              <w:spacing w:before="60" w:after="60"/>
              <w:jc w:val="center"/>
              <w:rPr>
                <w:rFonts w:cs="Arial"/>
              </w:rPr>
            </w:pPr>
            <w:r w:rsidRPr="00E34CC3">
              <w:rPr>
                <w:rFonts w:cs="Arial"/>
              </w:rPr>
              <w:t>Nil</w:t>
            </w:r>
          </w:p>
        </w:tc>
        <w:tc>
          <w:tcPr>
            <w:tcW w:w="2977" w:type="dxa"/>
            <w:shd w:val="clear" w:color="auto" w:fill="auto"/>
          </w:tcPr>
          <w:p w14:paraId="0DAA3089" w14:textId="77777777" w:rsidR="00871A83" w:rsidRPr="00E34CC3" w:rsidRDefault="00871A83" w:rsidP="00354BAF">
            <w:pPr>
              <w:spacing w:before="60" w:after="60"/>
              <w:jc w:val="center"/>
              <w:rPr>
                <w:rFonts w:cs="Arial"/>
              </w:rPr>
            </w:pPr>
            <w:r w:rsidRPr="00E34CC3">
              <w:rPr>
                <w:rFonts w:cs="Arial"/>
              </w:rPr>
              <w:t>Some evidence of greenish grey / black or bluish grey / black soil colours</w:t>
            </w:r>
          </w:p>
        </w:tc>
        <w:tc>
          <w:tcPr>
            <w:tcW w:w="2835" w:type="dxa"/>
            <w:shd w:val="clear" w:color="auto" w:fill="auto"/>
          </w:tcPr>
          <w:p w14:paraId="5514A8B2" w14:textId="77777777" w:rsidR="00871A83" w:rsidRPr="00E34CC3" w:rsidRDefault="00871A83" w:rsidP="00354BAF">
            <w:pPr>
              <w:spacing w:before="60" w:after="60"/>
              <w:jc w:val="center"/>
              <w:rPr>
                <w:rFonts w:cs="Arial"/>
              </w:rPr>
            </w:pPr>
            <w:r w:rsidRPr="00E34CC3">
              <w:rPr>
                <w:rFonts w:cs="Arial"/>
              </w:rPr>
              <w:t xml:space="preserve">Predominant greenish grey / black, bluish grey / black colours </w:t>
            </w:r>
          </w:p>
        </w:tc>
        <w:tc>
          <w:tcPr>
            <w:tcW w:w="2126" w:type="dxa"/>
            <w:shd w:val="clear" w:color="auto" w:fill="auto"/>
          </w:tcPr>
          <w:p w14:paraId="1498A5F5" w14:textId="77777777" w:rsidR="00871A83" w:rsidRPr="00E34CC3" w:rsidRDefault="00871A83" w:rsidP="00354BAF">
            <w:pPr>
              <w:spacing w:before="60" w:after="60"/>
              <w:rPr>
                <w:rFonts w:cs="Arial"/>
              </w:rPr>
            </w:pPr>
          </w:p>
        </w:tc>
      </w:tr>
      <w:tr w:rsidR="0011373A" w:rsidRPr="006D4B7C" w14:paraId="0DA7325A" w14:textId="77777777" w:rsidTr="00D4531C">
        <w:trPr>
          <w:cantSplit/>
        </w:trPr>
        <w:tc>
          <w:tcPr>
            <w:tcW w:w="2269" w:type="dxa"/>
            <w:shd w:val="clear" w:color="auto" w:fill="auto"/>
          </w:tcPr>
          <w:p w14:paraId="4E2824F0" w14:textId="77777777" w:rsidR="00871A83" w:rsidRPr="00E34CC3" w:rsidRDefault="00871A83" w:rsidP="00354BAF">
            <w:pPr>
              <w:spacing w:before="60" w:after="60"/>
              <w:rPr>
                <w:rFonts w:cs="Arial"/>
                <w:b/>
              </w:rPr>
            </w:pPr>
            <w:r w:rsidRPr="00E34CC3">
              <w:rPr>
                <w:rFonts w:cs="Arial"/>
                <w:b/>
              </w:rPr>
              <w:t>Mottling</w:t>
            </w:r>
          </w:p>
          <w:p w14:paraId="751DDB95" w14:textId="77777777" w:rsidR="00871A83" w:rsidRPr="00E34CC3" w:rsidDel="00440A8C" w:rsidRDefault="00871A83" w:rsidP="00354BAF">
            <w:pPr>
              <w:spacing w:before="60" w:after="60"/>
              <w:rPr>
                <w:rFonts w:cs="Arial"/>
                <w:b/>
              </w:rPr>
            </w:pPr>
            <w:r w:rsidRPr="00E34CC3">
              <w:rPr>
                <w:rFonts w:cs="Arial"/>
                <w:b/>
              </w:rPr>
              <w:t>(see Munsell Soil Colour Chart)</w:t>
            </w:r>
          </w:p>
        </w:tc>
        <w:tc>
          <w:tcPr>
            <w:tcW w:w="2976" w:type="dxa"/>
            <w:shd w:val="clear" w:color="auto" w:fill="auto"/>
          </w:tcPr>
          <w:p w14:paraId="157DDF83" w14:textId="77777777" w:rsidR="00871A83" w:rsidRPr="00E34CC3" w:rsidRDefault="00871A83" w:rsidP="00354BAF">
            <w:pPr>
              <w:spacing w:before="60" w:after="60"/>
              <w:jc w:val="center"/>
              <w:rPr>
                <w:rFonts w:cs="Arial"/>
              </w:rPr>
            </w:pPr>
            <w:r w:rsidRPr="00E34CC3">
              <w:rPr>
                <w:rFonts w:cs="Arial"/>
              </w:rPr>
              <w:t>Very well to well-drained soils generally have uniform brownish or reddish colour</w:t>
            </w:r>
          </w:p>
        </w:tc>
        <w:tc>
          <w:tcPr>
            <w:tcW w:w="2977" w:type="dxa"/>
            <w:tcBorders>
              <w:bottom w:val="single" w:sz="4" w:space="0" w:color="auto"/>
            </w:tcBorders>
            <w:shd w:val="clear" w:color="auto" w:fill="auto"/>
          </w:tcPr>
          <w:p w14:paraId="18F46C26" w14:textId="77777777" w:rsidR="00871A83" w:rsidRPr="00E34CC3" w:rsidRDefault="00871A83" w:rsidP="00354BAF">
            <w:pPr>
              <w:spacing w:before="60" w:after="60"/>
              <w:jc w:val="center"/>
              <w:rPr>
                <w:rFonts w:cs="Arial"/>
              </w:rPr>
            </w:pPr>
            <w:r w:rsidRPr="00E34CC3">
              <w:rPr>
                <w:rFonts w:cs="Arial"/>
              </w:rPr>
              <w:t>Moderately well to imperfectly drained soils have grey and/or yellow brown mottles and in the mottled areas occur higher in the profile the less well-drained the soil</w:t>
            </w:r>
          </w:p>
        </w:tc>
        <w:tc>
          <w:tcPr>
            <w:tcW w:w="2835" w:type="dxa"/>
            <w:shd w:val="clear" w:color="auto" w:fill="auto"/>
          </w:tcPr>
          <w:p w14:paraId="73E5B32F" w14:textId="77777777" w:rsidR="00871A83" w:rsidRPr="00E34CC3" w:rsidRDefault="00871A83" w:rsidP="00354BAF">
            <w:pPr>
              <w:spacing w:before="60" w:after="60"/>
              <w:jc w:val="center"/>
              <w:rPr>
                <w:rFonts w:cs="Arial"/>
              </w:rPr>
            </w:pPr>
            <w:r w:rsidRPr="00E34CC3">
              <w:rPr>
                <w:rFonts w:cs="Arial"/>
              </w:rPr>
              <w:t>Poorly drained soils have predominant grey colours with yellow brown or reddish brown mottles located along root channels, large pores and cracks</w:t>
            </w:r>
          </w:p>
        </w:tc>
        <w:tc>
          <w:tcPr>
            <w:tcW w:w="2126" w:type="dxa"/>
            <w:shd w:val="clear" w:color="auto" w:fill="auto"/>
          </w:tcPr>
          <w:p w14:paraId="4E1819EB" w14:textId="77777777" w:rsidR="00871A83" w:rsidRPr="00E34CC3" w:rsidRDefault="00871A83" w:rsidP="00354BAF">
            <w:pPr>
              <w:spacing w:before="60" w:after="60"/>
              <w:rPr>
                <w:rFonts w:cs="Arial"/>
              </w:rPr>
            </w:pPr>
          </w:p>
        </w:tc>
      </w:tr>
      <w:tr w:rsidR="0011373A" w:rsidRPr="006D4B7C" w14:paraId="49F6C7A2" w14:textId="77777777" w:rsidTr="00D4531C">
        <w:trPr>
          <w:cantSplit/>
        </w:trPr>
        <w:tc>
          <w:tcPr>
            <w:tcW w:w="2269" w:type="dxa"/>
            <w:shd w:val="clear" w:color="auto" w:fill="auto"/>
          </w:tcPr>
          <w:p w14:paraId="62436256" w14:textId="77777777" w:rsidR="00871A83" w:rsidRPr="00E34CC3" w:rsidRDefault="00871A83" w:rsidP="00354BAF">
            <w:pPr>
              <w:spacing w:before="60" w:after="60"/>
              <w:rPr>
                <w:rFonts w:cs="Arial"/>
                <w:b/>
              </w:rPr>
            </w:pPr>
            <w:r w:rsidRPr="00E34CC3">
              <w:rPr>
                <w:rFonts w:cs="Arial"/>
                <w:b/>
              </w:rPr>
              <w:t xml:space="preserve">pH </w:t>
            </w:r>
            <w:r w:rsidRPr="00E34CC3">
              <w:rPr>
                <w:rFonts w:cs="Arial"/>
                <w:b/>
                <w:vertAlign w:val="superscript"/>
              </w:rPr>
              <w:t>3</w:t>
            </w:r>
          </w:p>
          <w:p w14:paraId="4E206D8F" w14:textId="77777777" w:rsidR="00871A83" w:rsidRPr="00E34CC3" w:rsidRDefault="00871A83" w:rsidP="00354BAF">
            <w:pPr>
              <w:spacing w:before="60" w:after="60"/>
              <w:rPr>
                <w:rFonts w:cs="Arial"/>
                <w:b/>
              </w:rPr>
            </w:pPr>
            <w:r w:rsidRPr="00E34CC3">
              <w:rPr>
                <w:rFonts w:cs="Arial"/>
                <w:b/>
              </w:rPr>
              <w:t>(favoured range for plants)</w:t>
            </w:r>
          </w:p>
        </w:tc>
        <w:tc>
          <w:tcPr>
            <w:tcW w:w="2976" w:type="dxa"/>
            <w:shd w:val="clear" w:color="auto" w:fill="auto"/>
          </w:tcPr>
          <w:p w14:paraId="4D17EB81" w14:textId="77777777" w:rsidR="00871A83" w:rsidRPr="00E34CC3" w:rsidRDefault="00871A83" w:rsidP="00354BAF">
            <w:pPr>
              <w:spacing w:before="60" w:after="60"/>
              <w:jc w:val="center"/>
              <w:rPr>
                <w:rFonts w:cs="Arial"/>
              </w:rPr>
            </w:pPr>
            <w:r w:rsidRPr="00E34CC3">
              <w:rPr>
                <w:rFonts w:cs="Arial"/>
              </w:rPr>
              <w:t>5.5 - 8 is the optimum range for a wide range of plants;</w:t>
            </w:r>
          </w:p>
          <w:p w14:paraId="29B28490" w14:textId="77777777" w:rsidR="00871A83" w:rsidRPr="00E34CC3" w:rsidRDefault="00871A83" w:rsidP="00354BAF">
            <w:pPr>
              <w:spacing w:before="60" w:after="60"/>
              <w:jc w:val="center"/>
              <w:rPr>
                <w:rFonts w:cs="Arial"/>
              </w:rPr>
            </w:pPr>
            <w:r w:rsidRPr="00E34CC3">
              <w:rPr>
                <w:rFonts w:cs="Arial"/>
              </w:rPr>
              <w:t>4.5 - 5.5 suitable for many acid-loving plants</w:t>
            </w:r>
          </w:p>
        </w:tc>
        <w:tc>
          <w:tcPr>
            <w:tcW w:w="2977" w:type="dxa"/>
            <w:tcBorders>
              <w:bottom w:val="single" w:sz="4" w:space="0" w:color="auto"/>
            </w:tcBorders>
            <w:shd w:val="clear" w:color="auto" w:fill="E0E0E0"/>
          </w:tcPr>
          <w:p w14:paraId="409453D7" w14:textId="77777777" w:rsidR="00871A83" w:rsidRPr="00E34CC3" w:rsidRDefault="00871A83" w:rsidP="00354BAF">
            <w:pPr>
              <w:spacing w:before="60" w:after="60"/>
              <w:jc w:val="center"/>
              <w:rPr>
                <w:rFonts w:cs="Arial"/>
              </w:rPr>
            </w:pPr>
          </w:p>
        </w:tc>
        <w:tc>
          <w:tcPr>
            <w:tcW w:w="2835" w:type="dxa"/>
            <w:shd w:val="clear" w:color="auto" w:fill="auto"/>
          </w:tcPr>
          <w:p w14:paraId="15613C8B" w14:textId="77777777" w:rsidR="00871A83" w:rsidRPr="00E34CC3" w:rsidRDefault="00871A83" w:rsidP="00354BAF">
            <w:pPr>
              <w:spacing w:before="60" w:after="60"/>
              <w:jc w:val="center"/>
              <w:rPr>
                <w:rFonts w:cs="Arial"/>
              </w:rPr>
            </w:pPr>
            <w:r w:rsidRPr="00E34CC3">
              <w:rPr>
                <w:rFonts w:cs="Arial"/>
              </w:rPr>
              <w:t>&lt;4.5, &gt;8</w:t>
            </w:r>
          </w:p>
        </w:tc>
        <w:tc>
          <w:tcPr>
            <w:tcW w:w="2126" w:type="dxa"/>
            <w:shd w:val="clear" w:color="auto" w:fill="auto"/>
          </w:tcPr>
          <w:p w14:paraId="4E5C6761" w14:textId="77777777" w:rsidR="00871A83" w:rsidRPr="00E34CC3" w:rsidRDefault="00871A83" w:rsidP="00354BAF">
            <w:pPr>
              <w:spacing w:before="60" w:after="60"/>
              <w:rPr>
                <w:rFonts w:cs="Arial"/>
              </w:rPr>
            </w:pPr>
          </w:p>
        </w:tc>
      </w:tr>
      <w:tr w:rsidR="00871A83" w:rsidRPr="006D4B7C" w14:paraId="42343F4B" w14:textId="77777777" w:rsidTr="00D4531C">
        <w:trPr>
          <w:cantSplit/>
        </w:trPr>
        <w:tc>
          <w:tcPr>
            <w:tcW w:w="2269" w:type="dxa"/>
            <w:vMerge w:val="restart"/>
            <w:shd w:val="clear" w:color="auto" w:fill="auto"/>
            <w:vAlign w:val="center"/>
          </w:tcPr>
          <w:p w14:paraId="1B557210" w14:textId="77777777" w:rsidR="00871A83" w:rsidRPr="00E34CC3" w:rsidRDefault="00871A83" w:rsidP="00354BAF">
            <w:pPr>
              <w:spacing w:before="60" w:after="60"/>
              <w:jc w:val="center"/>
              <w:rPr>
                <w:rFonts w:cs="Arial"/>
                <w:b/>
              </w:rPr>
            </w:pPr>
            <w:r w:rsidRPr="00E34CC3">
              <w:rPr>
                <w:rFonts w:cs="Arial"/>
                <w:b/>
              </w:rPr>
              <w:lastRenderedPageBreak/>
              <w:t>Characteristic</w:t>
            </w:r>
          </w:p>
        </w:tc>
        <w:tc>
          <w:tcPr>
            <w:tcW w:w="8788" w:type="dxa"/>
            <w:gridSpan w:val="3"/>
            <w:shd w:val="clear" w:color="auto" w:fill="auto"/>
            <w:vAlign w:val="center"/>
          </w:tcPr>
          <w:p w14:paraId="38058BFB" w14:textId="77777777" w:rsidR="00871A83" w:rsidRPr="00E34CC3" w:rsidRDefault="00871A83" w:rsidP="00354BAF">
            <w:pPr>
              <w:spacing w:before="60" w:after="60"/>
              <w:jc w:val="center"/>
              <w:rPr>
                <w:rFonts w:cs="Arial"/>
              </w:rPr>
            </w:pPr>
            <w:r w:rsidRPr="00E34CC3">
              <w:rPr>
                <w:rFonts w:cs="Arial"/>
                <w:b/>
              </w:rPr>
              <w:t>Level of Constraint</w:t>
            </w:r>
          </w:p>
        </w:tc>
        <w:tc>
          <w:tcPr>
            <w:tcW w:w="2126" w:type="dxa"/>
            <w:vMerge w:val="restart"/>
            <w:shd w:val="clear" w:color="auto" w:fill="auto"/>
            <w:vAlign w:val="center"/>
          </w:tcPr>
          <w:p w14:paraId="47D7F08D" w14:textId="77777777" w:rsidR="00871A83" w:rsidRPr="00E34CC3" w:rsidRDefault="00871A83" w:rsidP="00354BAF">
            <w:pPr>
              <w:spacing w:before="60" w:after="60"/>
              <w:jc w:val="center"/>
              <w:rPr>
                <w:rFonts w:cs="Arial"/>
              </w:rPr>
            </w:pPr>
            <w:r w:rsidRPr="00E34CC3">
              <w:rPr>
                <w:rFonts w:cs="Arial"/>
                <w:b/>
              </w:rPr>
              <w:t>Assessed Level of Constraint for Site</w:t>
            </w:r>
          </w:p>
        </w:tc>
      </w:tr>
      <w:tr w:rsidR="00871A83" w:rsidRPr="006D4B7C" w14:paraId="751AE682" w14:textId="77777777" w:rsidTr="00D4531C">
        <w:trPr>
          <w:cantSplit/>
        </w:trPr>
        <w:tc>
          <w:tcPr>
            <w:tcW w:w="2269" w:type="dxa"/>
            <w:vMerge/>
            <w:shd w:val="clear" w:color="auto" w:fill="auto"/>
          </w:tcPr>
          <w:p w14:paraId="696CF390" w14:textId="77777777" w:rsidR="00871A83" w:rsidRPr="00E34CC3" w:rsidRDefault="00871A83" w:rsidP="00354BAF">
            <w:pPr>
              <w:spacing w:before="60" w:after="60"/>
              <w:rPr>
                <w:rFonts w:cs="Arial"/>
                <w:b/>
              </w:rPr>
            </w:pPr>
          </w:p>
        </w:tc>
        <w:tc>
          <w:tcPr>
            <w:tcW w:w="2976" w:type="dxa"/>
            <w:shd w:val="clear" w:color="auto" w:fill="auto"/>
            <w:vAlign w:val="center"/>
          </w:tcPr>
          <w:p w14:paraId="13C8DAEB" w14:textId="77777777" w:rsidR="00871A83" w:rsidRPr="00E34CC3" w:rsidRDefault="00871A83" w:rsidP="00354BAF">
            <w:pPr>
              <w:spacing w:before="60" w:after="60"/>
              <w:jc w:val="center"/>
              <w:rPr>
                <w:rFonts w:cs="Arial"/>
              </w:rPr>
            </w:pPr>
            <w:r w:rsidRPr="00E34CC3">
              <w:rPr>
                <w:rFonts w:cs="Arial"/>
                <w:b/>
              </w:rPr>
              <w:t>Nil or Minor</w:t>
            </w:r>
          </w:p>
        </w:tc>
        <w:tc>
          <w:tcPr>
            <w:tcW w:w="2977" w:type="dxa"/>
            <w:shd w:val="clear" w:color="auto" w:fill="FFFFFF" w:themeFill="background1"/>
            <w:vAlign w:val="center"/>
          </w:tcPr>
          <w:p w14:paraId="1B8329AA" w14:textId="77777777" w:rsidR="00871A83" w:rsidRPr="00E34CC3" w:rsidRDefault="00871A83" w:rsidP="00354BAF">
            <w:pPr>
              <w:spacing w:before="60" w:after="60"/>
              <w:jc w:val="center"/>
              <w:rPr>
                <w:rFonts w:cs="Arial"/>
              </w:rPr>
            </w:pPr>
            <w:r w:rsidRPr="00E34CC3">
              <w:rPr>
                <w:rFonts w:cs="Arial"/>
                <w:b/>
              </w:rPr>
              <w:t>Moderate</w:t>
            </w:r>
          </w:p>
        </w:tc>
        <w:tc>
          <w:tcPr>
            <w:tcW w:w="2835" w:type="dxa"/>
            <w:shd w:val="clear" w:color="auto" w:fill="auto"/>
            <w:vAlign w:val="center"/>
          </w:tcPr>
          <w:p w14:paraId="11E20C64" w14:textId="77777777" w:rsidR="00871A83" w:rsidRPr="00E34CC3" w:rsidRDefault="00871A83" w:rsidP="00354BAF">
            <w:pPr>
              <w:spacing w:before="60" w:after="60"/>
              <w:jc w:val="center"/>
              <w:rPr>
                <w:rFonts w:cs="Arial"/>
              </w:rPr>
            </w:pPr>
            <w:r w:rsidRPr="00E34CC3">
              <w:rPr>
                <w:rFonts w:cs="Arial"/>
                <w:b/>
              </w:rPr>
              <w:t>Major</w:t>
            </w:r>
          </w:p>
        </w:tc>
        <w:tc>
          <w:tcPr>
            <w:tcW w:w="2126" w:type="dxa"/>
            <w:vMerge/>
            <w:shd w:val="clear" w:color="auto" w:fill="auto"/>
          </w:tcPr>
          <w:p w14:paraId="2802238F" w14:textId="77777777" w:rsidR="00871A83" w:rsidRPr="00E34CC3" w:rsidRDefault="00871A83" w:rsidP="00354BAF">
            <w:pPr>
              <w:spacing w:before="60" w:after="60"/>
              <w:rPr>
                <w:rFonts w:cs="Arial"/>
              </w:rPr>
            </w:pPr>
          </w:p>
        </w:tc>
      </w:tr>
      <w:tr w:rsidR="00871A83" w:rsidRPr="006D4B7C" w14:paraId="0C630731" w14:textId="77777777" w:rsidTr="00D4531C">
        <w:trPr>
          <w:cantSplit/>
        </w:trPr>
        <w:tc>
          <w:tcPr>
            <w:tcW w:w="2269" w:type="dxa"/>
            <w:shd w:val="clear" w:color="auto" w:fill="auto"/>
          </w:tcPr>
          <w:p w14:paraId="240A06F5" w14:textId="77777777" w:rsidR="00871A83" w:rsidRPr="00E34CC3" w:rsidRDefault="00871A83" w:rsidP="00354BAF">
            <w:pPr>
              <w:spacing w:before="60" w:after="60"/>
              <w:rPr>
                <w:rFonts w:cs="Arial"/>
                <w:b/>
              </w:rPr>
            </w:pPr>
            <w:r w:rsidRPr="00E34CC3">
              <w:rPr>
                <w:rFonts w:cs="Arial"/>
                <w:b/>
              </w:rPr>
              <w:t>Rock Fragments</w:t>
            </w:r>
          </w:p>
          <w:p w14:paraId="2FB9B6E7" w14:textId="77777777" w:rsidR="00871A83" w:rsidRPr="00E34CC3" w:rsidRDefault="00871A83" w:rsidP="00354BAF">
            <w:pPr>
              <w:spacing w:before="60" w:after="60"/>
              <w:rPr>
                <w:rFonts w:cs="Arial"/>
                <w:b/>
              </w:rPr>
            </w:pPr>
            <w:r w:rsidRPr="00E34CC3">
              <w:rPr>
                <w:rFonts w:cs="Arial"/>
                <w:b/>
              </w:rPr>
              <w:t>(size &amp; volume %)</w:t>
            </w:r>
          </w:p>
        </w:tc>
        <w:tc>
          <w:tcPr>
            <w:tcW w:w="2976" w:type="dxa"/>
            <w:shd w:val="clear" w:color="auto" w:fill="auto"/>
          </w:tcPr>
          <w:p w14:paraId="02AA83DA" w14:textId="77777777" w:rsidR="00871A83" w:rsidRPr="00E34CC3" w:rsidRDefault="00871A83" w:rsidP="00354BAF">
            <w:pPr>
              <w:spacing w:before="60" w:after="60"/>
              <w:jc w:val="center"/>
              <w:rPr>
                <w:rFonts w:cs="Arial"/>
              </w:rPr>
            </w:pPr>
            <w:r w:rsidRPr="00E34CC3">
              <w:rPr>
                <w:rFonts w:cs="Arial"/>
              </w:rPr>
              <w:t>0 – 10%</w:t>
            </w:r>
          </w:p>
        </w:tc>
        <w:tc>
          <w:tcPr>
            <w:tcW w:w="2977" w:type="dxa"/>
            <w:shd w:val="clear" w:color="auto" w:fill="auto"/>
          </w:tcPr>
          <w:p w14:paraId="6291040E" w14:textId="77777777" w:rsidR="00871A83" w:rsidRPr="00E34CC3" w:rsidRDefault="00871A83" w:rsidP="00354BAF">
            <w:pPr>
              <w:spacing w:before="60" w:after="60"/>
              <w:jc w:val="center"/>
              <w:rPr>
                <w:rFonts w:cs="Arial"/>
              </w:rPr>
            </w:pPr>
            <w:r w:rsidRPr="00E34CC3">
              <w:rPr>
                <w:rFonts w:cs="Arial"/>
              </w:rPr>
              <w:t>10 – 20 %</w:t>
            </w:r>
          </w:p>
        </w:tc>
        <w:tc>
          <w:tcPr>
            <w:tcW w:w="2835" w:type="dxa"/>
            <w:shd w:val="clear" w:color="auto" w:fill="auto"/>
          </w:tcPr>
          <w:p w14:paraId="70558053" w14:textId="77777777" w:rsidR="00871A83" w:rsidRPr="00E34CC3" w:rsidRDefault="00871A83" w:rsidP="00354BAF">
            <w:pPr>
              <w:spacing w:before="60" w:after="60"/>
              <w:jc w:val="center"/>
              <w:rPr>
                <w:rFonts w:cs="Arial"/>
              </w:rPr>
            </w:pPr>
            <w:r w:rsidRPr="00E34CC3">
              <w:rPr>
                <w:rFonts w:cs="Arial"/>
              </w:rPr>
              <w:t>&gt;20%</w:t>
            </w:r>
          </w:p>
        </w:tc>
        <w:tc>
          <w:tcPr>
            <w:tcW w:w="2126" w:type="dxa"/>
            <w:shd w:val="clear" w:color="auto" w:fill="auto"/>
          </w:tcPr>
          <w:p w14:paraId="1B28EEEF" w14:textId="77777777" w:rsidR="00871A83" w:rsidRPr="00E34CC3" w:rsidRDefault="00871A83" w:rsidP="00354BAF">
            <w:pPr>
              <w:spacing w:before="60" w:after="60"/>
              <w:rPr>
                <w:rFonts w:cs="Arial"/>
              </w:rPr>
            </w:pPr>
          </w:p>
        </w:tc>
      </w:tr>
      <w:tr w:rsidR="00871A83" w:rsidRPr="006D4B7C" w14:paraId="5354A77F" w14:textId="77777777" w:rsidTr="00D4531C">
        <w:trPr>
          <w:cantSplit/>
        </w:trPr>
        <w:tc>
          <w:tcPr>
            <w:tcW w:w="2269" w:type="dxa"/>
            <w:shd w:val="clear" w:color="auto" w:fill="auto"/>
          </w:tcPr>
          <w:p w14:paraId="4E179766" w14:textId="77777777" w:rsidR="00871A83" w:rsidRPr="00E34CC3" w:rsidRDefault="00871A83" w:rsidP="00354BAF">
            <w:pPr>
              <w:spacing w:before="60" w:after="60"/>
              <w:rPr>
                <w:rFonts w:cs="Arial"/>
                <w:b/>
              </w:rPr>
            </w:pPr>
            <w:r w:rsidRPr="00E34CC3">
              <w:rPr>
                <w:rFonts w:cs="Arial"/>
                <w:b/>
              </w:rPr>
              <w:t xml:space="preserve">Sodicity </w:t>
            </w:r>
            <w:r w:rsidRPr="00E34CC3">
              <w:rPr>
                <w:rFonts w:cs="Arial"/>
                <w:b/>
                <w:vertAlign w:val="superscript"/>
              </w:rPr>
              <w:t>4</w:t>
            </w:r>
          </w:p>
          <w:p w14:paraId="7A181186" w14:textId="77777777" w:rsidR="00871A83" w:rsidRPr="00E34CC3" w:rsidRDefault="00871A83" w:rsidP="00354BAF">
            <w:pPr>
              <w:spacing w:before="60" w:after="60"/>
              <w:rPr>
                <w:rFonts w:cs="Arial"/>
                <w:b/>
              </w:rPr>
            </w:pPr>
            <w:r w:rsidRPr="00E34CC3">
              <w:rPr>
                <w:rFonts w:cs="Arial"/>
                <w:b/>
              </w:rPr>
              <w:t>(ESP %)</w:t>
            </w:r>
          </w:p>
        </w:tc>
        <w:tc>
          <w:tcPr>
            <w:tcW w:w="2976" w:type="dxa"/>
            <w:shd w:val="clear" w:color="auto" w:fill="auto"/>
          </w:tcPr>
          <w:p w14:paraId="086529FC" w14:textId="77777777" w:rsidR="00871A83" w:rsidRPr="00E34CC3" w:rsidRDefault="00871A83" w:rsidP="00354BAF">
            <w:pPr>
              <w:spacing w:before="60" w:after="60"/>
              <w:jc w:val="center"/>
              <w:rPr>
                <w:rFonts w:cs="Arial"/>
              </w:rPr>
            </w:pPr>
            <w:r w:rsidRPr="00E34CC3">
              <w:rPr>
                <w:rFonts w:cs="Arial"/>
              </w:rPr>
              <w:t>&lt;6%</w:t>
            </w:r>
          </w:p>
        </w:tc>
        <w:tc>
          <w:tcPr>
            <w:tcW w:w="2977" w:type="dxa"/>
            <w:shd w:val="clear" w:color="auto" w:fill="auto"/>
          </w:tcPr>
          <w:p w14:paraId="2C085608" w14:textId="77777777" w:rsidR="00871A83" w:rsidRPr="00E34CC3" w:rsidRDefault="00871A83" w:rsidP="00354BAF">
            <w:pPr>
              <w:spacing w:before="60" w:after="60"/>
              <w:jc w:val="center"/>
              <w:rPr>
                <w:rFonts w:cs="Arial"/>
              </w:rPr>
            </w:pPr>
            <w:r w:rsidRPr="00E34CC3">
              <w:rPr>
                <w:rFonts w:cs="Arial"/>
              </w:rPr>
              <w:t>6 – 8%</w:t>
            </w:r>
          </w:p>
        </w:tc>
        <w:tc>
          <w:tcPr>
            <w:tcW w:w="2835" w:type="dxa"/>
            <w:shd w:val="clear" w:color="auto" w:fill="auto"/>
          </w:tcPr>
          <w:p w14:paraId="56D92E32" w14:textId="77777777" w:rsidR="00871A83" w:rsidRPr="00E34CC3" w:rsidRDefault="00871A83" w:rsidP="00354BAF">
            <w:pPr>
              <w:spacing w:before="60" w:after="60"/>
              <w:jc w:val="center"/>
              <w:rPr>
                <w:rFonts w:cs="Arial"/>
              </w:rPr>
            </w:pPr>
            <w:r w:rsidRPr="00E34CC3">
              <w:rPr>
                <w:rFonts w:cs="Arial"/>
              </w:rPr>
              <w:t>&gt;8%</w:t>
            </w:r>
          </w:p>
        </w:tc>
        <w:tc>
          <w:tcPr>
            <w:tcW w:w="2126" w:type="dxa"/>
            <w:shd w:val="clear" w:color="auto" w:fill="auto"/>
          </w:tcPr>
          <w:p w14:paraId="64CE2454" w14:textId="77777777" w:rsidR="00871A83" w:rsidRPr="00E34CC3" w:rsidRDefault="00871A83" w:rsidP="00354BAF">
            <w:pPr>
              <w:spacing w:before="60" w:after="60"/>
              <w:rPr>
                <w:rFonts w:cs="Arial"/>
              </w:rPr>
            </w:pPr>
          </w:p>
        </w:tc>
      </w:tr>
      <w:tr w:rsidR="00871A83" w:rsidRPr="006D4B7C" w14:paraId="3EE8ED93" w14:textId="77777777" w:rsidTr="00D4531C">
        <w:trPr>
          <w:cantSplit/>
        </w:trPr>
        <w:tc>
          <w:tcPr>
            <w:tcW w:w="2269" w:type="dxa"/>
            <w:shd w:val="clear" w:color="auto" w:fill="auto"/>
          </w:tcPr>
          <w:p w14:paraId="71AA8C13" w14:textId="77777777" w:rsidR="00871A83" w:rsidRPr="00E34CC3" w:rsidRDefault="00871A83" w:rsidP="00354BAF">
            <w:pPr>
              <w:spacing w:before="60" w:after="60"/>
              <w:rPr>
                <w:rFonts w:cs="Arial"/>
                <w:b/>
              </w:rPr>
            </w:pPr>
            <w:r w:rsidRPr="00E34CC3">
              <w:rPr>
                <w:rFonts w:cs="Arial"/>
                <w:b/>
              </w:rPr>
              <w:t xml:space="preserve">Soil Depth to Rock or other impermeable layer (m) </w:t>
            </w:r>
            <w:r w:rsidRPr="00E34CC3">
              <w:rPr>
                <w:rFonts w:cs="Arial"/>
                <w:b/>
                <w:vertAlign w:val="superscript"/>
              </w:rPr>
              <w:t>5</w:t>
            </w:r>
          </w:p>
        </w:tc>
        <w:tc>
          <w:tcPr>
            <w:tcW w:w="2976" w:type="dxa"/>
            <w:shd w:val="clear" w:color="auto" w:fill="auto"/>
          </w:tcPr>
          <w:p w14:paraId="36CCA60C" w14:textId="77777777" w:rsidR="00871A83" w:rsidRPr="00E34CC3" w:rsidRDefault="00871A83" w:rsidP="00354BAF">
            <w:pPr>
              <w:spacing w:before="60" w:after="60"/>
              <w:jc w:val="center"/>
              <w:rPr>
                <w:rFonts w:cs="Arial"/>
              </w:rPr>
            </w:pPr>
            <w:r w:rsidRPr="00E34CC3">
              <w:rPr>
                <w:rFonts w:cs="Arial"/>
              </w:rPr>
              <w:t>&gt;1.5 m</w:t>
            </w:r>
          </w:p>
        </w:tc>
        <w:tc>
          <w:tcPr>
            <w:tcW w:w="2977" w:type="dxa"/>
            <w:shd w:val="clear" w:color="auto" w:fill="auto"/>
          </w:tcPr>
          <w:p w14:paraId="640AD879" w14:textId="77777777" w:rsidR="00871A83" w:rsidRPr="00E34CC3" w:rsidRDefault="00871A83" w:rsidP="00354BAF">
            <w:pPr>
              <w:spacing w:before="60" w:after="60"/>
              <w:jc w:val="center"/>
              <w:rPr>
                <w:rFonts w:cs="Arial"/>
              </w:rPr>
            </w:pPr>
            <w:r w:rsidRPr="00E34CC3">
              <w:rPr>
                <w:rFonts w:cs="Arial"/>
              </w:rPr>
              <w:t>1.5 – 1 m</w:t>
            </w:r>
          </w:p>
        </w:tc>
        <w:tc>
          <w:tcPr>
            <w:tcW w:w="2835" w:type="dxa"/>
            <w:shd w:val="clear" w:color="auto" w:fill="auto"/>
          </w:tcPr>
          <w:p w14:paraId="0F1F8A0E" w14:textId="77777777" w:rsidR="00871A83" w:rsidRPr="00E34CC3" w:rsidRDefault="00871A83" w:rsidP="00354BAF">
            <w:pPr>
              <w:spacing w:before="60" w:after="60"/>
              <w:jc w:val="center"/>
              <w:rPr>
                <w:rFonts w:cs="Arial"/>
              </w:rPr>
            </w:pPr>
            <w:r w:rsidRPr="00E34CC3">
              <w:rPr>
                <w:rFonts w:cs="Arial"/>
              </w:rPr>
              <w:t>&lt;1 m</w:t>
            </w:r>
          </w:p>
        </w:tc>
        <w:tc>
          <w:tcPr>
            <w:tcW w:w="2126" w:type="dxa"/>
            <w:shd w:val="clear" w:color="auto" w:fill="auto"/>
          </w:tcPr>
          <w:p w14:paraId="47FFE45F" w14:textId="77777777" w:rsidR="00871A83" w:rsidRPr="00E34CC3" w:rsidRDefault="00871A83" w:rsidP="00354BAF">
            <w:pPr>
              <w:spacing w:before="60" w:after="60"/>
              <w:rPr>
                <w:rFonts w:cs="Arial"/>
              </w:rPr>
            </w:pPr>
          </w:p>
        </w:tc>
      </w:tr>
      <w:tr w:rsidR="00871A83" w:rsidRPr="006D4B7C" w14:paraId="15FF387C" w14:textId="77777777" w:rsidTr="00D4531C">
        <w:trPr>
          <w:cantSplit/>
        </w:trPr>
        <w:tc>
          <w:tcPr>
            <w:tcW w:w="2269" w:type="dxa"/>
            <w:shd w:val="clear" w:color="auto" w:fill="auto"/>
          </w:tcPr>
          <w:p w14:paraId="08EEEACF" w14:textId="77777777" w:rsidR="00871A83" w:rsidRPr="00E34CC3" w:rsidRDefault="00871A83" w:rsidP="00354BAF">
            <w:pPr>
              <w:spacing w:before="60" w:after="60"/>
              <w:rPr>
                <w:rFonts w:cs="Arial"/>
                <w:b/>
              </w:rPr>
            </w:pPr>
            <w:r w:rsidRPr="00E34CC3">
              <w:rPr>
                <w:rFonts w:cs="Arial"/>
                <w:b/>
              </w:rPr>
              <w:t>Soil Structure</w:t>
            </w:r>
          </w:p>
          <w:p w14:paraId="50B2C8D6" w14:textId="77777777" w:rsidR="00871A83" w:rsidRPr="00E34CC3" w:rsidRDefault="00871A83" w:rsidP="00354BAF">
            <w:pPr>
              <w:spacing w:before="60" w:after="60"/>
              <w:rPr>
                <w:rFonts w:cs="Arial"/>
                <w:b/>
              </w:rPr>
            </w:pPr>
            <w:r w:rsidRPr="00E34CC3">
              <w:rPr>
                <w:rFonts w:cs="Arial"/>
                <w:b/>
              </w:rPr>
              <w:t>(pedality)</w:t>
            </w:r>
          </w:p>
        </w:tc>
        <w:tc>
          <w:tcPr>
            <w:tcW w:w="2976" w:type="dxa"/>
            <w:shd w:val="clear" w:color="auto" w:fill="auto"/>
          </w:tcPr>
          <w:p w14:paraId="75CF9813" w14:textId="77777777" w:rsidR="00871A83" w:rsidRPr="00E34CC3" w:rsidRDefault="00871A83" w:rsidP="00354BAF">
            <w:pPr>
              <w:spacing w:before="60" w:after="60"/>
              <w:jc w:val="center"/>
              <w:rPr>
                <w:rFonts w:cs="Arial"/>
              </w:rPr>
            </w:pPr>
            <w:r w:rsidRPr="00E34CC3">
              <w:rPr>
                <w:rFonts w:cs="Arial"/>
              </w:rPr>
              <w:t>Highly or Moderately structured</w:t>
            </w:r>
          </w:p>
        </w:tc>
        <w:tc>
          <w:tcPr>
            <w:tcW w:w="2977" w:type="dxa"/>
            <w:shd w:val="clear" w:color="auto" w:fill="auto"/>
          </w:tcPr>
          <w:p w14:paraId="380A050B" w14:textId="77777777" w:rsidR="00871A83" w:rsidRPr="00E34CC3" w:rsidRDefault="00871A83" w:rsidP="00354BAF">
            <w:pPr>
              <w:spacing w:before="60" w:after="60"/>
              <w:jc w:val="center"/>
              <w:rPr>
                <w:rFonts w:cs="Arial"/>
              </w:rPr>
            </w:pPr>
            <w:r w:rsidRPr="00E34CC3">
              <w:rPr>
                <w:rFonts w:cs="Arial"/>
              </w:rPr>
              <w:t>Weakly-structured</w:t>
            </w:r>
          </w:p>
        </w:tc>
        <w:tc>
          <w:tcPr>
            <w:tcW w:w="2835" w:type="dxa"/>
            <w:shd w:val="clear" w:color="auto" w:fill="auto"/>
          </w:tcPr>
          <w:p w14:paraId="73703F4D" w14:textId="77777777" w:rsidR="00871A83" w:rsidRPr="00E34CC3" w:rsidRDefault="00871A83" w:rsidP="00354BAF">
            <w:pPr>
              <w:spacing w:before="60" w:after="60"/>
              <w:jc w:val="center"/>
              <w:rPr>
                <w:rFonts w:cs="Arial"/>
              </w:rPr>
            </w:pPr>
            <w:r w:rsidRPr="00E34CC3">
              <w:rPr>
                <w:rFonts w:cs="Arial"/>
              </w:rPr>
              <w:t>Structureless, Massive or hardpan</w:t>
            </w:r>
          </w:p>
        </w:tc>
        <w:tc>
          <w:tcPr>
            <w:tcW w:w="2126" w:type="dxa"/>
            <w:shd w:val="clear" w:color="auto" w:fill="auto"/>
          </w:tcPr>
          <w:p w14:paraId="343951AD" w14:textId="77777777" w:rsidR="00871A83" w:rsidRPr="00E34CC3" w:rsidRDefault="00871A83" w:rsidP="00354BAF">
            <w:pPr>
              <w:spacing w:before="60" w:after="60"/>
              <w:rPr>
                <w:rFonts w:cs="Arial"/>
              </w:rPr>
            </w:pPr>
          </w:p>
        </w:tc>
      </w:tr>
      <w:tr w:rsidR="00871A83" w:rsidRPr="006D4B7C" w14:paraId="3B5ECD4B" w14:textId="77777777" w:rsidTr="00D4531C">
        <w:trPr>
          <w:cantSplit/>
        </w:trPr>
        <w:tc>
          <w:tcPr>
            <w:tcW w:w="2269" w:type="dxa"/>
            <w:shd w:val="clear" w:color="auto" w:fill="auto"/>
          </w:tcPr>
          <w:p w14:paraId="7B26B054" w14:textId="77777777" w:rsidR="00871A83" w:rsidRPr="00E34CC3" w:rsidRDefault="00871A83" w:rsidP="00354BAF">
            <w:pPr>
              <w:spacing w:before="60" w:after="60"/>
              <w:rPr>
                <w:rFonts w:cs="Arial"/>
                <w:b/>
              </w:rPr>
            </w:pPr>
            <w:r w:rsidRPr="00E34CC3">
              <w:rPr>
                <w:rFonts w:cs="Arial"/>
                <w:b/>
              </w:rPr>
              <w:t xml:space="preserve">Soil Texture, </w:t>
            </w:r>
            <w:r w:rsidRPr="00E34CC3">
              <w:rPr>
                <w:rFonts w:cs="Arial"/>
                <w:b/>
                <w:vertAlign w:val="superscript"/>
              </w:rPr>
              <w:t>6</w:t>
            </w:r>
          </w:p>
          <w:p w14:paraId="16478B11" w14:textId="77777777" w:rsidR="00871A83" w:rsidRPr="00E34CC3" w:rsidRDefault="00871A83" w:rsidP="00354BAF">
            <w:pPr>
              <w:spacing w:before="60" w:after="60"/>
              <w:rPr>
                <w:rFonts w:cs="Arial"/>
                <w:b/>
              </w:rPr>
            </w:pPr>
            <w:r w:rsidRPr="00E34CC3">
              <w:rPr>
                <w:rFonts w:cs="Arial"/>
                <w:b/>
              </w:rPr>
              <w:t>Indicative Permeability</w:t>
            </w:r>
          </w:p>
        </w:tc>
        <w:tc>
          <w:tcPr>
            <w:tcW w:w="2976" w:type="dxa"/>
            <w:shd w:val="clear" w:color="auto" w:fill="auto"/>
          </w:tcPr>
          <w:p w14:paraId="51AECB17" w14:textId="77777777" w:rsidR="00871A83" w:rsidRPr="00E34CC3" w:rsidRDefault="00871A83" w:rsidP="00354BAF">
            <w:pPr>
              <w:spacing w:before="60" w:after="60"/>
              <w:jc w:val="center"/>
              <w:rPr>
                <w:rFonts w:cs="Arial"/>
              </w:rPr>
            </w:pPr>
            <w:r w:rsidRPr="00E34CC3">
              <w:rPr>
                <w:rFonts w:cs="Arial"/>
              </w:rPr>
              <w:t>Cat. 2b, 3a, 3b, 4a</w:t>
            </w:r>
          </w:p>
        </w:tc>
        <w:tc>
          <w:tcPr>
            <w:tcW w:w="2977" w:type="dxa"/>
            <w:shd w:val="clear" w:color="auto" w:fill="auto"/>
          </w:tcPr>
          <w:p w14:paraId="39B208DF" w14:textId="77777777" w:rsidR="00871A83" w:rsidRPr="00E34CC3" w:rsidRDefault="00871A83" w:rsidP="00354BAF">
            <w:pPr>
              <w:spacing w:before="60" w:after="60"/>
              <w:jc w:val="center"/>
              <w:rPr>
                <w:rFonts w:cs="Arial"/>
              </w:rPr>
            </w:pPr>
            <w:r w:rsidRPr="00E34CC3">
              <w:rPr>
                <w:rFonts w:cs="Arial"/>
              </w:rPr>
              <w:t>Cat. 4b, 4c, 5a</w:t>
            </w:r>
          </w:p>
        </w:tc>
        <w:tc>
          <w:tcPr>
            <w:tcW w:w="2835" w:type="dxa"/>
            <w:shd w:val="clear" w:color="auto" w:fill="auto"/>
          </w:tcPr>
          <w:p w14:paraId="7E0B32D7" w14:textId="77777777" w:rsidR="00871A83" w:rsidRPr="00E34CC3" w:rsidRDefault="00871A83" w:rsidP="00354BAF">
            <w:pPr>
              <w:spacing w:before="60" w:after="60"/>
              <w:jc w:val="center"/>
              <w:rPr>
                <w:rFonts w:cs="Arial"/>
              </w:rPr>
            </w:pPr>
            <w:r w:rsidRPr="00E34CC3">
              <w:rPr>
                <w:rFonts w:cs="Arial"/>
              </w:rPr>
              <w:t>Cat. 1, 2a, 5b, 5c, 6</w:t>
            </w:r>
          </w:p>
        </w:tc>
        <w:tc>
          <w:tcPr>
            <w:tcW w:w="2126" w:type="dxa"/>
            <w:shd w:val="clear" w:color="auto" w:fill="auto"/>
          </w:tcPr>
          <w:p w14:paraId="0EAA6E86" w14:textId="77777777" w:rsidR="00871A83" w:rsidRPr="00E34CC3" w:rsidRDefault="00871A83" w:rsidP="00354BAF">
            <w:pPr>
              <w:spacing w:before="60" w:after="60"/>
              <w:rPr>
                <w:rFonts w:cs="Arial"/>
              </w:rPr>
            </w:pPr>
          </w:p>
        </w:tc>
      </w:tr>
      <w:tr w:rsidR="00871A83" w:rsidRPr="006D4B7C" w14:paraId="3BBBB95A" w14:textId="77777777" w:rsidTr="00D4531C">
        <w:trPr>
          <w:cantSplit/>
        </w:trPr>
        <w:tc>
          <w:tcPr>
            <w:tcW w:w="2269" w:type="dxa"/>
            <w:shd w:val="clear" w:color="auto" w:fill="auto"/>
          </w:tcPr>
          <w:p w14:paraId="3EF67C14" w14:textId="77777777" w:rsidR="00871A83" w:rsidRPr="00E34CC3" w:rsidRDefault="00871A83" w:rsidP="00354BAF">
            <w:pPr>
              <w:spacing w:before="60" w:after="60"/>
              <w:rPr>
                <w:rFonts w:cs="Arial"/>
                <w:b/>
              </w:rPr>
            </w:pPr>
            <w:r w:rsidRPr="00E34CC3">
              <w:rPr>
                <w:rFonts w:cs="Arial"/>
                <w:b/>
              </w:rPr>
              <w:t>Watertable Depth (m) below the base of the LAA</w:t>
            </w:r>
          </w:p>
        </w:tc>
        <w:tc>
          <w:tcPr>
            <w:tcW w:w="2976" w:type="dxa"/>
            <w:shd w:val="clear" w:color="auto" w:fill="auto"/>
          </w:tcPr>
          <w:p w14:paraId="1102F032" w14:textId="77777777" w:rsidR="00871A83" w:rsidRPr="00E34CC3" w:rsidRDefault="00871A83" w:rsidP="00354BAF">
            <w:pPr>
              <w:spacing w:before="60" w:after="60"/>
              <w:jc w:val="center"/>
              <w:rPr>
                <w:rFonts w:cs="Arial"/>
              </w:rPr>
            </w:pPr>
            <w:r w:rsidRPr="00E34CC3">
              <w:rPr>
                <w:rFonts w:cs="Arial"/>
              </w:rPr>
              <w:t xml:space="preserve">&gt;2 m </w:t>
            </w:r>
          </w:p>
        </w:tc>
        <w:tc>
          <w:tcPr>
            <w:tcW w:w="2977" w:type="dxa"/>
            <w:shd w:val="clear" w:color="auto" w:fill="auto"/>
          </w:tcPr>
          <w:p w14:paraId="38C57B57" w14:textId="77777777" w:rsidR="00871A83" w:rsidRPr="00E34CC3" w:rsidRDefault="00871A83" w:rsidP="00354BAF">
            <w:pPr>
              <w:spacing w:before="60" w:after="60"/>
              <w:jc w:val="center"/>
              <w:rPr>
                <w:rFonts w:cs="Arial"/>
              </w:rPr>
            </w:pPr>
            <w:r w:rsidRPr="00E34CC3">
              <w:rPr>
                <w:rFonts w:cs="Arial"/>
              </w:rPr>
              <w:t>2 – 1.5 m</w:t>
            </w:r>
          </w:p>
        </w:tc>
        <w:tc>
          <w:tcPr>
            <w:tcW w:w="2835" w:type="dxa"/>
            <w:shd w:val="clear" w:color="auto" w:fill="auto"/>
          </w:tcPr>
          <w:p w14:paraId="0B1995E5" w14:textId="77777777" w:rsidR="00871A83" w:rsidRPr="00E34CC3" w:rsidRDefault="00871A83" w:rsidP="00354BAF">
            <w:pPr>
              <w:spacing w:before="60" w:after="60"/>
              <w:jc w:val="center"/>
              <w:rPr>
                <w:rFonts w:cs="Arial"/>
              </w:rPr>
            </w:pPr>
            <w:r w:rsidRPr="00E34CC3">
              <w:rPr>
                <w:rFonts w:cs="Arial"/>
              </w:rPr>
              <w:t xml:space="preserve">&lt;1.5 m </w:t>
            </w:r>
          </w:p>
        </w:tc>
        <w:tc>
          <w:tcPr>
            <w:tcW w:w="2126" w:type="dxa"/>
            <w:shd w:val="clear" w:color="auto" w:fill="auto"/>
          </w:tcPr>
          <w:p w14:paraId="6F982B22" w14:textId="77777777" w:rsidR="00871A83" w:rsidRPr="00E34CC3" w:rsidRDefault="00871A83" w:rsidP="00354BAF">
            <w:pPr>
              <w:spacing w:before="60" w:after="60"/>
              <w:rPr>
                <w:rFonts w:cs="Arial"/>
              </w:rPr>
            </w:pPr>
          </w:p>
        </w:tc>
      </w:tr>
    </w:tbl>
    <w:p w14:paraId="7045BF80" w14:textId="77777777" w:rsidR="00A442B0" w:rsidRDefault="00A442B0" w:rsidP="00A442B0">
      <w:pPr>
        <w:spacing w:after="0"/>
      </w:pPr>
    </w:p>
    <w:p w14:paraId="0A109A35" w14:textId="77777777" w:rsidR="00A442B0" w:rsidRPr="00A442B0" w:rsidRDefault="00A442B0" w:rsidP="00A442B0">
      <w:pPr>
        <w:spacing w:after="0"/>
        <w:rPr>
          <w:b/>
        </w:rPr>
      </w:pPr>
      <w:r w:rsidRPr="00A442B0">
        <w:rPr>
          <w:b/>
        </w:rPr>
        <w:t>Legend:</w:t>
      </w:r>
    </w:p>
    <w:p w14:paraId="08D86274" w14:textId="77777777" w:rsidR="00A442B0" w:rsidRPr="00A442B0" w:rsidRDefault="00A442B0" w:rsidP="00A442B0">
      <w:pPr>
        <w:spacing w:after="0"/>
      </w:pPr>
    </w:p>
    <w:p w14:paraId="39F8A185" w14:textId="77777777" w:rsidR="00A442B0" w:rsidRPr="00A442B0" w:rsidRDefault="00A442B0" w:rsidP="00D4531C">
      <w:pPr>
        <w:spacing w:after="0" w:line="240" w:lineRule="auto"/>
      </w:pPr>
      <w:r w:rsidRPr="00A442B0">
        <w:t>Nil or Minor: If all constraints are minor, conventional/standard designs are generally satisfactory.</w:t>
      </w:r>
    </w:p>
    <w:p w14:paraId="125942FC" w14:textId="77777777" w:rsidR="00A442B0" w:rsidRPr="00A442B0" w:rsidRDefault="00A442B0" w:rsidP="00D4531C">
      <w:pPr>
        <w:spacing w:after="0" w:line="240" w:lineRule="auto"/>
      </w:pPr>
      <w:r w:rsidRPr="00A442B0">
        <w:t>Moderate: For each moderate constraint an appropriate design modification over and above that of a standard design, should be outlined.</w:t>
      </w:r>
    </w:p>
    <w:p w14:paraId="45D81B0A" w14:textId="056B84F5" w:rsidR="001E13F5" w:rsidRPr="00A442B0" w:rsidRDefault="00A442B0" w:rsidP="00D4531C">
      <w:pPr>
        <w:spacing w:after="0" w:line="240" w:lineRule="auto"/>
        <w:rPr>
          <w:rFonts w:cs="Arial"/>
          <w:sz w:val="20"/>
          <w:szCs w:val="20"/>
        </w:rPr>
      </w:pPr>
      <w:r w:rsidRPr="00A442B0">
        <w:t>Major: Any major constraint might prove an impediment to successful on-site wastewater management, or alternatively will require in-depth investigation and incorporation of sophisticated mitigation measures in the design to permit compliant onsite wastewater management.</w:t>
      </w:r>
    </w:p>
    <w:p w14:paraId="002A5C30" w14:textId="77777777" w:rsidR="00D4531C" w:rsidRDefault="00D4531C" w:rsidP="001E13F5">
      <w:pPr>
        <w:rPr>
          <w:i/>
        </w:rPr>
      </w:pPr>
    </w:p>
    <w:p w14:paraId="624A4E9C" w14:textId="77777777" w:rsidR="00871A83" w:rsidRPr="00D4531C" w:rsidRDefault="00871A83" w:rsidP="001E13F5">
      <w:pPr>
        <w:rPr>
          <w:b/>
        </w:rPr>
      </w:pPr>
      <w:r w:rsidRPr="00D4531C">
        <w:rPr>
          <w:b/>
        </w:rPr>
        <w:lastRenderedPageBreak/>
        <w:t>Footnotes</w:t>
      </w:r>
    </w:p>
    <w:p w14:paraId="57B6B021" w14:textId="608EFE40" w:rsidR="00871A83" w:rsidRPr="003D07E7" w:rsidRDefault="00871A83" w:rsidP="00C64902">
      <w:pPr>
        <w:pStyle w:val="ListParagraph"/>
        <w:numPr>
          <w:ilvl w:val="0"/>
          <w:numId w:val="9"/>
        </w:numPr>
        <w:rPr>
          <w:rFonts w:cs="Arial"/>
          <w:sz w:val="20"/>
          <w:szCs w:val="20"/>
        </w:rPr>
      </w:pPr>
      <w:r w:rsidRPr="003D07E7">
        <w:rPr>
          <w:rFonts w:cs="Arial"/>
          <w:sz w:val="20"/>
          <w:szCs w:val="20"/>
        </w:rPr>
        <w:t>Refer to Stevens et al. (2008).</w:t>
      </w:r>
    </w:p>
    <w:p w14:paraId="168FCCB0" w14:textId="215C5872" w:rsidR="00871A83" w:rsidRPr="003D07E7" w:rsidRDefault="00871A83" w:rsidP="00C64902">
      <w:pPr>
        <w:pStyle w:val="ListParagraph"/>
        <w:numPr>
          <w:ilvl w:val="0"/>
          <w:numId w:val="9"/>
        </w:numPr>
        <w:rPr>
          <w:rFonts w:cs="Arial"/>
          <w:sz w:val="20"/>
          <w:szCs w:val="20"/>
        </w:rPr>
      </w:pPr>
      <w:r w:rsidRPr="003D07E7">
        <w:rPr>
          <w:rFonts w:cs="Arial"/>
          <w:sz w:val="20"/>
          <w:szCs w:val="20"/>
        </w:rPr>
        <w:t>Greenish grey / black, bluish and grey / black colours are typical of prolonged periods of intermittent or continuous saturation and reducing conditions. Poorly drained soils will undergo long periods during which the soil’s pores are filled with water indicating an inability of the water to leave from the site. Anaerobic conditions slow down the decomposition of organic wastewater contaminants but may increase denitrification of nitrate. Anaerobic soils often have a foul smell from rotting organic matter.</w:t>
      </w:r>
    </w:p>
    <w:p w14:paraId="25AC4897" w14:textId="031CBDBA" w:rsidR="00871A83" w:rsidRPr="003D07E7" w:rsidRDefault="00871A83" w:rsidP="00C64902">
      <w:pPr>
        <w:pStyle w:val="ListParagraph"/>
        <w:numPr>
          <w:ilvl w:val="0"/>
          <w:numId w:val="9"/>
        </w:numPr>
        <w:rPr>
          <w:rFonts w:cs="Arial"/>
          <w:sz w:val="20"/>
          <w:szCs w:val="20"/>
        </w:rPr>
      </w:pPr>
      <w:r w:rsidRPr="003D07E7">
        <w:rPr>
          <w:rFonts w:cs="Arial"/>
          <w:sz w:val="20"/>
          <w:szCs w:val="20"/>
        </w:rPr>
        <w:t>pH &lt;4.5 may lead to aluminium or manganese toxicity; pH&gt;8 may reduce availability of trace elements and phosphate and make gypsum ineffective as an amendment to lower sodicity.</w:t>
      </w:r>
    </w:p>
    <w:p w14:paraId="5D699BBA" w14:textId="5E85E5FD" w:rsidR="00871A83" w:rsidRPr="003D07E7" w:rsidRDefault="00871A83" w:rsidP="00C64902">
      <w:pPr>
        <w:pStyle w:val="ListParagraph"/>
        <w:numPr>
          <w:ilvl w:val="0"/>
          <w:numId w:val="9"/>
        </w:numPr>
        <w:rPr>
          <w:rFonts w:cs="Arial"/>
          <w:sz w:val="20"/>
          <w:szCs w:val="20"/>
        </w:rPr>
      </w:pPr>
      <w:r w:rsidRPr="003D07E7">
        <w:rPr>
          <w:rFonts w:cs="Arial"/>
          <w:sz w:val="20"/>
          <w:szCs w:val="20"/>
        </w:rPr>
        <w:t>A value of ESP = 6% is taken as the threshold between a sodic and non-sodic soil but it depends on the type of clay mineral in the soil. Soils with elevated ESP are often very dispersive and have low permeability.</w:t>
      </w:r>
    </w:p>
    <w:p w14:paraId="3788045D" w14:textId="62649767" w:rsidR="00871A83" w:rsidRPr="003D07E7" w:rsidRDefault="00871A83" w:rsidP="00C64902">
      <w:pPr>
        <w:pStyle w:val="ListParagraph"/>
        <w:numPr>
          <w:ilvl w:val="0"/>
          <w:numId w:val="9"/>
        </w:numPr>
        <w:rPr>
          <w:rFonts w:cs="Arial"/>
          <w:sz w:val="20"/>
          <w:szCs w:val="20"/>
        </w:rPr>
      </w:pPr>
      <w:r w:rsidRPr="003D07E7">
        <w:rPr>
          <w:rFonts w:cs="Arial"/>
          <w:sz w:val="20"/>
          <w:szCs w:val="20"/>
        </w:rPr>
        <w:t xml:space="preserve">Shallow soil depth or a high seasonal water table may result in inadequate depth of aerobic soil to adequately treat and dissipate the wastewater. </w:t>
      </w:r>
    </w:p>
    <w:p w14:paraId="781C3CCC" w14:textId="687522AA" w:rsidR="00871A83" w:rsidRPr="003D07E7" w:rsidRDefault="00871A83" w:rsidP="00C64902">
      <w:pPr>
        <w:pStyle w:val="ListParagraph"/>
        <w:numPr>
          <w:ilvl w:val="0"/>
          <w:numId w:val="9"/>
        </w:numPr>
        <w:rPr>
          <w:rFonts w:cs="Arial"/>
          <w:sz w:val="20"/>
          <w:szCs w:val="20"/>
        </w:rPr>
      </w:pPr>
      <w:r w:rsidRPr="003D07E7">
        <w:rPr>
          <w:rFonts w:cs="Arial"/>
          <w:sz w:val="20"/>
          <w:szCs w:val="20"/>
        </w:rPr>
        <w:t>Refer to Soil Classification in the latest version of AS/NZS1547 and the Design Loading Rates and Design Irrigation Rates in Table 9 of the EPA Code of Practice. Indicative permeability ranges have been allotted to each texture and structure combination, but these may be need to be varied due to other soil factors such as sodicity and dispersibility. Soil permeability can be measured directly using the constant head permeability method outlined in AS/NZS 1547: 2012.</w:t>
      </w:r>
    </w:p>
    <w:p w14:paraId="5396AF6B" w14:textId="77777777" w:rsidR="00A442B0" w:rsidRDefault="00A442B0" w:rsidP="003D07E7">
      <w:pPr>
        <w:rPr>
          <w:b/>
        </w:rPr>
        <w:sectPr w:rsidR="00A442B0" w:rsidSect="00A442B0">
          <w:pgSz w:w="15840" w:h="12240" w:orient="landscape"/>
          <w:pgMar w:top="1440" w:right="1440" w:bottom="1440" w:left="1440" w:header="708" w:footer="708" w:gutter="0"/>
          <w:cols w:space="708"/>
          <w:docGrid w:linePitch="360"/>
        </w:sectPr>
      </w:pPr>
    </w:p>
    <w:p w14:paraId="6E555638" w14:textId="02851262" w:rsidR="00871A83" w:rsidRPr="00456BD1" w:rsidRDefault="00456BD1" w:rsidP="00456BD1">
      <w:pPr>
        <w:rPr>
          <w:u w:val="single"/>
        </w:rPr>
      </w:pPr>
      <w:bookmarkStart w:id="139" w:name="_Toc378688089"/>
      <w:r>
        <w:rPr>
          <w:u w:val="single"/>
        </w:rPr>
        <w:lastRenderedPageBreak/>
        <w:t xml:space="preserve">4.5.4 </w:t>
      </w:r>
      <w:r w:rsidR="00871A83" w:rsidRPr="00456BD1">
        <w:rPr>
          <w:u w:val="single"/>
        </w:rPr>
        <w:t>Reporting</w:t>
      </w:r>
      <w:bookmarkEnd w:id="139"/>
    </w:p>
    <w:p w14:paraId="5AD982C6" w14:textId="77777777" w:rsidR="00871A83" w:rsidRPr="006D4B7C" w:rsidRDefault="00871A83" w:rsidP="003D07E7">
      <w:r w:rsidRPr="006D4B7C">
        <w:t>Tabular reporting is generally the most clear and concise way of presenting the information. The LCA report should include the following:</w:t>
      </w:r>
    </w:p>
    <w:p w14:paraId="657ADD70" w14:textId="77777777" w:rsidR="00871A83" w:rsidRPr="008D40D7" w:rsidRDefault="00871A83" w:rsidP="008D40D7">
      <w:pPr>
        <w:pStyle w:val="ListParagraph"/>
        <w:numPr>
          <w:ilvl w:val="0"/>
          <w:numId w:val="29"/>
        </w:numPr>
        <w:rPr>
          <w:rFonts w:cs="Arial"/>
          <w:szCs w:val="20"/>
        </w:rPr>
      </w:pPr>
      <w:r w:rsidRPr="008D40D7">
        <w:rPr>
          <w:rFonts w:cs="Arial"/>
          <w:szCs w:val="20"/>
        </w:rPr>
        <w:t>The assessment matrix used (such as the example given above).</w:t>
      </w:r>
    </w:p>
    <w:p w14:paraId="358E0707" w14:textId="77777777" w:rsidR="00871A83" w:rsidRPr="008D40D7" w:rsidRDefault="00871A83" w:rsidP="008D40D7">
      <w:pPr>
        <w:pStyle w:val="ListParagraph"/>
        <w:numPr>
          <w:ilvl w:val="0"/>
          <w:numId w:val="29"/>
        </w:numPr>
        <w:rPr>
          <w:rFonts w:cs="Arial"/>
          <w:szCs w:val="20"/>
        </w:rPr>
      </w:pPr>
      <w:r w:rsidRPr="008D40D7">
        <w:rPr>
          <w:rFonts w:cs="Arial"/>
          <w:szCs w:val="20"/>
        </w:rPr>
        <w:t>A plain-language statement drawing a conclusion from the LCA results.</w:t>
      </w:r>
    </w:p>
    <w:p w14:paraId="24B05C41" w14:textId="77777777" w:rsidR="00871A83" w:rsidRPr="008D40D7" w:rsidRDefault="00871A83" w:rsidP="008D40D7">
      <w:pPr>
        <w:pStyle w:val="ListParagraph"/>
        <w:numPr>
          <w:ilvl w:val="0"/>
          <w:numId w:val="29"/>
        </w:numPr>
        <w:rPr>
          <w:rFonts w:cs="Arial"/>
          <w:szCs w:val="20"/>
        </w:rPr>
      </w:pPr>
      <w:r w:rsidRPr="008D40D7">
        <w:rPr>
          <w:rFonts w:cs="Arial"/>
          <w:szCs w:val="20"/>
        </w:rPr>
        <w:t xml:space="preserve">A clear explanation as to how the parameters that present moderate or major levels of constraint are adequately addressed in the design. It must be explained how the proposed design, adequately mitigates the constraint(s) and that the design can reasonably be expected to perform to meet appropriate public health, environmental and amenity requirements. </w:t>
      </w:r>
    </w:p>
    <w:p w14:paraId="1CCFF2BF" w14:textId="77777777" w:rsidR="00871A83" w:rsidRPr="008D40D7" w:rsidRDefault="00871A83" w:rsidP="008D40D7">
      <w:pPr>
        <w:pStyle w:val="ListParagraph"/>
        <w:numPr>
          <w:ilvl w:val="0"/>
          <w:numId w:val="29"/>
        </w:numPr>
        <w:rPr>
          <w:rFonts w:cs="Arial"/>
          <w:szCs w:val="20"/>
        </w:rPr>
      </w:pPr>
      <w:r w:rsidRPr="008D40D7">
        <w:rPr>
          <w:rFonts w:cs="Arial"/>
          <w:szCs w:val="20"/>
        </w:rPr>
        <w:t xml:space="preserve">Detailed information, such as bore logs of the test pits and/or auger holes and soil testing results, should be included as appendices to the report. </w:t>
      </w:r>
    </w:p>
    <w:p w14:paraId="4FE9A955" w14:textId="06A18E46" w:rsidR="00871A83" w:rsidRPr="006D4B7C" w:rsidRDefault="00871A83" w:rsidP="008D40D7">
      <w:r w:rsidRPr="006D4B7C">
        <w:t>The report should consider the level of ongoing site management and maintenance required to maintain effective operation of the system. This should include a requirement to regularly check items such as cut-off drains, depth of scum and sludge in the primary tanks and removal of excess vegetation from the LAA. Appendix 3 provides an example of a model LCA report.</w:t>
      </w:r>
    </w:p>
    <w:p w14:paraId="19EF311E" w14:textId="06630965" w:rsidR="00871A83" w:rsidRPr="003D07E7" w:rsidRDefault="00456BD1" w:rsidP="008D40D7">
      <w:pPr>
        <w:pStyle w:val="Heading2"/>
        <w:ind w:left="0"/>
      </w:pPr>
      <w:bookmarkStart w:id="140" w:name="_Toc377562415"/>
      <w:bookmarkStart w:id="141" w:name="_Toc378688090"/>
      <w:r>
        <w:t xml:space="preserve">4.6 </w:t>
      </w:r>
      <w:r w:rsidR="00871A83" w:rsidRPr="003D07E7">
        <w:t>Design the Onsite Wastewater Management System</w:t>
      </w:r>
      <w:bookmarkEnd w:id="140"/>
      <w:bookmarkEnd w:id="141"/>
    </w:p>
    <w:p w14:paraId="083C0F43" w14:textId="77777777" w:rsidR="00871A83" w:rsidRPr="006D4B7C" w:rsidRDefault="00871A83" w:rsidP="008D40D7">
      <w:r w:rsidRPr="006D4B7C">
        <w:t>Following the determination of the land capability of the site (or proposed LAA(s) for large or variable sites), recommendations should be made as to the type of wastewater management systems that best suit the features and capability of the site. The proposed design and management program of the recommended onsite wastewater system must address the most limiting site and soil features identiﬁed in the assessment and the risks associated with these limiting factors. It will also need to maximise the beneﬁts of the best location and soil features of the LAA, as a basis for system sizing. Taking into account the most limiting site features also allows the management program to incorporate improvement measures, such as run-on diversion structures, use of gypsum on sodic soils to counter dispersion, and so on.</w:t>
      </w:r>
    </w:p>
    <w:p w14:paraId="03223C22" w14:textId="461EF95E" w:rsidR="00871A83" w:rsidRPr="003D07E7" w:rsidRDefault="00456BD1" w:rsidP="008D40D7">
      <w:pPr>
        <w:rPr>
          <w:u w:val="single"/>
        </w:rPr>
      </w:pPr>
      <w:r>
        <w:rPr>
          <w:u w:val="single"/>
        </w:rPr>
        <w:t xml:space="preserve">4.6.1 </w:t>
      </w:r>
      <w:r w:rsidR="00871A83" w:rsidRPr="003D07E7">
        <w:rPr>
          <w:u w:val="single"/>
        </w:rPr>
        <w:t>Method</w:t>
      </w:r>
    </w:p>
    <w:p w14:paraId="5369A012" w14:textId="77777777" w:rsidR="00871A83" w:rsidRPr="006D4B7C" w:rsidRDefault="00871A83" w:rsidP="008D40D7">
      <w:r w:rsidRPr="006D4B7C">
        <w:t>When checking the suitability of the proposed system, it is a good idea to start from the site and soil constraints and work ‘backwards’ through the treatment train i.e. check that:</w:t>
      </w:r>
    </w:p>
    <w:p w14:paraId="162EA378" w14:textId="77777777" w:rsidR="00871A83" w:rsidRPr="003D07E7" w:rsidRDefault="00871A83" w:rsidP="00C64902">
      <w:pPr>
        <w:pStyle w:val="ListParagraph"/>
        <w:numPr>
          <w:ilvl w:val="0"/>
          <w:numId w:val="10"/>
        </w:numPr>
      </w:pPr>
      <w:r w:rsidRPr="003D07E7">
        <w:t>The nominated land application system is suited to the site and soil features;</w:t>
      </w:r>
    </w:p>
    <w:p w14:paraId="1641DD4E" w14:textId="77777777" w:rsidR="00871A83" w:rsidRPr="003D07E7" w:rsidRDefault="00871A83" w:rsidP="00C64902">
      <w:pPr>
        <w:pStyle w:val="ListParagraph"/>
        <w:numPr>
          <w:ilvl w:val="0"/>
          <w:numId w:val="10"/>
        </w:numPr>
      </w:pPr>
      <w:r w:rsidRPr="003D07E7">
        <w:t>The hydraulic and contaminant loads can be adequately assimilated based on the site sensitivity and land application area design; and</w:t>
      </w:r>
    </w:p>
    <w:p w14:paraId="77D3C157" w14:textId="77777777" w:rsidR="00871A83" w:rsidRPr="003D07E7" w:rsidRDefault="00871A83" w:rsidP="00C64902">
      <w:pPr>
        <w:pStyle w:val="ListParagraph"/>
        <w:numPr>
          <w:ilvl w:val="0"/>
          <w:numId w:val="10"/>
        </w:numPr>
      </w:pPr>
      <w:r w:rsidRPr="003D07E7">
        <w:t>The proposed treatment and effluent management systems can achieve the efﬂuent quality and the performance objectives for the site.</w:t>
      </w:r>
    </w:p>
    <w:p w14:paraId="436FF339" w14:textId="078012F1" w:rsidR="00871A83" w:rsidRPr="006D4B7C" w:rsidRDefault="00871A83" w:rsidP="008D40D7">
      <w:r w:rsidRPr="006D4B7C">
        <w:t>It is important to assess every LCA individually so that the type of treatment and land application systems match the capability of the site and provide for the highest level of public health and environmental prot</w:t>
      </w:r>
      <w:r w:rsidR="001E13F5">
        <w:t>ection possible.</w:t>
      </w:r>
    </w:p>
    <w:p w14:paraId="38D2979E" w14:textId="77777777" w:rsidR="00871A83" w:rsidRPr="006D4B7C" w:rsidRDefault="00871A83" w:rsidP="008D40D7">
      <w:r w:rsidRPr="006D4B7C">
        <w:lastRenderedPageBreak/>
        <w:t>When determining the most appropriate systems for wastewater treatment and effluent dispersal or reuse, the consultant must consider the following issues in consultation with the property owners:</w:t>
      </w:r>
    </w:p>
    <w:p w14:paraId="020F4DF0" w14:textId="77777777" w:rsidR="00871A83" w:rsidRPr="003D07E7" w:rsidRDefault="00871A83" w:rsidP="00C64902">
      <w:pPr>
        <w:pStyle w:val="ListParagraph"/>
        <w:numPr>
          <w:ilvl w:val="0"/>
          <w:numId w:val="11"/>
        </w:numPr>
      </w:pPr>
      <w:r w:rsidRPr="003D07E7">
        <w:t>The sustainability of the proposed system;</w:t>
      </w:r>
    </w:p>
    <w:p w14:paraId="202D92E2" w14:textId="77777777" w:rsidR="00871A83" w:rsidRPr="003D07E7" w:rsidRDefault="00871A83" w:rsidP="00C64902">
      <w:pPr>
        <w:pStyle w:val="ListParagraph"/>
        <w:numPr>
          <w:ilvl w:val="0"/>
          <w:numId w:val="11"/>
        </w:numPr>
      </w:pPr>
      <w:r w:rsidRPr="003D07E7">
        <w:t>The expectations of the owners of the development;</w:t>
      </w:r>
    </w:p>
    <w:p w14:paraId="0F689F67" w14:textId="77777777" w:rsidR="00871A83" w:rsidRPr="003D07E7" w:rsidRDefault="00871A83" w:rsidP="00C64902">
      <w:pPr>
        <w:pStyle w:val="ListParagraph"/>
        <w:numPr>
          <w:ilvl w:val="0"/>
          <w:numId w:val="11"/>
        </w:numPr>
      </w:pPr>
      <w:r w:rsidRPr="003D07E7">
        <w:t>Current property owners’ ability to adequately manage the system;</w:t>
      </w:r>
    </w:p>
    <w:p w14:paraId="3BB7FED8" w14:textId="77777777" w:rsidR="00871A83" w:rsidRPr="003D07E7" w:rsidRDefault="00871A83" w:rsidP="00C64902">
      <w:pPr>
        <w:pStyle w:val="ListParagraph"/>
        <w:numPr>
          <w:ilvl w:val="0"/>
          <w:numId w:val="11"/>
        </w:numPr>
      </w:pPr>
      <w:r w:rsidRPr="003D07E7">
        <w:t>Site suitability, including environmental sensitivity;</w:t>
      </w:r>
    </w:p>
    <w:p w14:paraId="1CB888CD" w14:textId="77777777" w:rsidR="00871A83" w:rsidRPr="003D07E7" w:rsidRDefault="00871A83" w:rsidP="00C64902">
      <w:pPr>
        <w:pStyle w:val="ListParagraph"/>
        <w:numPr>
          <w:ilvl w:val="0"/>
          <w:numId w:val="11"/>
        </w:numPr>
      </w:pPr>
      <w:r w:rsidRPr="003D07E7">
        <w:t>The availability of service agents in the area;</w:t>
      </w:r>
    </w:p>
    <w:p w14:paraId="6E64DC43" w14:textId="77777777" w:rsidR="00871A83" w:rsidRPr="003D07E7" w:rsidRDefault="00871A83" w:rsidP="00C64902">
      <w:pPr>
        <w:pStyle w:val="ListParagraph"/>
        <w:numPr>
          <w:ilvl w:val="0"/>
          <w:numId w:val="11"/>
        </w:numPr>
      </w:pPr>
      <w:r w:rsidRPr="003D07E7">
        <w:t>System costs (both capital and on-going);</w:t>
      </w:r>
    </w:p>
    <w:p w14:paraId="2E62F498" w14:textId="77777777" w:rsidR="00871A83" w:rsidRPr="003D07E7" w:rsidRDefault="00871A83" w:rsidP="00C64902">
      <w:pPr>
        <w:pStyle w:val="ListParagraph"/>
        <w:numPr>
          <w:ilvl w:val="0"/>
          <w:numId w:val="11"/>
        </w:numPr>
      </w:pPr>
      <w:r w:rsidRPr="003D07E7">
        <w:t>The need for the proposed system to be replaced or refurbished at some later date;</w:t>
      </w:r>
    </w:p>
    <w:p w14:paraId="254E479B" w14:textId="77777777" w:rsidR="00871A83" w:rsidRPr="003D07E7" w:rsidRDefault="00871A83" w:rsidP="00C64902">
      <w:pPr>
        <w:pStyle w:val="ListParagraph"/>
        <w:numPr>
          <w:ilvl w:val="0"/>
          <w:numId w:val="11"/>
        </w:numPr>
      </w:pPr>
      <w:r w:rsidRPr="003D07E7">
        <w:t>The development of contingency plans in the event of system failure; and</w:t>
      </w:r>
    </w:p>
    <w:p w14:paraId="471DDDB9" w14:textId="77777777" w:rsidR="00871A83" w:rsidRDefault="00871A83" w:rsidP="00C64902">
      <w:pPr>
        <w:pStyle w:val="ListParagraph"/>
        <w:numPr>
          <w:ilvl w:val="0"/>
          <w:numId w:val="11"/>
        </w:numPr>
      </w:pPr>
      <w:r w:rsidRPr="003D07E7">
        <w:t>The impact of the system on the amenity of the area.</w:t>
      </w:r>
    </w:p>
    <w:p w14:paraId="5FCFE8EF" w14:textId="5AF1DCF9" w:rsidR="00871A83" w:rsidRPr="00456BD1" w:rsidRDefault="00456BD1" w:rsidP="00456BD1">
      <w:pPr>
        <w:rPr>
          <w:u w:val="single"/>
        </w:rPr>
      </w:pPr>
      <w:bookmarkStart w:id="142" w:name="_Toc378688091"/>
      <w:r>
        <w:rPr>
          <w:u w:val="single"/>
        </w:rPr>
        <w:t xml:space="preserve">4.6.2 </w:t>
      </w:r>
      <w:r w:rsidR="00871A83" w:rsidRPr="00456BD1">
        <w:rPr>
          <w:u w:val="single"/>
        </w:rPr>
        <w:t>Wastewater Generation</w:t>
      </w:r>
      <w:bookmarkEnd w:id="142"/>
      <w:r w:rsidR="00871A83" w:rsidRPr="00456BD1">
        <w:rPr>
          <w:u w:val="single"/>
        </w:rPr>
        <w:t xml:space="preserve"> </w:t>
      </w:r>
    </w:p>
    <w:p w14:paraId="05C0537E" w14:textId="2D7F5C90" w:rsidR="00871A83" w:rsidRPr="006D4B7C" w:rsidRDefault="00871A83" w:rsidP="008D40D7">
      <w:r w:rsidRPr="006D4B7C">
        <w:t>The daily wastewater flows and BOD loads must be calculated or estimated for all development types. In accordance with the Code (2013), BOD and organic material must be used as key design factors for all non-domestic developments. The organic load treatment capability must be used as the main factor in selecting the treatment system for all food catering premises (such as cafes, restaurants, function centres)</w:t>
      </w:r>
      <w:r w:rsidR="00E34CC3">
        <w:t xml:space="preserve"> and food processing factories.</w:t>
      </w:r>
    </w:p>
    <w:p w14:paraId="16207BF7" w14:textId="605633E1" w:rsidR="00871A83" w:rsidRPr="006D4B7C" w:rsidRDefault="00871A83" w:rsidP="008D40D7">
      <w:r w:rsidRPr="006D4B7C">
        <w:t>In the absence of site-specific data (such as for a commercial system with metered flows and known pollutant outputs), the hydraulic and BOD loads of the wastewater must be determined using the minimum daily wastewater flow rates and organic loading rates provided in Table 4 of the EPA Code of Practice (2013) (not AS/NZS1547:2012). The Code (2013) does not make any differentiation between developments supplied with reticulated water or onsite sources (water tank or bore), as it assumes that ultimately reticulated supply will be provided, or additional water (such as by tanker supply) will be available. However, the Code (2013) allows Council to accept the reduced rates in AS/NZS1547:2012 where it is satisfied that a property not connected to reticulated supply will not have acce</w:t>
      </w:r>
      <w:r w:rsidR="001E13F5">
        <w:t>ss to additional water sources.</w:t>
      </w:r>
    </w:p>
    <w:p w14:paraId="7E165FFB" w14:textId="3DC83F4F" w:rsidR="00871A83" w:rsidRPr="006D4B7C" w:rsidRDefault="00871A83" w:rsidP="008D40D7">
      <w:r w:rsidRPr="006D4B7C">
        <w:t>In addition, no allowances are made for water-reduction fixtures and appliances, unless Council is satisfied that these features have been installed at the time of commissioning the wastewater treatment system, and are unlikely to be replaced by higher-usage fixtures and fittings. Note that higher water efficiency does not reduce the BOD load of the untreated wastewater stream; BOD concentration is increased while the hydraulic load may be reduced a little</w:t>
      </w:r>
      <w:r w:rsidR="001E13F5">
        <w:t>.</w:t>
      </w:r>
    </w:p>
    <w:p w14:paraId="64078D24" w14:textId="79124E7D" w:rsidR="00871A83" w:rsidRPr="006D4B7C" w:rsidRDefault="00871A83" w:rsidP="008D40D7">
      <w:r w:rsidRPr="006D4B7C">
        <w:t>For domestic developments, the design occupancy rate is the number of bedrooms (including rooms that c</w:t>
      </w:r>
      <w:r w:rsidR="001E13F5">
        <w:t>ould be used as such) plus one.</w:t>
      </w:r>
    </w:p>
    <w:p w14:paraId="10BE9212" w14:textId="77777777" w:rsidR="00871A83" w:rsidRPr="006D4B7C" w:rsidRDefault="00871A83" w:rsidP="008D40D7">
      <w:r w:rsidRPr="006D4B7C">
        <w:t xml:space="preserve">The nutrient (nitrogen) load need only be determined if the site is located in a sensitive environment, where the soils and vegetation are suspected or observed to be limiting for nutrient assimilation, or if the development is likely to produce effluent that has higher nutrient concentrations than typical domestic developments. LCA assessors should consult with Council and other regulatory authorities to establish whether this is required. Some Certificates of </w:t>
      </w:r>
      <w:r w:rsidRPr="006D4B7C">
        <w:lastRenderedPageBreak/>
        <w:t xml:space="preserve">Approval (CA) include expected nutrient concentrations in treated effluent (following testing). In this absence of such data, other sources (such as the </w:t>
      </w:r>
      <w:r w:rsidRPr="006D4B7C">
        <w:rPr>
          <w:i/>
        </w:rPr>
        <w:t xml:space="preserve">Australian Guidelines for Water Recycling: Managing Health and Environmental Risks </w:t>
      </w:r>
      <w:r w:rsidRPr="006D4B7C">
        <w:t>2006) should be used to estimate nutrient concentrations of effluent.</w:t>
      </w:r>
    </w:p>
    <w:p w14:paraId="4E5A09AB" w14:textId="4C4FCFB6" w:rsidR="001E13F5" w:rsidRPr="00456BD1" w:rsidRDefault="00456BD1" w:rsidP="00456BD1">
      <w:pPr>
        <w:rPr>
          <w:u w:val="single"/>
        </w:rPr>
      </w:pPr>
      <w:bookmarkStart w:id="143" w:name="_Toc378688092"/>
      <w:r>
        <w:rPr>
          <w:u w:val="single"/>
        </w:rPr>
        <w:t xml:space="preserve">4.6.3 </w:t>
      </w:r>
      <w:r w:rsidR="00871A83" w:rsidRPr="00456BD1">
        <w:rPr>
          <w:u w:val="single"/>
        </w:rPr>
        <w:t>Wastewater Treatment System</w:t>
      </w:r>
      <w:bookmarkEnd w:id="143"/>
    </w:p>
    <w:p w14:paraId="7F3C8F39" w14:textId="77777777" w:rsidR="00871A83" w:rsidRPr="006D4B7C" w:rsidRDefault="00871A83" w:rsidP="008D40D7">
      <w:r w:rsidRPr="006D4B7C">
        <w:t>Table 2 of the Code (2013) specifies the approved types of wastewater and greywater treatment systems and effluent reuse and disposal systems for both sewered and unsewered areas. Any wastewater treatment system proposed for installation in Victoria must have a current CA issued by EPA and displayed on the EPA website. There is a broad range of treatment systems* with current CAs including:</w:t>
      </w:r>
    </w:p>
    <w:p w14:paraId="514F81F4" w14:textId="77777777" w:rsidR="00871A83" w:rsidRPr="006D4B7C" w:rsidRDefault="00871A83" w:rsidP="008D40D7">
      <w:pPr>
        <w:pStyle w:val="ListParagraph"/>
        <w:numPr>
          <w:ilvl w:val="0"/>
          <w:numId w:val="13"/>
        </w:numPr>
        <w:ind w:left="360"/>
      </w:pPr>
      <w:r w:rsidRPr="006D4B7C">
        <w:t>Wet or dry composting toilets (greywater treatment system also required);</w:t>
      </w:r>
    </w:p>
    <w:p w14:paraId="72395E68" w14:textId="77777777" w:rsidR="00871A83" w:rsidRPr="006D4B7C" w:rsidRDefault="00871A83" w:rsidP="008D40D7">
      <w:pPr>
        <w:pStyle w:val="ListParagraph"/>
        <w:numPr>
          <w:ilvl w:val="0"/>
          <w:numId w:val="13"/>
        </w:numPr>
        <w:ind w:left="360"/>
      </w:pPr>
      <w:r w:rsidRPr="006D4B7C">
        <w:t>Septic tanks;</w:t>
      </w:r>
    </w:p>
    <w:p w14:paraId="1DE7A3C9" w14:textId="77777777" w:rsidR="00871A83" w:rsidRPr="006D4B7C" w:rsidRDefault="00871A83" w:rsidP="008D40D7">
      <w:pPr>
        <w:pStyle w:val="ListParagraph"/>
        <w:numPr>
          <w:ilvl w:val="0"/>
          <w:numId w:val="13"/>
        </w:numPr>
        <w:ind w:left="360"/>
      </w:pPr>
      <w:r w:rsidRPr="006D4B7C">
        <w:t>Aerobic biological filters (wet composting, vermiculture);</w:t>
      </w:r>
    </w:p>
    <w:p w14:paraId="5A830DFD" w14:textId="77777777" w:rsidR="00871A83" w:rsidRPr="006D4B7C" w:rsidRDefault="00871A83" w:rsidP="008D40D7">
      <w:pPr>
        <w:pStyle w:val="ListParagraph"/>
        <w:numPr>
          <w:ilvl w:val="0"/>
          <w:numId w:val="13"/>
        </w:numPr>
        <w:ind w:left="360"/>
      </w:pPr>
      <w:r w:rsidRPr="006D4B7C">
        <w:t>Aerated wastewater treatment systems (AWTS);</w:t>
      </w:r>
    </w:p>
    <w:p w14:paraId="70BC970C" w14:textId="77777777" w:rsidR="00871A83" w:rsidRPr="006D4B7C" w:rsidRDefault="00871A83" w:rsidP="008D40D7">
      <w:pPr>
        <w:pStyle w:val="ListParagraph"/>
        <w:numPr>
          <w:ilvl w:val="0"/>
          <w:numId w:val="13"/>
        </w:numPr>
        <w:ind w:left="360"/>
      </w:pPr>
      <w:r w:rsidRPr="006D4B7C">
        <w:t>Ozonation;</w:t>
      </w:r>
    </w:p>
    <w:p w14:paraId="0DFB9608" w14:textId="77777777" w:rsidR="00871A83" w:rsidRPr="006D4B7C" w:rsidRDefault="00871A83" w:rsidP="008D40D7">
      <w:pPr>
        <w:pStyle w:val="ListParagraph"/>
        <w:numPr>
          <w:ilvl w:val="0"/>
          <w:numId w:val="13"/>
        </w:numPr>
        <w:ind w:left="360"/>
      </w:pPr>
      <w:r w:rsidRPr="006D4B7C">
        <w:t>Textile filters;</w:t>
      </w:r>
    </w:p>
    <w:p w14:paraId="07B76F53" w14:textId="77777777" w:rsidR="00871A83" w:rsidRPr="006D4B7C" w:rsidRDefault="00871A83" w:rsidP="008D40D7">
      <w:pPr>
        <w:pStyle w:val="ListParagraph"/>
        <w:numPr>
          <w:ilvl w:val="0"/>
          <w:numId w:val="13"/>
        </w:numPr>
        <w:ind w:left="360"/>
      </w:pPr>
      <w:r w:rsidRPr="006D4B7C">
        <w:t>Sand filters;</w:t>
      </w:r>
    </w:p>
    <w:p w14:paraId="23368265" w14:textId="77777777" w:rsidR="00871A83" w:rsidRPr="006D4B7C" w:rsidRDefault="00871A83" w:rsidP="008D40D7">
      <w:pPr>
        <w:pStyle w:val="ListParagraph"/>
        <w:numPr>
          <w:ilvl w:val="0"/>
          <w:numId w:val="13"/>
        </w:numPr>
        <w:ind w:left="360"/>
      </w:pPr>
      <w:r w:rsidRPr="006D4B7C">
        <w:t>Trickling aerobic filters (using foam, plastic or similar media);</w:t>
      </w:r>
    </w:p>
    <w:p w14:paraId="7D351BDA" w14:textId="77777777" w:rsidR="00871A83" w:rsidRPr="006D4B7C" w:rsidRDefault="00871A83" w:rsidP="008D40D7">
      <w:pPr>
        <w:pStyle w:val="ListParagraph"/>
        <w:numPr>
          <w:ilvl w:val="0"/>
          <w:numId w:val="13"/>
        </w:numPr>
        <w:ind w:left="360"/>
      </w:pPr>
      <w:r w:rsidRPr="006D4B7C">
        <w:t>Membrane filtration;</w:t>
      </w:r>
    </w:p>
    <w:p w14:paraId="797A7F1D" w14:textId="77777777" w:rsidR="00871A83" w:rsidRPr="006D4B7C" w:rsidRDefault="00871A83" w:rsidP="008D40D7">
      <w:pPr>
        <w:pStyle w:val="ListParagraph"/>
        <w:numPr>
          <w:ilvl w:val="0"/>
          <w:numId w:val="13"/>
        </w:numPr>
        <w:ind w:left="360"/>
      </w:pPr>
      <w:r w:rsidRPr="006D4B7C">
        <w:t>Reed beds; and</w:t>
      </w:r>
    </w:p>
    <w:p w14:paraId="6B6B8494" w14:textId="77777777" w:rsidR="00871A83" w:rsidRPr="006D4B7C" w:rsidRDefault="00871A83" w:rsidP="008D40D7">
      <w:pPr>
        <w:pStyle w:val="ListParagraph"/>
        <w:numPr>
          <w:ilvl w:val="0"/>
          <w:numId w:val="13"/>
        </w:numPr>
        <w:ind w:left="360"/>
      </w:pPr>
      <w:r w:rsidRPr="006D4B7C">
        <w:t>Sand mounds (following primary or secondary treatment).</w:t>
      </w:r>
    </w:p>
    <w:p w14:paraId="5F0DEC50" w14:textId="7B2003D4" w:rsidR="00871A83" w:rsidRPr="00E34CC3" w:rsidRDefault="00871A83" w:rsidP="008D40D7">
      <w:r w:rsidRPr="00E34CC3">
        <w:rPr>
          <w:b/>
        </w:rPr>
        <w:t>*</w:t>
      </w:r>
      <w:r w:rsidRPr="00E34CC3">
        <w:t xml:space="preserve">from Table 2 of </w:t>
      </w:r>
      <w:r w:rsidR="00E34CC3" w:rsidRPr="00E34CC3">
        <w:t>the EPA Code of Practice (2013)</w:t>
      </w:r>
    </w:p>
    <w:p w14:paraId="1FB35EA3" w14:textId="2C884FBA" w:rsidR="00871A83" w:rsidRPr="006D4B7C" w:rsidRDefault="00871A83" w:rsidP="008D40D7">
      <w:r w:rsidRPr="006D4B7C">
        <w:t>Further information (including detailed specifications) and references about wastewater treatment systems can be found on the EPA website and in the Code (2013). Note that the Code differentiates between systems that are permitted for use on sewered and unsewered sites. LCA assessors must refer to the Code (2013) when considering what potential treatment systems could be used for a given site, as well as consult with the landowner, Council and other regulatory authorities as appropriate. The CA of the treatment system specifies the hydraulic and organic loading capacity of the maximum daily wastewater load expected from the proposed development (including commercial systems, whic</w:t>
      </w:r>
      <w:r w:rsidR="00E34CC3">
        <w:t>h should include a flow meter).</w:t>
      </w:r>
    </w:p>
    <w:p w14:paraId="3F424D82" w14:textId="77777777" w:rsidR="00871A83" w:rsidRPr="006D4B7C" w:rsidRDefault="00871A83" w:rsidP="008D40D7">
      <w:r w:rsidRPr="006D4B7C">
        <w:t>Usually, the higher the level of constraint of the site as determined by the land capability assessment, the higher the level of treatment required. For example, for a site with no major constraints, a primary treatment system such as a septic tank in conjunction with an adequately-sized absorption trench may be suitable. Conversely, a site with a LCA which identifies major constraints, located on a ﬂoodplain with high groundwater, will almost certainly require an EPA-accredited secondary treatment system combined with an effluent management system that can cope with the risks of flood inundation such as sub-surface irrigation. Irrigation of secondary effluent maximises the beneficial reuse of the water and nutrient resources in effluent in the biologically active topsoil.</w:t>
      </w:r>
    </w:p>
    <w:p w14:paraId="6DA45A34" w14:textId="5E891CFB" w:rsidR="00871A83" w:rsidRPr="00456BD1" w:rsidRDefault="00456BD1" w:rsidP="00456BD1">
      <w:pPr>
        <w:rPr>
          <w:u w:val="single"/>
        </w:rPr>
      </w:pPr>
      <w:bookmarkStart w:id="144" w:name="_Toc378688093"/>
      <w:r>
        <w:rPr>
          <w:u w:val="single"/>
        </w:rPr>
        <w:lastRenderedPageBreak/>
        <w:t xml:space="preserve">4.6.4 </w:t>
      </w:r>
      <w:r w:rsidR="00871A83" w:rsidRPr="00456BD1">
        <w:rPr>
          <w:u w:val="single"/>
        </w:rPr>
        <w:t>Effluent Management System Type</w:t>
      </w:r>
      <w:bookmarkEnd w:id="144"/>
    </w:p>
    <w:p w14:paraId="15B66783" w14:textId="0E3B2F61" w:rsidR="00871A83" w:rsidRPr="006D4B7C" w:rsidRDefault="00871A83" w:rsidP="008D40D7">
      <w:r w:rsidRPr="006D4B7C">
        <w:t xml:space="preserve">The Code (2013) and the State Environment Protection Policy Waters of Victoria (2003) require all effluent to be completely contained within any lot that is not connected to sewer. Therefore, it is essential to select and design an effluent management system that will be appropriate for the land capability of each individual site. Appendix K of AS/NZS1547:2012 provides guidance on selecting land application systems that are </w:t>
      </w:r>
      <w:r w:rsidR="00E34CC3">
        <w:t>appropriate to site conditions.</w:t>
      </w:r>
    </w:p>
    <w:p w14:paraId="53492B5A" w14:textId="719DE8EE" w:rsidR="00871A83" w:rsidRPr="006D4B7C" w:rsidRDefault="00871A83" w:rsidP="008D40D7">
      <w:r w:rsidRPr="006D4B7C">
        <w:t>On sites where there are existing failures resulting in effluent export, the Code (2013) recommends that systems be upgraded to minimise impacts as mu</w:t>
      </w:r>
      <w:r w:rsidR="00E34CC3">
        <w:t>ch as possible.</w:t>
      </w:r>
    </w:p>
    <w:p w14:paraId="39110D96" w14:textId="77777777" w:rsidR="00871A83" w:rsidRPr="006D4B7C" w:rsidRDefault="00871A83" w:rsidP="008D40D7">
      <w:r w:rsidRPr="006D4B7C">
        <w:t>Note that the following effluent management systems are no longer allowed in Victoria (EPA Code of Practice 2013):</w:t>
      </w:r>
    </w:p>
    <w:p w14:paraId="5E4310ED" w14:textId="77777777" w:rsidR="00871A83" w:rsidRPr="006D4B7C" w:rsidRDefault="00871A83" w:rsidP="008D40D7">
      <w:pPr>
        <w:pStyle w:val="ListParagraph"/>
        <w:numPr>
          <w:ilvl w:val="0"/>
          <w:numId w:val="14"/>
        </w:numPr>
        <w:ind w:left="360"/>
      </w:pPr>
      <w:r w:rsidRPr="006D4B7C">
        <w:t>Boxed trenches with impervious sidewalls (AS/NZS1547:2012);</w:t>
      </w:r>
    </w:p>
    <w:p w14:paraId="4DED4158" w14:textId="77777777" w:rsidR="00871A83" w:rsidRPr="006D4B7C" w:rsidRDefault="00871A83" w:rsidP="008D40D7">
      <w:pPr>
        <w:pStyle w:val="ListParagraph"/>
        <w:numPr>
          <w:ilvl w:val="0"/>
          <w:numId w:val="14"/>
        </w:numPr>
        <w:ind w:left="360"/>
      </w:pPr>
      <w:r w:rsidRPr="006D4B7C">
        <w:t>Discharge-control trenches with impervious sidewalls (AS/NZS1547:2012); and</w:t>
      </w:r>
    </w:p>
    <w:p w14:paraId="21F0A05E" w14:textId="77777777" w:rsidR="00871A83" w:rsidRPr="006D4B7C" w:rsidRDefault="00871A83" w:rsidP="008D40D7">
      <w:pPr>
        <w:pStyle w:val="ListParagraph"/>
        <w:numPr>
          <w:ilvl w:val="0"/>
          <w:numId w:val="14"/>
        </w:numPr>
        <w:ind w:left="360"/>
      </w:pPr>
      <w:r w:rsidRPr="006D4B7C">
        <w:t>Gravity flow subsurface irrigation.</w:t>
      </w:r>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ermitted effluent management systems"/>
      </w:tblPr>
      <w:tblGrid>
        <w:gridCol w:w="2330"/>
        <w:gridCol w:w="3801"/>
        <w:gridCol w:w="3190"/>
      </w:tblGrid>
      <w:tr w:rsidR="0043667C" w:rsidRPr="006D4B7C" w14:paraId="2425E495" w14:textId="77777777" w:rsidTr="0043667C">
        <w:tc>
          <w:tcPr>
            <w:tcW w:w="5000" w:type="pct"/>
            <w:gridSpan w:val="3"/>
            <w:shd w:val="clear" w:color="auto" w:fill="D9D9D9" w:themeFill="background1" w:themeFillShade="D9"/>
          </w:tcPr>
          <w:p w14:paraId="73A88C93" w14:textId="427533AA" w:rsidR="0043667C" w:rsidRPr="0043667C" w:rsidRDefault="0043667C" w:rsidP="00354BAF">
            <w:pPr>
              <w:widowControl w:val="0"/>
              <w:autoSpaceDE w:val="0"/>
              <w:autoSpaceDN w:val="0"/>
              <w:adjustRightInd w:val="0"/>
              <w:spacing w:before="60" w:after="60"/>
              <w:outlineLvl w:val="0"/>
              <w:rPr>
                <w:rFonts w:cs="Arial"/>
                <w:b/>
              </w:rPr>
            </w:pPr>
            <w:r w:rsidRPr="0043667C">
              <w:rPr>
                <w:b/>
              </w:rPr>
              <w:t>Table 5: Permitted effluent management systems</w:t>
            </w:r>
          </w:p>
        </w:tc>
      </w:tr>
      <w:tr w:rsidR="00871A83" w:rsidRPr="006D4B7C" w14:paraId="20FDECB1" w14:textId="77777777" w:rsidTr="00354BAF">
        <w:tc>
          <w:tcPr>
            <w:tcW w:w="1250" w:type="pct"/>
            <w:shd w:val="clear" w:color="auto" w:fill="auto"/>
          </w:tcPr>
          <w:p w14:paraId="1AB7C5CF" w14:textId="77777777" w:rsidR="00871A83" w:rsidRPr="00E34CC3" w:rsidRDefault="00871A83" w:rsidP="00354BAF">
            <w:pPr>
              <w:widowControl w:val="0"/>
              <w:autoSpaceDE w:val="0"/>
              <w:autoSpaceDN w:val="0"/>
              <w:adjustRightInd w:val="0"/>
              <w:spacing w:before="60" w:after="60"/>
              <w:outlineLvl w:val="0"/>
              <w:rPr>
                <w:rFonts w:cs="Arial"/>
                <w:b/>
              </w:rPr>
            </w:pPr>
            <w:bookmarkStart w:id="145" w:name="_Toc377562416"/>
            <w:r w:rsidRPr="00E34CC3">
              <w:rPr>
                <w:rFonts w:cs="Arial"/>
                <w:b/>
              </w:rPr>
              <w:t>System</w:t>
            </w:r>
            <w:bookmarkEnd w:id="145"/>
            <w:r w:rsidRPr="00E34CC3">
              <w:rPr>
                <w:rFonts w:cs="Arial"/>
                <w:b/>
              </w:rPr>
              <w:t xml:space="preserve"> </w:t>
            </w:r>
          </w:p>
        </w:tc>
        <w:tc>
          <w:tcPr>
            <w:tcW w:w="2039" w:type="pct"/>
            <w:shd w:val="clear" w:color="auto" w:fill="auto"/>
          </w:tcPr>
          <w:p w14:paraId="172C4435" w14:textId="77777777" w:rsidR="00871A83" w:rsidRPr="00E34CC3" w:rsidRDefault="00871A83" w:rsidP="00354BAF">
            <w:pPr>
              <w:widowControl w:val="0"/>
              <w:autoSpaceDE w:val="0"/>
              <w:autoSpaceDN w:val="0"/>
              <w:adjustRightInd w:val="0"/>
              <w:spacing w:before="60" w:after="60"/>
              <w:outlineLvl w:val="0"/>
              <w:rPr>
                <w:rFonts w:cs="Arial"/>
                <w:b/>
              </w:rPr>
            </w:pPr>
            <w:bookmarkStart w:id="146" w:name="_Toc377562417"/>
            <w:r w:rsidRPr="00E34CC3">
              <w:rPr>
                <w:rFonts w:cs="Arial"/>
                <w:b/>
              </w:rPr>
              <w:t>Conditions of Use</w:t>
            </w:r>
            <w:bookmarkEnd w:id="146"/>
          </w:p>
        </w:tc>
        <w:tc>
          <w:tcPr>
            <w:tcW w:w="1711" w:type="pct"/>
            <w:shd w:val="clear" w:color="auto" w:fill="auto"/>
          </w:tcPr>
          <w:p w14:paraId="18416CF7" w14:textId="77777777" w:rsidR="00871A83" w:rsidRPr="00E34CC3" w:rsidRDefault="00871A83" w:rsidP="00354BAF">
            <w:pPr>
              <w:widowControl w:val="0"/>
              <w:autoSpaceDE w:val="0"/>
              <w:autoSpaceDN w:val="0"/>
              <w:adjustRightInd w:val="0"/>
              <w:spacing w:before="60" w:after="60"/>
              <w:outlineLvl w:val="0"/>
              <w:rPr>
                <w:rFonts w:cs="Arial"/>
                <w:b/>
              </w:rPr>
            </w:pPr>
            <w:bookmarkStart w:id="147" w:name="_Toc377562418"/>
            <w:r w:rsidRPr="00E34CC3">
              <w:rPr>
                <w:rFonts w:cs="Arial"/>
                <w:b/>
              </w:rPr>
              <w:t>Reference</w:t>
            </w:r>
            <w:bookmarkEnd w:id="147"/>
          </w:p>
        </w:tc>
      </w:tr>
      <w:tr w:rsidR="00871A83" w:rsidRPr="006D4B7C" w14:paraId="0F564C37" w14:textId="77777777" w:rsidTr="00354BAF">
        <w:tc>
          <w:tcPr>
            <w:tcW w:w="1250" w:type="pct"/>
            <w:shd w:val="clear" w:color="auto" w:fill="auto"/>
          </w:tcPr>
          <w:p w14:paraId="486DF52D" w14:textId="77777777" w:rsidR="00871A83" w:rsidRPr="00E34CC3" w:rsidRDefault="00871A83" w:rsidP="00354BAF">
            <w:pPr>
              <w:widowControl w:val="0"/>
              <w:autoSpaceDE w:val="0"/>
              <w:autoSpaceDN w:val="0"/>
              <w:adjustRightInd w:val="0"/>
              <w:spacing w:before="60" w:after="60"/>
              <w:outlineLvl w:val="0"/>
              <w:rPr>
                <w:rFonts w:cs="Arial"/>
              </w:rPr>
            </w:pPr>
            <w:bookmarkStart w:id="148" w:name="_Toc377562419"/>
            <w:r w:rsidRPr="00E34CC3">
              <w:rPr>
                <w:rFonts w:cs="Arial"/>
              </w:rPr>
              <w:t>Subsurface drip irrigation</w:t>
            </w:r>
            <w:bookmarkEnd w:id="148"/>
          </w:p>
        </w:tc>
        <w:tc>
          <w:tcPr>
            <w:tcW w:w="2039" w:type="pct"/>
            <w:shd w:val="clear" w:color="auto" w:fill="auto"/>
          </w:tcPr>
          <w:p w14:paraId="3D63A600" w14:textId="77777777" w:rsidR="00871A83" w:rsidRPr="00E34CC3" w:rsidRDefault="00871A83" w:rsidP="00354BAF">
            <w:pPr>
              <w:widowControl w:val="0"/>
              <w:autoSpaceDE w:val="0"/>
              <w:autoSpaceDN w:val="0"/>
              <w:adjustRightInd w:val="0"/>
              <w:spacing w:before="60" w:after="60"/>
              <w:outlineLvl w:val="0"/>
              <w:rPr>
                <w:rFonts w:cs="Arial"/>
              </w:rPr>
            </w:pPr>
            <w:bookmarkStart w:id="149" w:name="_Toc377562420"/>
            <w:r w:rsidRPr="00E34CC3">
              <w:rPr>
                <w:rFonts w:cs="Arial"/>
              </w:rPr>
              <w:t>Secondary treated effluent or greywater only</w:t>
            </w:r>
            <w:bookmarkEnd w:id="149"/>
          </w:p>
        </w:tc>
        <w:tc>
          <w:tcPr>
            <w:tcW w:w="1711" w:type="pct"/>
            <w:shd w:val="clear" w:color="auto" w:fill="auto"/>
          </w:tcPr>
          <w:p w14:paraId="32E421FF" w14:textId="77777777" w:rsidR="00871A83" w:rsidRPr="00E34CC3" w:rsidRDefault="00871A83" w:rsidP="00354BAF">
            <w:pPr>
              <w:widowControl w:val="0"/>
              <w:autoSpaceDE w:val="0"/>
              <w:autoSpaceDN w:val="0"/>
              <w:adjustRightInd w:val="0"/>
              <w:spacing w:before="60" w:after="60"/>
              <w:outlineLvl w:val="0"/>
              <w:rPr>
                <w:rFonts w:cs="Arial"/>
              </w:rPr>
            </w:pPr>
            <w:bookmarkStart w:id="150" w:name="_Toc377562421"/>
            <w:r w:rsidRPr="00E34CC3">
              <w:rPr>
                <w:rFonts w:cs="Arial"/>
              </w:rPr>
              <w:t>AS/NZS1547:2012</w:t>
            </w:r>
            <w:bookmarkEnd w:id="150"/>
          </w:p>
          <w:p w14:paraId="74F8FEDD" w14:textId="77777777" w:rsidR="00871A83" w:rsidRPr="00E34CC3" w:rsidRDefault="00871A83" w:rsidP="00354BAF">
            <w:pPr>
              <w:widowControl w:val="0"/>
              <w:autoSpaceDE w:val="0"/>
              <w:autoSpaceDN w:val="0"/>
              <w:adjustRightInd w:val="0"/>
              <w:spacing w:before="60" w:after="60"/>
              <w:outlineLvl w:val="0"/>
              <w:rPr>
                <w:rFonts w:cs="Arial"/>
              </w:rPr>
            </w:pPr>
            <w:bookmarkStart w:id="151" w:name="_Toc377562422"/>
            <w:r w:rsidRPr="00E34CC3">
              <w:rPr>
                <w:rFonts w:cs="Arial"/>
              </w:rPr>
              <w:t>EPA Code of Practice (2013)</w:t>
            </w:r>
            <w:bookmarkEnd w:id="151"/>
          </w:p>
        </w:tc>
      </w:tr>
      <w:tr w:rsidR="00871A83" w:rsidRPr="006D4B7C" w14:paraId="714D0969" w14:textId="77777777" w:rsidTr="00354BAF">
        <w:tc>
          <w:tcPr>
            <w:tcW w:w="1250" w:type="pct"/>
            <w:shd w:val="clear" w:color="auto" w:fill="auto"/>
          </w:tcPr>
          <w:p w14:paraId="7CB68B0E" w14:textId="77777777" w:rsidR="00871A83" w:rsidRPr="00E34CC3" w:rsidRDefault="00871A83" w:rsidP="00354BAF">
            <w:pPr>
              <w:widowControl w:val="0"/>
              <w:autoSpaceDE w:val="0"/>
              <w:autoSpaceDN w:val="0"/>
              <w:adjustRightInd w:val="0"/>
              <w:spacing w:before="60" w:after="60"/>
              <w:outlineLvl w:val="0"/>
              <w:rPr>
                <w:rFonts w:cs="Arial"/>
              </w:rPr>
            </w:pPr>
            <w:bookmarkStart w:id="152" w:name="_Toc377562423"/>
            <w:r w:rsidRPr="00E34CC3">
              <w:rPr>
                <w:rFonts w:cs="Arial"/>
              </w:rPr>
              <w:t>Surface irrigation</w:t>
            </w:r>
            <w:bookmarkEnd w:id="152"/>
          </w:p>
        </w:tc>
        <w:tc>
          <w:tcPr>
            <w:tcW w:w="2039" w:type="pct"/>
            <w:shd w:val="clear" w:color="auto" w:fill="auto"/>
          </w:tcPr>
          <w:p w14:paraId="02019751" w14:textId="77777777" w:rsidR="00871A83" w:rsidRPr="00E34CC3" w:rsidRDefault="00871A83" w:rsidP="00354BAF">
            <w:pPr>
              <w:widowControl w:val="0"/>
              <w:autoSpaceDE w:val="0"/>
              <w:autoSpaceDN w:val="0"/>
              <w:adjustRightInd w:val="0"/>
              <w:spacing w:before="60" w:after="60"/>
              <w:outlineLvl w:val="0"/>
              <w:rPr>
                <w:rFonts w:cs="Arial"/>
              </w:rPr>
            </w:pPr>
            <w:bookmarkStart w:id="153" w:name="_Toc377562424"/>
            <w:r w:rsidRPr="00E34CC3">
              <w:rPr>
                <w:rFonts w:cs="Arial"/>
              </w:rPr>
              <w:t>Secondary treated effluent or greywater only</w:t>
            </w:r>
            <w:bookmarkEnd w:id="153"/>
          </w:p>
        </w:tc>
        <w:tc>
          <w:tcPr>
            <w:tcW w:w="1711" w:type="pct"/>
            <w:shd w:val="clear" w:color="auto" w:fill="auto"/>
          </w:tcPr>
          <w:p w14:paraId="1216C23D" w14:textId="77777777" w:rsidR="00871A83" w:rsidRPr="00E34CC3" w:rsidRDefault="00871A83" w:rsidP="00354BAF">
            <w:pPr>
              <w:widowControl w:val="0"/>
              <w:autoSpaceDE w:val="0"/>
              <w:autoSpaceDN w:val="0"/>
              <w:adjustRightInd w:val="0"/>
              <w:spacing w:before="60" w:after="60"/>
              <w:outlineLvl w:val="0"/>
              <w:rPr>
                <w:rFonts w:cs="Arial"/>
              </w:rPr>
            </w:pPr>
            <w:bookmarkStart w:id="154" w:name="_Toc377562425"/>
            <w:r w:rsidRPr="00E34CC3">
              <w:rPr>
                <w:rFonts w:cs="Arial"/>
              </w:rPr>
              <w:t>AS/NZS1547:2012</w:t>
            </w:r>
            <w:bookmarkEnd w:id="154"/>
          </w:p>
          <w:p w14:paraId="0E266067" w14:textId="77777777" w:rsidR="00871A83" w:rsidRPr="00E34CC3" w:rsidRDefault="00871A83" w:rsidP="00354BAF">
            <w:pPr>
              <w:widowControl w:val="0"/>
              <w:autoSpaceDE w:val="0"/>
              <w:autoSpaceDN w:val="0"/>
              <w:adjustRightInd w:val="0"/>
              <w:spacing w:before="60" w:after="60"/>
              <w:outlineLvl w:val="0"/>
              <w:rPr>
                <w:rFonts w:cs="Arial"/>
              </w:rPr>
            </w:pPr>
            <w:bookmarkStart w:id="155" w:name="_Toc377562426"/>
            <w:r w:rsidRPr="00E34CC3">
              <w:rPr>
                <w:rFonts w:cs="Arial"/>
              </w:rPr>
              <w:t>EPA Code of Practice (2013)</w:t>
            </w:r>
            <w:bookmarkEnd w:id="155"/>
          </w:p>
        </w:tc>
      </w:tr>
      <w:tr w:rsidR="00871A83" w:rsidRPr="006D4B7C" w14:paraId="0A7ADC26" w14:textId="77777777" w:rsidTr="00354BAF">
        <w:tc>
          <w:tcPr>
            <w:tcW w:w="1250" w:type="pct"/>
            <w:shd w:val="clear" w:color="auto" w:fill="auto"/>
          </w:tcPr>
          <w:p w14:paraId="336EF19D" w14:textId="77777777" w:rsidR="00871A83" w:rsidRPr="00E34CC3" w:rsidRDefault="00871A83" w:rsidP="00354BAF">
            <w:pPr>
              <w:widowControl w:val="0"/>
              <w:autoSpaceDE w:val="0"/>
              <w:autoSpaceDN w:val="0"/>
              <w:adjustRightInd w:val="0"/>
              <w:spacing w:before="60" w:after="60"/>
              <w:outlineLvl w:val="0"/>
              <w:rPr>
                <w:rFonts w:cs="Arial"/>
              </w:rPr>
            </w:pPr>
            <w:bookmarkStart w:id="156" w:name="_Toc377562427"/>
            <w:r w:rsidRPr="00E34CC3">
              <w:rPr>
                <w:rFonts w:cs="Arial"/>
              </w:rPr>
              <w:t>Sand (Wisconsin) mounds</w:t>
            </w:r>
            <w:bookmarkEnd w:id="156"/>
          </w:p>
        </w:tc>
        <w:tc>
          <w:tcPr>
            <w:tcW w:w="2039" w:type="pct"/>
            <w:shd w:val="clear" w:color="auto" w:fill="auto"/>
          </w:tcPr>
          <w:p w14:paraId="4237E03D" w14:textId="77777777" w:rsidR="00871A83" w:rsidRPr="00E34CC3" w:rsidRDefault="00871A83" w:rsidP="00354BAF">
            <w:pPr>
              <w:widowControl w:val="0"/>
              <w:autoSpaceDE w:val="0"/>
              <w:autoSpaceDN w:val="0"/>
              <w:adjustRightInd w:val="0"/>
              <w:spacing w:before="60" w:after="60"/>
              <w:outlineLvl w:val="0"/>
              <w:rPr>
                <w:rFonts w:cs="Arial"/>
              </w:rPr>
            </w:pPr>
            <w:bookmarkStart w:id="157" w:name="_Toc377562428"/>
            <w:r w:rsidRPr="00E34CC3">
              <w:rPr>
                <w:rFonts w:cs="Arial"/>
              </w:rPr>
              <w:t>Primary or secondary treated effluent or greywater</w:t>
            </w:r>
            <w:bookmarkEnd w:id="157"/>
          </w:p>
        </w:tc>
        <w:tc>
          <w:tcPr>
            <w:tcW w:w="1711" w:type="pct"/>
            <w:shd w:val="clear" w:color="auto" w:fill="auto"/>
          </w:tcPr>
          <w:p w14:paraId="74A25395" w14:textId="77777777" w:rsidR="00871A83" w:rsidRPr="00E34CC3" w:rsidRDefault="00871A83" w:rsidP="00354BAF">
            <w:pPr>
              <w:widowControl w:val="0"/>
              <w:autoSpaceDE w:val="0"/>
              <w:autoSpaceDN w:val="0"/>
              <w:adjustRightInd w:val="0"/>
              <w:spacing w:before="60" w:after="60"/>
              <w:outlineLvl w:val="0"/>
              <w:rPr>
                <w:rFonts w:cs="Arial"/>
              </w:rPr>
            </w:pPr>
            <w:bookmarkStart w:id="158" w:name="_Toc377562429"/>
            <w:r w:rsidRPr="00E34CC3">
              <w:rPr>
                <w:rFonts w:cs="Arial"/>
              </w:rPr>
              <w:t>AS/NZS1547:2012</w:t>
            </w:r>
            <w:bookmarkEnd w:id="158"/>
          </w:p>
          <w:p w14:paraId="126D69A7" w14:textId="77777777" w:rsidR="00871A83" w:rsidRPr="00E34CC3" w:rsidRDefault="00871A83" w:rsidP="00354BAF">
            <w:pPr>
              <w:widowControl w:val="0"/>
              <w:autoSpaceDE w:val="0"/>
              <w:autoSpaceDN w:val="0"/>
              <w:adjustRightInd w:val="0"/>
              <w:spacing w:before="60" w:after="60"/>
              <w:outlineLvl w:val="0"/>
              <w:rPr>
                <w:rFonts w:cs="Arial"/>
              </w:rPr>
            </w:pPr>
            <w:bookmarkStart w:id="159" w:name="_Toc377562430"/>
            <w:r w:rsidRPr="00E34CC3">
              <w:rPr>
                <w:rFonts w:cs="Arial"/>
              </w:rPr>
              <w:t>EPA Code of Practice (2013)</w:t>
            </w:r>
            <w:bookmarkEnd w:id="159"/>
          </w:p>
        </w:tc>
      </w:tr>
      <w:tr w:rsidR="00871A83" w:rsidRPr="006D4B7C" w14:paraId="0D274201" w14:textId="77777777" w:rsidTr="00354BAF">
        <w:tc>
          <w:tcPr>
            <w:tcW w:w="1250" w:type="pct"/>
            <w:shd w:val="clear" w:color="auto" w:fill="auto"/>
          </w:tcPr>
          <w:p w14:paraId="265C654A" w14:textId="77777777" w:rsidR="00871A83" w:rsidRPr="00E34CC3" w:rsidRDefault="00871A83" w:rsidP="00354BAF">
            <w:pPr>
              <w:widowControl w:val="0"/>
              <w:autoSpaceDE w:val="0"/>
              <w:autoSpaceDN w:val="0"/>
              <w:adjustRightInd w:val="0"/>
              <w:spacing w:before="60" w:after="60"/>
              <w:outlineLvl w:val="0"/>
              <w:rPr>
                <w:rFonts w:cs="Arial"/>
              </w:rPr>
            </w:pPr>
            <w:bookmarkStart w:id="160" w:name="_Toc377562431"/>
            <w:r w:rsidRPr="00E34CC3">
              <w:rPr>
                <w:rFonts w:cs="Arial"/>
              </w:rPr>
              <w:t>Evapotranspiration beds and trenches</w:t>
            </w:r>
            <w:bookmarkEnd w:id="160"/>
          </w:p>
        </w:tc>
        <w:tc>
          <w:tcPr>
            <w:tcW w:w="2039" w:type="pct"/>
            <w:shd w:val="clear" w:color="auto" w:fill="auto"/>
          </w:tcPr>
          <w:p w14:paraId="41A6864C" w14:textId="77777777" w:rsidR="00871A83" w:rsidRPr="00E34CC3" w:rsidRDefault="00871A83" w:rsidP="00354BAF">
            <w:pPr>
              <w:spacing w:before="60"/>
              <w:rPr>
                <w:rFonts w:cs="Arial"/>
              </w:rPr>
            </w:pPr>
            <w:r w:rsidRPr="00E34CC3">
              <w:rPr>
                <w:rFonts w:cs="Arial"/>
              </w:rPr>
              <w:t>Primary or secondary treated effluent or greywater</w:t>
            </w:r>
          </w:p>
        </w:tc>
        <w:tc>
          <w:tcPr>
            <w:tcW w:w="1711" w:type="pct"/>
            <w:shd w:val="clear" w:color="auto" w:fill="auto"/>
          </w:tcPr>
          <w:p w14:paraId="2C7AF737" w14:textId="77777777" w:rsidR="00871A83" w:rsidRPr="00E34CC3" w:rsidRDefault="00871A83" w:rsidP="00354BAF">
            <w:pPr>
              <w:widowControl w:val="0"/>
              <w:autoSpaceDE w:val="0"/>
              <w:autoSpaceDN w:val="0"/>
              <w:adjustRightInd w:val="0"/>
              <w:spacing w:before="60" w:after="60"/>
              <w:outlineLvl w:val="0"/>
              <w:rPr>
                <w:rFonts w:cs="Arial"/>
              </w:rPr>
            </w:pPr>
            <w:bookmarkStart w:id="161" w:name="_Toc377562432"/>
            <w:r w:rsidRPr="00E34CC3">
              <w:rPr>
                <w:rFonts w:cs="Arial"/>
              </w:rPr>
              <w:t>AS/NZS1547:2012</w:t>
            </w:r>
            <w:bookmarkEnd w:id="161"/>
          </w:p>
          <w:p w14:paraId="046AB826" w14:textId="77777777" w:rsidR="00871A83" w:rsidRPr="00E34CC3" w:rsidRDefault="00871A83" w:rsidP="00354BAF">
            <w:pPr>
              <w:widowControl w:val="0"/>
              <w:autoSpaceDE w:val="0"/>
              <w:autoSpaceDN w:val="0"/>
              <w:adjustRightInd w:val="0"/>
              <w:spacing w:before="60" w:after="60"/>
              <w:outlineLvl w:val="0"/>
              <w:rPr>
                <w:rFonts w:cs="Arial"/>
              </w:rPr>
            </w:pPr>
            <w:bookmarkStart w:id="162" w:name="_Toc377562433"/>
            <w:r w:rsidRPr="00E34CC3">
              <w:rPr>
                <w:rFonts w:cs="Arial"/>
              </w:rPr>
              <w:t>EPA Code of Practice (2013)</w:t>
            </w:r>
            <w:bookmarkEnd w:id="162"/>
          </w:p>
        </w:tc>
      </w:tr>
      <w:tr w:rsidR="00871A83" w:rsidRPr="006D4B7C" w14:paraId="2EECFA78" w14:textId="77777777" w:rsidTr="00354BAF">
        <w:tc>
          <w:tcPr>
            <w:tcW w:w="1250" w:type="pct"/>
            <w:shd w:val="clear" w:color="auto" w:fill="auto"/>
          </w:tcPr>
          <w:p w14:paraId="361BDCAE" w14:textId="77777777" w:rsidR="00871A83" w:rsidRPr="00E34CC3" w:rsidRDefault="00871A83" w:rsidP="00354BAF">
            <w:pPr>
              <w:widowControl w:val="0"/>
              <w:autoSpaceDE w:val="0"/>
              <w:autoSpaceDN w:val="0"/>
              <w:adjustRightInd w:val="0"/>
              <w:spacing w:before="60" w:after="60"/>
              <w:outlineLvl w:val="0"/>
              <w:rPr>
                <w:rFonts w:cs="Arial"/>
              </w:rPr>
            </w:pPr>
            <w:bookmarkStart w:id="163" w:name="_Toc377562434"/>
            <w:r w:rsidRPr="00E34CC3">
              <w:rPr>
                <w:rFonts w:cs="Arial"/>
              </w:rPr>
              <w:t>Absorption trenches</w:t>
            </w:r>
            <w:bookmarkEnd w:id="163"/>
          </w:p>
        </w:tc>
        <w:tc>
          <w:tcPr>
            <w:tcW w:w="2039" w:type="pct"/>
            <w:shd w:val="clear" w:color="auto" w:fill="auto"/>
          </w:tcPr>
          <w:p w14:paraId="65EDE184" w14:textId="77777777" w:rsidR="00871A83" w:rsidRPr="00E34CC3" w:rsidRDefault="00871A83" w:rsidP="00354BAF">
            <w:pPr>
              <w:spacing w:before="60"/>
              <w:rPr>
                <w:rFonts w:cs="Arial"/>
              </w:rPr>
            </w:pPr>
            <w:r w:rsidRPr="00E34CC3">
              <w:rPr>
                <w:rFonts w:cs="Arial"/>
              </w:rPr>
              <w:t>Primary or secondary treated effluent or greywater;</w:t>
            </w:r>
          </w:p>
          <w:p w14:paraId="71F16AC7" w14:textId="77777777" w:rsidR="00871A83" w:rsidRPr="00E34CC3" w:rsidRDefault="00871A83" w:rsidP="00354BAF">
            <w:pPr>
              <w:spacing w:before="60"/>
              <w:rPr>
                <w:rFonts w:cs="Arial"/>
              </w:rPr>
            </w:pPr>
            <w:r w:rsidRPr="00E34CC3">
              <w:rPr>
                <w:rFonts w:cs="Arial"/>
              </w:rPr>
              <w:t>Not for use in gravels or sands</w:t>
            </w:r>
          </w:p>
        </w:tc>
        <w:tc>
          <w:tcPr>
            <w:tcW w:w="1711" w:type="pct"/>
            <w:shd w:val="clear" w:color="auto" w:fill="auto"/>
          </w:tcPr>
          <w:p w14:paraId="559A4EBA" w14:textId="77777777" w:rsidR="00871A83" w:rsidRPr="00E34CC3" w:rsidRDefault="00871A83" w:rsidP="00354BAF">
            <w:pPr>
              <w:widowControl w:val="0"/>
              <w:autoSpaceDE w:val="0"/>
              <w:autoSpaceDN w:val="0"/>
              <w:adjustRightInd w:val="0"/>
              <w:spacing w:before="60" w:after="60"/>
              <w:outlineLvl w:val="0"/>
              <w:rPr>
                <w:rFonts w:cs="Arial"/>
              </w:rPr>
            </w:pPr>
            <w:bookmarkStart w:id="164" w:name="_Toc377562435"/>
            <w:r w:rsidRPr="00E34CC3">
              <w:rPr>
                <w:rFonts w:cs="Arial"/>
              </w:rPr>
              <w:t>AS/NZS1547:2012</w:t>
            </w:r>
            <w:bookmarkEnd w:id="164"/>
          </w:p>
          <w:p w14:paraId="1BCB07C5" w14:textId="77777777" w:rsidR="00871A83" w:rsidRPr="00E34CC3" w:rsidRDefault="00871A83" w:rsidP="00354BAF">
            <w:pPr>
              <w:widowControl w:val="0"/>
              <w:autoSpaceDE w:val="0"/>
              <w:autoSpaceDN w:val="0"/>
              <w:adjustRightInd w:val="0"/>
              <w:spacing w:before="60" w:after="60"/>
              <w:outlineLvl w:val="0"/>
              <w:rPr>
                <w:rFonts w:cs="Arial"/>
              </w:rPr>
            </w:pPr>
            <w:bookmarkStart w:id="165" w:name="_Toc377562436"/>
            <w:r w:rsidRPr="00E34CC3">
              <w:rPr>
                <w:rFonts w:cs="Arial"/>
              </w:rPr>
              <w:t>EPA Code of Practice (2013)</w:t>
            </w:r>
            <w:bookmarkEnd w:id="165"/>
          </w:p>
          <w:p w14:paraId="56F5CE02" w14:textId="77777777" w:rsidR="00871A83" w:rsidRPr="00E34CC3" w:rsidRDefault="00871A83" w:rsidP="00354BAF">
            <w:pPr>
              <w:widowControl w:val="0"/>
              <w:autoSpaceDE w:val="0"/>
              <w:autoSpaceDN w:val="0"/>
              <w:adjustRightInd w:val="0"/>
              <w:spacing w:before="60" w:after="60"/>
              <w:outlineLvl w:val="0"/>
              <w:rPr>
                <w:rFonts w:cs="Arial"/>
              </w:rPr>
            </w:pPr>
          </w:p>
        </w:tc>
      </w:tr>
      <w:tr w:rsidR="00871A83" w:rsidRPr="006D4B7C" w14:paraId="027549C0" w14:textId="77777777" w:rsidTr="00354BAF">
        <w:tc>
          <w:tcPr>
            <w:tcW w:w="1250" w:type="pct"/>
            <w:shd w:val="clear" w:color="auto" w:fill="auto"/>
          </w:tcPr>
          <w:p w14:paraId="54519BF8" w14:textId="77777777" w:rsidR="00871A83" w:rsidRPr="00E34CC3" w:rsidRDefault="00871A83" w:rsidP="00354BAF">
            <w:pPr>
              <w:widowControl w:val="0"/>
              <w:autoSpaceDE w:val="0"/>
              <w:autoSpaceDN w:val="0"/>
              <w:adjustRightInd w:val="0"/>
              <w:spacing w:before="60" w:after="60"/>
              <w:outlineLvl w:val="0"/>
              <w:rPr>
                <w:rFonts w:cs="Arial"/>
              </w:rPr>
            </w:pPr>
            <w:bookmarkStart w:id="166" w:name="_Toc377562437"/>
            <w:r w:rsidRPr="00E34CC3">
              <w:rPr>
                <w:rFonts w:cs="Arial"/>
              </w:rPr>
              <w:t>Wick Trench and Bed systems</w:t>
            </w:r>
            <w:bookmarkEnd w:id="166"/>
          </w:p>
        </w:tc>
        <w:tc>
          <w:tcPr>
            <w:tcW w:w="2039" w:type="pct"/>
            <w:shd w:val="clear" w:color="auto" w:fill="auto"/>
          </w:tcPr>
          <w:p w14:paraId="59D952C8" w14:textId="77777777" w:rsidR="00871A83" w:rsidRPr="00E34CC3" w:rsidRDefault="00871A83" w:rsidP="00354BAF">
            <w:pPr>
              <w:spacing w:before="60"/>
              <w:rPr>
                <w:rFonts w:cs="Arial"/>
              </w:rPr>
            </w:pPr>
            <w:r w:rsidRPr="00E34CC3">
              <w:rPr>
                <w:rFonts w:cs="Arial"/>
              </w:rPr>
              <w:t>Primary or secondary treated effluent or greywater</w:t>
            </w:r>
          </w:p>
        </w:tc>
        <w:tc>
          <w:tcPr>
            <w:tcW w:w="1711" w:type="pct"/>
            <w:shd w:val="clear" w:color="auto" w:fill="auto"/>
          </w:tcPr>
          <w:p w14:paraId="0149ACC2" w14:textId="77777777" w:rsidR="00871A83" w:rsidRPr="00E34CC3" w:rsidRDefault="00871A83" w:rsidP="00354BAF">
            <w:pPr>
              <w:widowControl w:val="0"/>
              <w:autoSpaceDE w:val="0"/>
              <w:autoSpaceDN w:val="0"/>
              <w:adjustRightInd w:val="0"/>
              <w:spacing w:before="60" w:after="60"/>
              <w:outlineLvl w:val="0"/>
              <w:rPr>
                <w:rFonts w:cs="Arial"/>
              </w:rPr>
            </w:pPr>
            <w:bookmarkStart w:id="167" w:name="_Toc377562438"/>
            <w:r w:rsidRPr="00E34CC3">
              <w:rPr>
                <w:rFonts w:cs="Arial"/>
              </w:rPr>
              <w:t>EPA Code of Practice (2013) (Appendix E)</w:t>
            </w:r>
            <w:bookmarkEnd w:id="167"/>
          </w:p>
        </w:tc>
      </w:tr>
      <w:tr w:rsidR="00871A83" w:rsidRPr="006D4B7C" w14:paraId="24B0B1CE" w14:textId="77777777" w:rsidTr="00354BAF">
        <w:tc>
          <w:tcPr>
            <w:tcW w:w="1250" w:type="pct"/>
            <w:shd w:val="clear" w:color="auto" w:fill="auto"/>
          </w:tcPr>
          <w:p w14:paraId="689AF1DD" w14:textId="77777777" w:rsidR="00871A83" w:rsidRPr="00E34CC3" w:rsidRDefault="00871A83" w:rsidP="00354BAF">
            <w:pPr>
              <w:widowControl w:val="0"/>
              <w:autoSpaceDE w:val="0"/>
              <w:autoSpaceDN w:val="0"/>
              <w:adjustRightInd w:val="0"/>
              <w:spacing w:before="60" w:after="60"/>
              <w:outlineLvl w:val="0"/>
              <w:rPr>
                <w:rFonts w:cs="Arial"/>
              </w:rPr>
            </w:pPr>
            <w:bookmarkStart w:id="168" w:name="_Toc377562439"/>
            <w:r w:rsidRPr="00E34CC3">
              <w:rPr>
                <w:rFonts w:cs="Arial"/>
              </w:rPr>
              <w:t>Low Pressure Effluent Distribution (LPED) system</w:t>
            </w:r>
            <w:bookmarkEnd w:id="168"/>
          </w:p>
        </w:tc>
        <w:tc>
          <w:tcPr>
            <w:tcW w:w="2039" w:type="pct"/>
            <w:shd w:val="clear" w:color="auto" w:fill="auto"/>
          </w:tcPr>
          <w:p w14:paraId="1B3D8995" w14:textId="77777777" w:rsidR="00871A83" w:rsidRPr="00E34CC3" w:rsidRDefault="00871A83" w:rsidP="00354BAF">
            <w:pPr>
              <w:spacing w:before="60"/>
              <w:rPr>
                <w:rFonts w:cs="Arial"/>
              </w:rPr>
            </w:pPr>
            <w:r w:rsidRPr="00E34CC3">
              <w:rPr>
                <w:rFonts w:cs="Arial"/>
              </w:rPr>
              <w:t>Primary or secondary treated effluent or greywater</w:t>
            </w:r>
          </w:p>
        </w:tc>
        <w:tc>
          <w:tcPr>
            <w:tcW w:w="1711" w:type="pct"/>
            <w:shd w:val="clear" w:color="auto" w:fill="auto"/>
          </w:tcPr>
          <w:p w14:paraId="22D3DFA3" w14:textId="77777777" w:rsidR="00871A83" w:rsidRPr="00E34CC3" w:rsidRDefault="00871A83" w:rsidP="00354BAF">
            <w:pPr>
              <w:widowControl w:val="0"/>
              <w:autoSpaceDE w:val="0"/>
              <w:autoSpaceDN w:val="0"/>
              <w:adjustRightInd w:val="0"/>
              <w:spacing w:before="60" w:after="60"/>
              <w:outlineLvl w:val="0"/>
              <w:rPr>
                <w:rFonts w:cs="Arial"/>
              </w:rPr>
            </w:pPr>
            <w:bookmarkStart w:id="169" w:name="_Toc377562440"/>
            <w:r w:rsidRPr="00E34CC3">
              <w:rPr>
                <w:rFonts w:cs="Arial"/>
              </w:rPr>
              <w:t>AS/NZS1547:2012</w:t>
            </w:r>
            <w:bookmarkEnd w:id="169"/>
          </w:p>
          <w:p w14:paraId="35374722" w14:textId="77777777" w:rsidR="00871A83" w:rsidRPr="00E34CC3" w:rsidRDefault="00871A83" w:rsidP="00354BAF">
            <w:pPr>
              <w:widowControl w:val="0"/>
              <w:autoSpaceDE w:val="0"/>
              <w:autoSpaceDN w:val="0"/>
              <w:adjustRightInd w:val="0"/>
              <w:spacing w:before="60" w:after="60"/>
              <w:outlineLvl w:val="0"/>
              <w:rPr>
                <w:rFonts w:cs="Arial"/>
              </w:rPr>
            </w:pPr>
            <w:bookmarkStart w:id="170" w:name="_Toc377562441"/>
            <w:r w:rsidRPr="00E34CC3">
              <w:rPr>
                <w:rFonts w:cs="Arial"/>
              </w:rPr>
              <w:t>EPA Code of Practice (2013)</w:t>
            </w:r>
            <w:bookmarkEnd w:id="170"/>
          </w:p>
        </w:tc>
      </w:tr>
    </w:tbl>
    <w:p w14:paraId="6AFB4016" w14:textId="77777777" w:rsidR="003D07E7" w:rsidRDefault="003D07E7" w:rsidP="003D07E7">
      <w:pPr>
        <w:spacing w:after="0"/>
      </w:pPr>
    </w:p>
    <w:p w14:paraId="678296BC" w14:textId="1757928F" w:rsidR="00871A83" w:rsidRPr="006D4B7C" w:rsidRDefault="00871A83" w:rsidP="003D07E7">
      <w:r w:rsidRPr="006D4B7C">
        <w:lastRenderedPageBreak/>
        <w:t>The DLR/DIR for secondary treated effluent for any effluent management system must not exceed the maximum in Table 9 of the Code 2013 (i.e. no reduction in the size of any land application system is permitted).</w:t>
      </w:r>
    </w:p>
    <w:p w14:paraId="17DD9A9E" w14:textId="77777777" w:rsidR="00871A83" w:rsidRPr="006D4B7C" w:rsidRDefault="00871A83" w:rsidP="003D07E7">
      <w:r w:rsidRPr="006D4B7C">
        <w:t>Pressure-compensating, subsurface drip irrigation is the preferred system for management of secondary treated effluent (EPA Code of Practice 2013). Sub-surface irrigation systems are more efficient at reusing the water and nutrient resources than surface irrigation. The DIR for effluent irrigation systems must be in accordance with Tables 9 of the Code (2013) not AS/NZS1547:2012.</w:t>
      </w:r>
    </w:p>
    <w:p w14:paraId="2B815D97" w14:textId="11C10D36" w:rsidR="00871A83" w:rsidRPr="00456BD1" w:rsidRDefault="00456BD1" w:rsidP="00456BD1">
      <w:pPr>
        <w:rPr>
          <w:u w:val="single"/>
        </w:rPr>
      </w:pPr>
      <w:bookmarkStart w:id="171" w:name="_Toc378688094"/>
      <w:r>
        <w:rPr>
          <w:u w:val="single"/>
        </w:rPr>
        <w:t xml:space="preserve">4.6.5 </w:t>
      </w:r>
      <w:r w:rsidR="00871A83" w:rsidRPr="00456BD1">
        <w:rPr>
          <w:u w:val="single"/>
        </w:rPr>
        <w:t>Effluent Management System Sizing</w:t>
      </w:r>
      <w:bookmarkEnd w:id="171"/>
    </w:p>
    <w:p w14:paraId="4703251D" w14:textId="6ECF9375" w:rsidR="00871A83" w:rsidRPr="006D4B7C" w:rsidRDefault="00871A83" w:rsidP="0043667C">
      <w:r w:rsidRPr="006D4B7C">
        <w:t>Once the type of effluent management system has been selected, it needs to be appropriately designed for the unique site and soil characteristics. AS/NZS1547:2012 provides guidance on sizing the effluent management systems listed above, using basic calculations which generally do not incl</w:t>
      </w:r>
      <w:r w:rsidR="00E34CC3">
        <w:t>ude climate inputs and outputs.</w:t>
      </w:r>
    </w:p>
    <w:p w14:paraId="5EB3A6F8" w14:textId="6B1E03CD" w:rsidR="00871A83" w:rsidRPr="00456BD1" w:rsidRDefault="00456BD1" w:rsidP="00456BD1">
      <w:pPr>
        <w:rPr>
          <w:u w:val="single"/>
        </w:rPr>
      </w:pPr>
      <w:bookmarkStart w:id="172" w:name="_Toc378688095"/>
      <w:r>
        <w:rPr>
          <w:u w:val="single"/>
        </w:rPr>
        <w:t xml:space="preserve">4.6.6 </w:t>
      </w:r>
      <w:r w:rsidR="00871A83" w:rsidRPr="00456BD1">
        <w:rPr>
          <w:u w:val="single"/>
        </w:rPr>
        <w:t>Water Balance</w:t>
      </w:r>
      <w:bookmarkEnd w:id="172"/>
    </w:p>
    <w:p w14:paraId="42518E00" w14:textId="3932518F" w:rsidR="00871A83" w:rsidRPr="006D4B7C" w:rsidRDefault="00871A83" w:rsidP="0043667C">
      <w:r w:rsidRPr="006D4B7C">
        <w:t>For effluent irrigation systems a detailed water balance, using climate data for the site and the DIR specified in Table 9 of the Code (2013), is required. (A nutrient balance may also be required for sensitive sites, such as for Category 1 to 3a soils adjacent to freshwater lakes - this methodology is described later.) The water balance approach can also be used for trenches and beds, using DLRs provided in AS/NZS1547:2012 and an Excel water balance tool accompanies this LCA Framework</w:t>
      </w:r>
      <w:r w:rsidR="00E34CC3">
        <w:t xml:space="preserve">. </w:t>
      </w:r>
    </w:p>
    <w:p w14:paraId="11E0B1CA" w14:textId="6FD47517" w:rsidR="00515487" w:rsidRDefault="00871A83" w:rsidP="0043667C">
      <w:r w:rsidRPr="006D4B7C">
        <w:t xml:space="preserve">The complex interactions between the soil, climate, topography and wastewater inputs may mean that there is no one ‘correct’ method or absolute ‘right’ answer. The methods shown below have been chosen because of their relative simplicity and are examples of possible methods of calculation. All water (and nutrient) balance calculations are simply estimates. They are not exact replications of what actually happens on a land application area site. Small variations in the inputs can lead to large differences in the estimated land application area; therefore, a conservative approach </w:t>
      </w:r>
      <w:r w:rsidR="00E34CC3">
        <w:t>should always be taken.</w:t>
      </w:r>
    </w:p>
    <w:p w14:paraId="449CDDAE" w14:textId="77777777" w:rsidR="00515487" w:rsidRDefault="00515487">
      <w:pPr>
        <w:spacing w:after="0" w:line="240" w:lineRule="auto"/>
      </w:pPr>
      <w:r>
        <w:br w:type="page"/>
      </w:r>
    </w:p>
    <w:p w14:paraId="58347760" w14:textId="77777777" w:rsidR="00871A83" w:rsidRDefault="00871A83" w:rsidP="0043667C"/>
    <w:tbl>
      <w:tblPr>
        <w:tblStyle w:val="TableGrid"/>
        <w:tblW w:w="0" w:type="auto"/>
        <w:tblLook w:val="04A0" w:firstRow="1" w:lastRow="0" w:firstColumn="1" w:lastColumn="0" w:noHBand="0" w:noVBand="1"/>
      </w:tblPr>
      <w:tblGrid>
        <w:gridCol w:w="9576"/>
      </w:tblGrid>
      <w:tr w:rsidR="007B6413" w14:paraId="08812216" w14:textId="77777777" w:rsidTr="007B6413">
        <w:tc>
          <w:tcPr>
            <w:tcW w:w="9576" w:type="dxa"/>
          </w:tcPr>
          <w:p w14:paraId="74D4F245" w14:textId="77777777" w:rsidR="007B6413" w:rsidRPr="006D4B7C" w:rsidRDefault="007B6413" w:rsidP="007B6413">
            <w:r w:rsidRPr="006D4B7C">
              <w:t>The water balance equation can be expressed as:</w:t>
            </w:r>
          </w:p>
          <w:p w14:paraId="285F3355" w14:textId="77777777" w:rsidR="007B6413" w:rsidRPr="003D07E7" w:rsidRDefault="007B6413" w:rsidP="007B6413">
            <w:pPr>
              <w:jc w:val="center"/>
              <w:rPr>
                <w:b/>
              </w:rPr>
            </w:pPr>
            <w:r w:rsidRPr="003D07E7">
              <w:rPr>
                <w:b/>
              </w:rPr>
              <w:t>precipitation + applied effluent = evapotranspiration + percolation + runoff</w:t>
            </w:r>
          </w:p>
          <w:p w14:paraId="67411DDE" w14:textId="77777777" w:rsidR="007B6413" w:rsidRPr="003D07E7" w:rsidRDefault="007B6413" w:rsidP="007B6413">
            <w:pPr>
              <w:rPr>
                <w:i/>
              </w:rPr>
            </w:pPr>
            <w:r w:rsidRPr="003D07E7">
              <w:rPr>
                <w:i/>
              </w:rPr>
              <w:t>Where:</w:t>
            </w:r>
          </w:p>
          <w:p w14:paraId="4823AD42" w14:textId="77777777" w:rsidR="007B6413" w:rsidRPr="006D4B7C" w:rsidRDefault="007B6413" w:rsidP="007B6413">
            <w:r w:rsidRPr="003D07E7">
              <w:rPr>
                <w:b/>
                <w:bCs/>
              </w:rPr>
              <w:t>Precipitation</w:t>
            </w:r>
            <w:r w:rsidRPr="006D4B7C">
              <w:t xml:space="preserve"> refers to deposits of water, either in liquid or solid-form that reach the earth from the atmosphere; it can include rain, sleet, snow, hail, dew and frost. Generally, a water balance using mean monthly rainfall is appropriate for most domestic and small commercial developments; however, a higher monthly rainfall percentile (e.g. 70%), or a more detailed daily water balance may be required for more constrained sites, or if Council (or other authority) requires this approach. Climate data is available from the Bureau of Meteorology and its subsidiary agency Water and the Land (WATL), formerly SILO.</w:t>
            </w:r>
          </w:p>
          <w:p w14:paraId="1BBA8E20" w14:textId="77777777" w:rsidR="007B6413" w:rsidRPr="006D4B7C" w:rsidRDefault="007B6413" w:rsidP="007B6413">
            <w:r w:rsidRPr="006D4B7C">
              <w:rPr>
                <w:bCs/>
              </w:rPr>
              <w:t>Retained Rainfall</w:t>
            </w:r>
            <w:r w:rsidRPr="006D4B7C">
              <w:rPr>
                <w:b/>
                <w:bCs/>
              </w:rPr>
              <w:t xml:space="preserve"> </w:t>
            </w:r>
            <w:r w:rsidRPr="006D4B7C">
              <w:t>is the proportion of precipitation that is absorbed within the proposed land application area (as opposed to the proportion that is expected to run off). Vegetation cover, soil type and slope are major factors influencing the amount of rainfall retained. In order to ensure the system is adequately sized, it is appropriate to assume 75-100% retained rainfall for the LAA:</w:t>
            </w:r>
          </w:p>
          <w:p w14:paraId="5EEB3099" w14:textId="77777777" w:rsidR="007B6413" w:rsidRPr="006D4B7C" w:rsidRDefault="007B6413" w:rsidP="00C64902">
            <w:pPr>
              <w:pStyle w:val="ListParagraph"/>
              <w:numPr>
                <w:ilvl w:val="0"/>
                <w:numId w:val="15"/>
              </w:numPr>
            </w:pPr>
            <w:r w:rsidRPr="006D4B7C">
              <w:t>75% for trenches and beds with mounded surface</w:t>
            </w:r>
          </w:p>
          <w:p w14:paraId="7FB448A7" w14:textId="77777777" w:rsidR="007B6413" w:rsidRPr="006D4B7C" w:rsidRDefault="007B6413" w:rsidP="00C64902">
            <w:pPr>
              <w:pStyle w:val="ListParagraph"/>
              <w:numPr>
                <w:ilvl w:val="0"/>
                <w:numId w:val="15"/>
              </w:numPr>
            </w:pPr>
            <w:r w:rsidRPr="006D4B7C">
              <w:t>75% for irrigation areas with upslope stormwater diversion berm on land with greater than 5% slope; and</w:t>
            </w:r>
          </w:p>
          <w:p w14:paraId="42541E29" w14:textId="77777777" w:rsidR="007B6413" w:rsidRPr="006D4B7C" w:rsidRDefault="007B6413" w:rsidP="00C64902">
            <w:pPr>
              <w:pStyle w:val="ListParagraph"/>
              <w:numPr>
                <w:ilvl w:val="0"/>
                <w:numId w:val="15"/>
              </w:numPr>
            </w:pPr>
            <w:r w:rsidRPr="006D4B7C">
              <w:t>100% for irrigation areas without stormwater diversion berm or on flat ground.</w:t>
            </w:r>
          </w:p>
          <w:p w14:paraId="3015EF86" w14:textId="77777777" w:rsidR="007B6413" w:rsidRPr="006D4B7C" w:rsidRDefault="007B6413" w:rsidP="007B6413">
            <w:r w:rsidRPr="006D4B7C">
              <w:t>Fletcher et al. (2004) provides specific estimates for different regions.</w:t>
            </w:r>
          </w:p>
          <w:p w14:paraId="5492BF58" w14:textId="77777777" w:rsidR="007B6413" w:rsidRPr="006D4B7C" w:rsidRDefault="007B6413" w:rsidP="007B6413">
            <w:r w:rsidRPr="006D4B7C">
              <w:rPr>
                <w:b/>
                <w:bCs/>
              </w:rPr>
              <w:t>Evapotranspiration</w:t>
            </w:r>
            <w:r w:rsidRPr="006D4B7C">
              <w:t xml:space="preserve"> is the removal of water from soil by evaporation and by transpiration from plants. Monthly evapotranspiration is estimated to be a percentage of the monthly evaporation. This percentage is determined for a site by multiplying the mean monthly pan evaporation (from BoM or other data) by a ‘crop factor’ for the particular vegetation type on the site. The crop factor can vary, depending on the type of plant being grown, the climatic zone of the State where the irrigation area is placed, the time of the year and exposure of the site. Appropriate crop factors should be selected from EPA Publication 168, Webb (2010), FAO List of crop coefficients (1998), or Dilley &amp; Shepherd (1972).</w:t>
            </w:r>
          </w:p>
          <w:p w14:paraId="4231B888" w14:textId="132EB079" w:rsidR="007B6413" w:rsidRDefault="007B6413" w:rsidP="009E4853">
            <w:r w:rsidRPr="006D4B7C">
              <w:rPr>
                <w:b/>
                <w:bCs/>
              </w:rPr>
              <w:t>Percolation</w:t>
            </w:r>
            <w:r w:rsidRPr="006D4B7C">
              <w:t xml:space="preserve"> is the rate of drainage through the soil beneath the root zone and is controlled mainly by soil permeability (dependent on texture and structure), but also in part by slope, depth to groundwater and limiting layers. The DLR/DIR for the limiting soil layer (within 600 mm of the point of application) should be selected from Table 9 in the Code (2013). These DLRs/DIRs have broadly been determined to be sustainable for the long-term application of effluent to the land in terms of clogging and salt build-up in the soils. However, it may be more prudent to use a lower DLR/DIR if soil sodicity or other factors are likely to cause problems within the LAA over time.</w:t>
            </w:r>
          </w:p>
        </w:tc>
      </w:tr>
    </w:tbl>
    <w:p w14:paraId="53192D3D" w14:textId="77777777" w:rsidR="0043667C" w:rsidRDefault="0043667C" w:rsidP="007B6413">
      <w:pPr>
        <w:ind w:left="720"/>
      </w:pPr>
    </w:p>
    <w:p w14:paraId="20FCD280" w14:textId="1BA1F857" w:rsidR="00871A83" w:rsidRPr="00E34CC3" w:rsidRDefault="00871A83" w:rsidP="0043667C">
      <w:r w:rsidRPr="00E34CC3">
        <w:t xml:space="preserve">Formulae used in calculating water balances for irrigation systems and absorption trenches and beds systems are provided in Appendix 1. A software tool for sizing irrigation systems and trench / bed systems is </w:t>
      </w:r>
      <w:r w:rsidR="00E34CC3" w:rsidRPr="00E34CC3">
        <w:t>included with these guidelines.</w:t>
      </w:r>
    </w:p>
    <w:p w14:paraId="6EA09181" w14:textId="7349A074" w:rsidR="00871A83" w:rsidRPr="007B6413" w:rsidRDefault="00871A83" w:rsidP="0043667C">
      <w:pPr>
        <w:rPr>
          <w:rFonts w:cs="Arial"/>
          <w:i/>
          <w:sz w:val="20"/>
          <w:szCs w:val="20"/>
        </w:rPr>
      </w:pPr>
      <w:r w:rsidRPr="007B6413">
        <w:rPr>
          <w:rFonts w:cs="Arial"/>
          <w:i/>
          <w:sz w:val="20"/>
          <w:szCs w:val="20"/>
        </w:rPr>
        <w:t>Spreadsheet templates (for example using Excel) are the most straightforward and efficient method of undertaking water and</w:t>
      </w:r>
      <w:r w:rsidR="00E34CC3" w:rsidRPr="007B6413">
        <w:rPr>
          <w:rFonts w:cs="Arial"/>
          <w:i/>
          <w:sz w:val="20"/>
          <w:szCs w:val="20"/>
        </w:rPr>
        <w:t xml:space="preserve"> nutrient balance calculations.</w:t>
      </w:r>
    </w:p>
    <w:p w14:paraId="20FAF794" w14:textId="352AAFFF" w:rsidR="00871A83" w:rsidRPr="00456BD1" w:rsidRDefault="00456BD1" w:rsidP="00456BD1">
      <w:pPr>
        <w:rPr>
          <w:u w:val="single"/>
        </w:rPr>
      </w:pPr>
      <w:bookmarkStart w:id="173" w:name="_Toc378688096"/>
      <w:r>
        <w:rPr>
          <w:u w:val="single"/>
        </w:rPr>
        <w:t xml:space="preserve">4.6.7 </w:t>
      </w:r>
      <w:r w:rsidR="00871A83" w:rsidRPr="00456BD1">
        <w:rPr>
          <w:u w:val="single"/>
        </w:rPr>
        <w:t>Nutrient Balance</w:t>
      </w:r>
      <w:bookmarkEnd w:id="173"/>
    </w:p>
    <w:p w14:paraId="1C9FB067" w14:textId="351D387B" w:rsidR="00871A83" w:rsidRPr="006D4B7C" w:rsidRDefault="00871A83" w:rsidP="0043667C">
      <w:r w:rsidRPr="006D4B7C">
        <w:t>With respect to nutrients, this document gives so</w:t>
      </w:r>
      <w:r w:rsidR="00E34CC3">
        <w:t>le consideration to nitrogen.</w:t>
      </w:r>
    </w:p>
    <w:p w14:paraId="510C5E1F" w14:textId="2823AA1B" w:rsidR="00871A83" w:rsidRDefault="00871A83" w:rsidP="0043667C">
      <w:r w:rsidRPr="006D4B7C">
        <w:t>Within an efﬂuent application area, nutrients are removed by vegetation, chemical precipitation, soil adsorption, volatilisation, microbial digestion and leaching. Nutrient removal by vegetation occurs only during the active growth period of the vegetation, and varies greatly among different vegetation types. The effluent must be available to the root zone of the vegetation for nutrient uptake to occur and the nutrients must be bio-available. Harvesting plants (which may include mowing or pruning) and removing them from the site is required to maintain the nutrient uptake rate and export the nutrients. Nutrients retained in a standing crop, detritus, or residual humus must be regarded as potential reservoirs of soluble nitrogen on the site, although the contribution of organic carbon may en</w:t>
      </w:r>
      <w:r w:rsidR="00E34CC3">
        <w:t>sure their slow mineralisation.</w:t>
      </w:r>
    </w:p>
    <w:tbl>
      <w:tblPr>
        <w:tblStyle w:val="TableGrid"/>
        <w:tblW w:w="0" w:type="auto"/>
        <w:tblLook w:val="04A0" w:firstRow="1" w:lastRow="0" w:firstColumn="1" w:lastColumn="0" w:noHBand="0" w:noVBand="1"/>
      </w:tblPr>
      <w:tblGrid>
        <w:gridCol w:w="9576"/>
      </w:tblGrid>
      <w:tr w:rsidR="007B6413" w14:paraId="41D91AA8" w14:textId="77777777" w:rsidTr="007B6413">
        <w:tc>
          <w:tcPr>
            <w:tcW w:w="9576" w:type="dxa"/>
          </w:tcPr>
          <w:p w14:paraId="6C87E72A" w14:textId="77777777" w:rsidR="007B6413" w:rsidRPr="007B6413" w:rsidRDefault="007B6413" w:rsidP="007B6413">
            <w:pPr>
              <w:rPr>
                <w:b/>
              </w:rPr>
            </w:pPr>
            <w:r w:rsidRPr="007B6413">
              <w:rPr>
                <w:b/>
              </w:rPr>
              <w:t>Nutrient Balance Data Inputs</w:t>
            </w:r>
          </w:p>
          <w:p w14:paraId="34BC2B99" w14:textId="77777777" w:rsidR="007B6413" w:rsidRPr="006D4B7C" w:rsidRDefault="007B6413" w:rsidP="007B6413">
            <w:r w:rsidRPr="007B6413">
              <w:rPr>
                <w:b/>
              </w:rPr>
              <w:t>Nutrient concentrations in efﬂuent</w:t>
            </w:r>
            <w:r w:rsidRPr="006D4B7C">
              <w:t xml:space="preserve"> can have a signiﬁcant bearing on the output of a nutrient balance. Underestimating nutrient loads will reduce the validity of the results. Nutrient concentrations for systems that have been tested for nutrient reduction capacities can be obtained from the relevant EPA CA. Most treatment systems have not been tested for their nutrient reduction capacity. In the absence of system-specific data in the EPA Certificate of Approval, use the conservative value of 25mg/L Total Nitrogen from EPA Publication 464.2.</w:t>
            </w:r>
          </w:p>
          <w:p w14:paraId="31E1514B" w14:textId="77777777" w:rsidR="007B6413" w:rsidRPr="006D4B7C" w:rsidRDefault="007B6413" w:rsidP="007B6413">
            <w:r w:rsidRPr="007B6413">
              <w:rPr>
                <w:b/>
              </w:rPr>
              <w:t>Nitrogen lost to soil processes</w:t>
            </w:r>
            <w:r w:rsidRPr="006D4B7C">
              <w:t xml:space="preserve"> can be highly variable and should be conservatively estimated. Geary &amp; Gardner (1996) suggest approximately 20% of total nitrogen will be lost through mineralization, volatilization and denitriﬁcation in the soil when applying secondary treated efﬂuent.</w:t>
            </w:r>
          </w:p>
          <w:p w14:paraId="2BF87361" w14:textId="77777777" w:rsidR="007B6413" w:rsidRPr="006D4B7C" w:rsidRDefault="007B6413" w:rsidP="007B6413">
            <w:r w:rsidRPr="007B6413">
              <w:rPr>
                <w:b/>
              </w:rPr>
              <w:t>Crop nutrient</w:t>
            </w:r>
            <w:r w:rsidRPr="006D4B7C">
              <w:t xml:space="preserve"> uptake rates are another highly variable input. Where site speciﬁc data are not available reference should be made to the indicative uptake rates provided in Appendix F of EPA Publication 464.2 (2003) and </w:t>
            </w:r>
            <w:r w:rsidRPr="006D4B7C">
              <w:rPr>
                <w:iCs/>
              </w:rPr>
              <w:t>Publication 168</w:t>
            </w:r>
            <w:r w:rsidRPr="006D4B7C">
              <w:t xml:space="preserve"> (1991). Conservative ﬁgures should be used.</w:t>
            </w:r>
          </w:p>
          <w:p w14:paraId="3FC34920" w14:textId="5FE122D0" w:rsidR="007B6413" w:rsidRPr="007B6413" w:rsidRDefault="007B6413" w:rsidP="007B6413">
            <w:r w:rsidRPr="007B6413">
              <w:rPr>
                <w:b/>
              </w:rPr>
              <w:t>Depth of soil</w:t>
            </w:r>
            <w:r w:rsidRPr="006D4B7C">
              <w:t xml:space="preserve"> can have a signiﬁcant impact on the nutrient balance and must be determined through a detail</w:t>
            </w:r>
            <w:r>
              <w:t>ed site and soil investigation.</w:t>
            </w:r>
          </w:p>
        </w:tc>
      </w:tr>
    </w:tbl>
    <w:p w14:paraId="77C54008" w14:textId="2FC0E079" w:rsidR="00871A83" w:rsidRPr="007B6413" w:rsidRDefault="00871A83" w:rsidP="007B6413">
      <w:pPr>
        <w:rPr>
          <w:i/>
          <w:sz w:val="20"/>
        </w:rPr>
      </w:pPr>
      <w:r w:rsidRPr="007B6413">
        <w:rPr>
          <w:i/>
          <w:sz w:val="20"/>
        </w:rPr>
        <w:t>Formulae used in calculating a nutrient (nitrogen) balance for irrigation systems are provided in Appendix 2. A software tool for sizing irrigation systems and trench / bed systems is included with these guidelines.</w:t>
      </w:r>
    </w:p>
    <w:p w14:paraId="65E58190" w14:textId="77777777" w:rsidR="00456BD1" w:rsidRDefault="00456BD1">
      <w:pPr>
        <w:spacing w:after="0" w:line="240" w:lineRule="auto"/>
        <w:rPr>
          <w:u w:val="single"/>
        </w:rPr>
      </w:pPr>
      <w:bookmarkStart w:id="174" w:name="_Toc378688097"/>
      <w:r>
        <w:rPr>
          <w:u w:val="single"/>
        </w:rPr>
        <w:br w:type="page"/>
      </w:r>
    </w:p>
    <w:p w14:paraId="65367CC6" w14:textId="6838CB8B" w:rsidR="00871A83" w:rsidRPr="00456BD1" w:rsidRDefault="00456BD1" w:rsidP="00456BD1">
      <w:pPr>
        <w:rPr>
          <w:u w:val="single"/>
        </w:rPr>
      </w:pPr>
      <w:r>
        <w:rPr>
          <w:u w:val="single"/>
        </w:rPr>
        <w:lastRenderedPageBreak/>
        <w:t xml:space="preserve">4.6.8 </w:t>
      </w:r>
      <w:r w:rsidR="00871A83" w:rsidRPr="00456BD1">
        <w:rPr>
          <w:u w:val="single"/>
        </w:rPr>
        <w:t>Sodium and other salts</w:t>
      </w:r>
      <w:bookmarkEnd w:id="174"/>
    </w:p>
    <w:p w14:paraId="7FEFF5C0" w14:textId="0706DEA6" w:rsidR="00871A83" w:rsidRPr="006D4B7C" w:rsidRDefault="00871A83" w:rsidP="0043667C">
      <w:r w:rsidRPr="006D4B7C">
        <w:t>The Code (2013) stresses the importance of understanding salt loads in treated wastewater and greywater and how these can build up in the soil over time. It is important to reduce the amount of salts (including but not limited to sodium) entering the wastewater stream. The most effective way to do this is to select detergents and cleaning agents that are low in salts (commonly used as fillers in powder detergents). Details of salt contents of detergents can be found on the Lanfax Laboratorie</w:t>
      </w:r>
      <w:r w:rsidR="00E34CC3">
        <w:t>s website (see reference list).</w:t>
      </w:r>
    </w:p>
    <w:p w14:paraId="12A5133C" w14:textId="43DC401B" w:rsidR="00871A83" w:rsidRPr="006D4B7C" w:rsidRDefault="00871A83" w:rsidP="0043667C">
      <w:r w:rsidRPr="006D4B7C">
        <w:t>However, the DLRs/DIRs for effluent management systems in Table 9 of the Code (2013) are assumed to be adequate to limit salt accumulation in the LAA soil and to allow for adequate flushing by natural rainfall and runoff percolation. It is important that the existing salinity (EC) and sodicity of the LAA soils are well understood when designing the system, as mitigation measures (such as application of gypsum or imp</w:t>
      </w:r>
      <w:r w:rsidR="00E34CC3">
        <w:t>orted topsoil) may be required.</w:t>
      </w:r>
    </w:p>
    <w:p w14:paraId="5CF243CB" w14:textId="1358BB4B" w:rsidR="00871A83" w:rsidRPr="006D4B7C" w:rsidRDefault="00871A83" w:rsidP="0043667C">
      <w:r w:rsidRPr="006D4B7C">
        <w:t>Appendix G of the Code (2013) provides guidance for LCA assessors in determining the total dissolved solids (TDS) content, including salts, of water supplied to the allotment. Household contributions to wastewater salinity may vary from 60 mg/L to 140 mg/L and TDS concentrations of more than 500 mg/L are likely to be problematic for soil structure and plant growth. The Code (2013) recommends that treated effluent and/or greywater should be tested annually for EC and Sodium Absorption Ratio (SAR). In order to prevent soil degradation, mitigation measures such as salt reduction in the wastewater stream and application of gypsum to the LAA and surrounding soils may be required</w:t>
      </w:r>
      <w:r w:rsidR="00E34CC3">
        <w:t>.</w:t>
      </w:r>
    </w:p>
    <w:p w14:paraId="551FB5FC" w14:textId="77777777" w:rsidR="00871A83" w:rsidRPr="006D4B7C" w:rsidRDefault="00871A83" w:rsidP="0043667C">
      <w:r w:rsidRPr="006D4B7C">
        <w:t>Additional guidance on salinity and salt tolerant plants can also be found in Appendix G of EPA Publication 464.2 (2003).</w:t>
      </w:r>
    </w:p>
    <w:p w14:paraId="3C956C53" w14:textId="31722507" w:rsidR="00871A83" w:rsidRPr="00456BD1" w:rsidRDefault="00456BD1" w:rsidP="00456BD1">
      <w:pPr>
        <w:rPr>
          <w:u w:val="single"/>
        </w:rPr>
      </w:pPr>
      <w:bookmarkStart w:id="175" w:name="_Toc378688098"/>
      <w:r>
        <w:rPr>
          <w:u w:val="single"/>
        </w:rPr>
        <w:t xml:space="preserve">4.6.9 </w:t>
      </w:r>
      <w:r w:rsidR="00871A83" w:rsidRPr="00456BD1">
        <w:rPr>
          <w:u w:val="single"/>
        </w:rPr>
        <w:t>Effluent Management System Configuration and Layout</w:t>
      </w:r>
      <w:bookmarkEnd w:id="175"/>
    </w:p>
    <w:p w14:paraId="27D0AF45" w14:textId="3942C1B9" w:rsidR="00871A83" w:rsidRPr="006D4B7C" w:rsidRDefault="00871A83" w:rsidP="0043667C">
      <w:r w:rsidRPr="006D4B7C">
        <w:t>The configuration and layout of the effluent management system will be based on the results of the site and soil assessment and the land capability assessment, taking into consideration optimum placement of other site improvements such as buildings. Generally, the optimum position of the LAA is determined in the field, and configured on a detailed, scaled site plan. Where possible, LAAs should be located in areas where they are least likely to be disturbed, to prevent damage to the system by human a</w:t>
      </w:r>
      <w:r w:rsidR="00E34CC3">
        <w:t>nd animal access.</w:t>
      </w:r>
    </w:p>
    <w:p w14:paraId="45FCAD28" w14:textId="510EABD9" w:rsidR="00871A83" w:rsidRPr="006D4B7C" w:rsidRDefault="00871A83" w:rsidP="0043667C">
      <w:r w:rsidRPr="006D4B7C">
        <w:t>Specifications for effluent management systems, such as: dimensions of trenches, beds or mounds; depth of irrigation lines; proposed vegetation cover; and so on, should be determined. LAAs should be vegetated immediately following installation to prevent soil erosion, and the vegetation should be maintained. If the premises will not to be occupied immediately following construction the LAA, it may be necessary to water the LAA to maintain vegetation.</w:t>
      </w:r>
    </w:p>
    <w:p w14:paraId="098BA742" w14:textId="77777777" w:rsidR="00871A83" w:rsidRPr="006D4B7C" w:rsidRDefault="00871A83" w:rsidP="0043667C">
      <w:r w:rsidRPr="006D4B7C">
        <w:t>For effluent irrigation systems, it is recommended that areas larger than 400 m</w:t>
      </w:r>
      <w:r w:rsidRPr="006D4B7C">
        <w:rPr>
          <w:vertAlign w:val="superscript"/>
        </w:rPr>
        <w:t>2</w:t>
      </w:r>
      <w:r w:rsidRPr="006D4B7C">
        <w:t xml:space="preserve"> are divided into equal-sized, separately dosed sub-zones using a sequencing valve, in order to ensure even distribution of effluent over the entire area. Vacuum breakers and flushing valves must be included in the system design of pressure-compensating sub-surface irrigation systems, and the pump must be adequately sized to ensure even delivery to all of the LAA.</w:t>
      </w:r>
    </w:p>
    <w:p w14:paraId="4D9C4CA4" w14:textId="3726516B" w:rsidR="00871A83" w:rsidRPr="00456BD1" w:rsidRDefault="00734469" w:rsidP="00456BD1">
      <w:pPr>
        <w:rPr>
          <w:u w:val="single"/>
        </w:rPr>
      </w:pPr>
      <w:bookmarkStart w:id="176" w:name="_Toc378688099"/>
      <w:r>
        <w:rPr>
          <w:u w:val="single"/>
        </w:rPr>
        <w:lastRenderedPageBreak/>
        <w:t xml:space="preserve">4.6.10 </w:t>
      </w:r>
      <w:r w:rsidR="00871A83" w:rsidRPr="00456BD1">
        <w:rPr>
          <w:u w:val="single"/>
        </w:rPr>
        <w:t>Mitigation Measures (if Required)</w:t>
      </w:r>
      <w:bookmarkEnd w:id="176"/>
    </w:p>
    <w:p w14:paraId="00351C3A" w14:textId="77777777" w:rsidR="00871A83" w:rsidRPr="006D4B7C" w:rsidRDefault="00871A83" w:rsidP="0043667C">
      <w:r w:rsidRPr="006D4B7C">
        <w:t>This information may be required for sites or LAAs requiring specific measures to mitigate observed constraints, usually prior to or during installation/construction of the effluent management system. Examples of mitigation measures include (but are not limited to):</w:t>
      </w:r>
    </w:p>
    <w:p w14:paraId="10889F16" w14:textId="77777777" w:rsidR="00871A83" w:rsidRPr="006D4B7C" w:rsidRDefault="00871A83" w:rsidP="0043667C">
      <w:pPr>
        <w:pStyle w:val="ListParagraph"/>
        <w:numPr>
          <w:ilvl w:val="0"/>
          <w:numId w:val="16"/>
        </w:numPr>
        <w:ind w:left="354"/>
      </w:pPr>
      <w:r w:rsidRPr="006D4B7C">
        <w:t>Terracing for steep slopes;</w:t>
      </w:r>
    </w:p>
    <w:p w14:paraId="644BC371" w14:textId="77777777" w:rsidR="00871A83" w:rsidRPr="006D4B7C" w:rsidRDefault="00871A83" w:rsidP="0043667C">
      <w:pPr>
        <w:pStyle w:val="ListParagraph"/>
        <w:numPr>
          <w:ilvl w:val="0"/>
          <w:numId w:val="16"/>
        </w:numPr>
        <w:ind w:left="354"/>
      </w:pPr>
      <w:r w:rsidRPr="006D4B7C">
        <w:t>Imported topsoil fill to increase soil quality and depth;</w:t>
      </w:r>
    </w:p>
    <w:p w14:paraId="4995B3F4" w14:textId="77777777" w:rsidR="00871A83" w:rsidRPr="006D4B7C" w:rsidRDefault="00871A83" w:rsidP="0043667C">
      <w:pPr>
        <w:pStyle w:val="ListParagraph"/>
        <w:numPr>
          <w:ilvl w:val="0"/>
          <w:numId w:val="16"/>
        </w:numPr>
        <w:ind w:left="354"/>
      </w:pPr>
      <w:r w:rsidRPr="006D4B7C">
        <w:t>Application of gypsum or lime to improve soil condition;</w:t>
      </w:r>
    </w:p>
    <w:p w14:paraId="0F2564E5" w14:textId="77777777" w:rsidR="00871A83" w:rsidRPr="006D4B7C" w:rsidRDefault="00871A83" w:rsidP="0043667C">
      <w:pPr>
        <w:pStyle w:val="ListParagraph"/>
        <w:numPr>
          <w:ilvl w:val="0"/>
          <w:numId w:val="16"/>
        </w:numPr>
        <w:ind w:left="354"/>
      </w:pPr>
      <w:r w:rsidRPr="006D4B7C">
        <w:t>Construction of stormwater diversion berms or swales upslope of the LAA;</w:t>
      </w:r>
    </w:p>
    <w:p w14:paraId="289C6315" w14:textId="77777777" w:rsidR="00871A83" w:rsidRPr="006D4B7C" w:rsidRDefault="00871A83" w:rsidP="0043667C">
      <w:pPr>
        <w:pStyle w:val="ListParagraph"/>
        <w:numPr>
          <w:ilvl w:val="0"/>
          <w:numId w:val="16"/>
        </w:numPr>
        <w:ind w:left="354"/>
      </w:pPr>
      <w:r w:rsidRPr="006D4B7C">
        <w:t>Flood mitigation – such as installing seals, access risers and backflow prevention devices on treatment systems (in accordance with manufacturers’ requirements), raising or bunding LAAs;</w:t>
      </w:r>
    </w:p>
    <w:p w14:paraId="1291F7D2" w14:textId="77777777" w:rsidR="00871A83" w:rsidRPr="006D4B7C" w:rsidRDefault="00871A83" w:rsidP="0043667C">
      <w:pPr>
        <w:pStyle w:val="ListParagraph"/>
        <w:numPr>
          <w:ilvl w:val="0"/>
          <w:numId w:val="16"/>
        </w:numPr>
        <w:ind w:left="354"/>
      </w:pPr>
      <w:r w:rsidRPr="006D4B7C">
        <w:t>Ripping of compacted or low-permeability soils (particularly for mound systems)</w:t>
      </w:r>
    </w:p>
    <w:p w14:paraId="04DCE8F1" w14:textId="77777777" w:rsidR="00871A83" w:rsidRPr="006D4B7C" w:rsidRDefault="00871A83" w:rsidP="0043667C">
      <w:pPr>
        <w:pStyle w:val="ListParagraph"/>
        <w:numPr>
          <w:ilvl w:val="0"/>
          <w:numId w:val="16"/>
        </w:numPr>
        <w:ind w:left="354"/>
      </w:pPr>
      <w:r w:rsidRPr="006D4B7C">
        <w:t>Vegetation clearing over LAA; and</w:t>
      </w:r>
    </w:p>
    <w:p w14:paraId="29E11B20" w14:textId="77777777" w:rsidR="00871A83" w:rsidRPr="006D4B7C" w:rsidRDefault="00871A83" w:rsidP="0043667C">
      <w:pPr>
        <w:pStyle w:val="ListParagraph"/>
        <w:numPr>
          <w:ilvl w:val="0"/>
          <w:numId w:val="16"/>
        </w:numPr>
        <w:ind w:left="354"/>
      </w:pPr>
      <w:r w:rsidRPr="006D4B7C">
        <w:t>Manual removal of coarse rock fragments or unsuitable fill materials.</w:t>
      </w:r>
    </w:p>
    <w:p w14:paraId="3BDA6F98" w14:textId="0C59E4DE" w:rsidR="00871A83" w:rsidRPr="00734469" w:rsidRDefault="00734469" w:rsidP="00734469">
      <w:pPr>
        <w:rPr>
          <w:u w:val="single"/>
        </w:rPr>
      </w:pPr>
      <w:bookmarkStart w:id="177" w:name="_Toc378688100"/>
      <w:r>
        <w:rPr>
          <w:u w:val="single"/>
        </w:rPr>
        <w:t xml:space="preserve">4.6.11 </w:t>
      </w:r>
      <w:r w:rsidR="00871A83" w:rsidRPr="00734469">
        <w:rPr>
          <w:u w:val="single"/>
        </w:rPr>
        <w:t>Management of the System</w:t>
      </w:r>
      <w:bookmarkEnd w:id="177"/>
    </w:p>
    <w:p w14:paraId="45F7F34F" w14:textId="77777777" w:rsidR="00871A83" w:rsidRPr="006D4B7C" w:rsidRDefault="00871A83" w:rsidP="0043667C">
      <w:r w:rsidRPr="006D4B7C">
        <w:t>Operation and maintenance requirements vary markedly between different treatment and effluent disposal/reuse systems. Proprietary treatment systems have conditions written into their CA which mandates servicing requirements (particularly frequency). Ongoing management of effluent disposal and reuse systems is usually less well-defined, and often left to the discretion of the owner. It is important that the operation, maintenance and any monitoring requirements of all aspects of the onsite wastewater systems are clearly understood and discussed with the property owner when finalising the system design.</w:t>
      </w:r>
    </w:p>
    <w:p w14:paraId="543DF66A" w14:textId="274A117F" w:rsidR="00871A83" w:rsidRPr="00734469" w:rsidRDefault="00734469" w:rsidP="00734469">
      <w:pPr>
        <w:rPr>
          <w:u w:val="single"/>
        </w:rPr>
      </w:pPr>
      <w:bookmarkStart w:id="178" w:name="_Toc378688101"/>
      <w:r>
        <w:rPr>
          <w:u w:val="single"/>
        </w:rPr>
        <w:t xml:space="preserve">4.6.12 </w:t>
      </w:r>
      <w:r w:rsidR="00871A83" w:rsidRPr="00734469">
        <w:rPr>
          <w:u w:val="single"/>
        </w:rPr>
        <w:t>Reporting</w:t>
      </w:r>
      <w:bookmarkEnd w:id="178"/>
    </w:p>
    <w:p w14:paraId="261295DE" w14:textId="47E2786B" w:rsidR="00871A83" w:rsidRPr="006D4B7C" w:rsidRDefault="00871A83" w:rsidP="0043667C">
      <w:r w:rsidRPr="006D4B7C">
        <w:t>The LCA report should contain clear, sub-headed sections dealing with the key elements of the proposed onsite wastewater management system, such as those listed above (the wording of headings is less important than the completeness and clarity of information presented). The report should also reference information that has been used to justify the Assessor’s decisions and recommendations.</w:t>
      </w:r>
    </w:p>
    <w:p w14:paraId="18574DD4" w14:textId="6A77BFD4" w:rsidR="00871A83" w:rsidRPr="006D4B7C" w:rsidRDefault="00871A83" w:rsidP="0043667C">
      <w:r w:rsidRPr="006D4B7C">
        <w:t>Language should be concise and easy to understand, while clearly explaining all of the technical aspects of the onsite wastewater system selection, design, constraint mitigation (if required) and management. Individual styles will vary between consultants; the important thing is that reports can be clearly understood by the property owner, relevant tradespeople, Council and other authorities as required. If any items recommended in Section 3.6 of the Code (2013) are omitted, an explanation as to why those items are not consid</w:t>
      </w:r>
      <w:r w:rsidR="00E34CC3">
        <w:t>ered relevant must be provided.</w:t>
      </w:r>
    </w:p>
    <w:p w14:paraId="68518C2A" w14:textId="77777777" w:rsidR="00871A83" w:rsidRPr="006D4B7C" w:rsidRDefault="00871A83" w:rsidP="0043667C">
      <w:r w:rsidRPr="006D4B7C">
        <w:t xml:space="preserve">The report should contain specific directions for the installation, operation and maintenance of the wastewater treatment and effluent management systems (Site Operation and Management Plan), in accordance with the system design (including any mitigation measures). In addition, it </w:t>
      </w:r>
      <w:r w:rsidRPr="006D4B7C">
        <w:lastRenderedPageBreak/>
        <w:t>should give more generic instructions common to most onsite wastewater systems; including but not limited to:</w:t>
      </w:r>
    </w:p>
    <w:p w14:paraId="1B7B1268" w14:textId="77777777" w:rsidR="00871A83" w:rsidRPr="006D4B7C" w:rsidRDefault="00871A83" w:rsidP="0043667C">
      <w:pPr>
        <w:pStyle w:val="ListParagraph"/>
        <w:numPr>
          <w:ilvl w:val="0"/>
          <w:numId w:val="17"/>
        </w:numPr>
        <w:ind w:left="354"/>
      </w:pPr>
      <w:r w:rsidRPr="006D4B7C">
        <w:t>LAA should only be installed when a constant wastewater supply is available, otherwise the vegetation cover is unlikely to survive;</w:t>
      </w:r>
    </w:p>
    <w:p w14:paraId="5B7DEFE1" w14:textId="77777777" w:rsidR="00871A83" w:rsidRPr="006D4B7C" w:rsidRDefault="00871A83" w:rsidP="0043667C">
      <w:pPr>
        <w:pStyle w:val="ListParagraph"/>
        <w:numPr>
          <w:ilvl w:val="0"/>
          <w:numId w:val="17"/>
        </w:numPr>
        <w:ind w:left="354"/>
      </w:pPr>
      <w:r w:rsidRPr="006D4B7C">
        <w:t>LAAs must be vegetated immediately following installation (preferably with turf); it may be necessary to water the vegetation if occupancy is not immediate;</w:t>
      </w:r>
    </w:p>
    <w:p w14:paraId="09686B40" w14:textId="77777777" w:rsidR="00871A83" w:rsidRPr="006D4B7C" w:rsidRDefault="00871A83" w:rsidP="0043667C">
      <w:pPr>
        <w:pStyle w:val="ListParagraph"/>
        <w:numPr>
          <w:ilvl w:val="0"/>
          <w:numId w:val="17"/>
        </w:numPr>
        <w:ind w:left="354"/>
      </w:pPr>
      <w:r w:rsidRPr="006D4B7C">
        <w:t>Vegetation within the irrigation area should be regularly cut (mown) and removed from the area to maintain nutrient budgets;</w:t>
      </w:r>
    </w:p>
    <w:p w14:paraId="05E727EE" w14:textId="77777777" w:rsidR="00871A83" w:rsidRPr="006D4B7C" w:rsidRDefault="00871A83" w:rsidP="0043667C">
      <w:pPr>
        <w:pStyle w:val="ListParagraph"/>
        <w:numPr>
          <w:ilvl w:val="0"/>
          <w:numId w:val="17"/>
        </w:numPr>
        <w:ind w:left="354"/>
      </w:pPr>
      <w:r w:rsidRPr="006D4B7C">
        <w:t>Signs must be erected to inform householders and visitors of the proximity of the LAA and to limit their access and impact on the area;</w:t>
      </w:r>
    </w:p>
    <w:p w14:paraId="0FF39959" w14:textId="77777777" w:rsidR="00871A83" w:rsidRPr="006D4B7C" w:rsidRDefault="00871A83" w:rsidP="0043667C">
      <w:pPr>
        <w:pStyle w:val="ListParagraph"/>
        <w:numPr>
          <w:ilvl w:val="0"/>
          <w:numId w:val="17"/>
        </w:numPr>
        <w:ind w:left="354"/>
      </w:pPr>
      <w:r w:rsidRPr="006D4B7C">
        <w:t>The LAA should be fenced or otherwise isolated (such as by landscaping), to prevent vehicle and stock access to the area;</w:t>
      </w:r>
    </w:p>
    <w:p w14:paraId="0F4EB48A" w14:textId="77777777" w:rsidR="00871A83" w:rsidRPr="006D4B7C" w:rsidRDefault="00871A83" w:rsidP="0043667C">
      <w:pPr>
        <w:pStyle w:val="ListParagraph"/>
        <w:numPr>
          <w:ilvl w:val="0"/>
          <w:numId w:val="17"/>
        </w:numPr>
        <w:ind w:left="354"/>
      </w:pPr>
      <w:r w:rsidRPr="006D4B7C">
        <w:t>Stormwater run-on must be prevented from flowing over the LAA or from seeping from upslope and diverted away from the LAA;</w:t>
      </w:r>
    </w:p>
    <w:p w14:paraId="5970D75E" w14:textId="77777777" w:rsidR="00871A83" w:rsidRPr="006D4B7C" w:rsidRDefault="00871A83" w:rsidP="0043667C">
      <w:pPr>
        <w:pStyle w:val="ListParagraph"/>
        <w:numPr>
          <w:ilvl w:val="0"/>
          <w:numId w:val="17"/>
        </w:numPr>
        <w:ind w:left="354"/>
      </w:pPr>
      <w:r w:rsidRPr="006D4B7C">
        <w:t>Other property improvements (such as paving, driveways, sheds, fences, utility trenches, play equipment) must not be built over or encroach upon the LAA;</w:t>
      </w:r>
    </w:p>
    <w:p w14:paraId="590304B1" w14:textId="77777777" w:rsidR="00871A83" w:rsidRPr="006D4B7C" w:rsidRDefault="00871A83" w:rsidP="0043667C">
      <w:pPr>
        <w:pStyle w:val="ListParagraph"/>
        <w:numPr>
          <w:ilvl w:val="0"/>
          <w:numId w:val="17"/>
        </w:numPr>
        <w:ind w:left="354"/>
      </w:pPr>
      <w:r w:rsidRPr="006D4B7C">
        <w:t>Details of the minimum setback distances from all features are listed in Table 5 of the Code (2013). Based on Council’s local knowledge, a comprehensive LCA undertaken in accordance with this LCA Framework and a monthly water balance, Council may either:</w:t>
      </w:r>
    </w:p>
    <w:p w14:paraId="63D7E872" w14:textId="77777777" w:rsidR="00871A83" w:rsidRPr="006D4B7C" w:rsidRDefault="00871A83" w:rsidP="0043667C">
      <w:pPr>
        <w:pStyle w:val="ListParagraph"/>
        <w:numPr>
          <w:ilvl w:val="0"/>
          <w:numId w:val="18"/>
        </w:numPr>
        <w:ind w:left="714"/>
      </w:pPr>
      <w:r w:rsidRPr="006D4B7C">
        <w:t>increase setback distances if there is an increased risk to public health and/or the environment; or</w:t>
      </w:r>
    </w:p>
    <w:p w14:paraId="6CFD37B3" w14:textId="77777777" w:rsidR="00871A83" w:rsidRPr="006D4B7C" w:rsidRDefault="00871A83" w:rsidP="0043667C">
      <w:pPr>
        <w:pStyle w:val="ListParagraph"/>
        <w:numPr>
          <w:ilvl w:val="0"/>
          <w:numId w:val="18"/>
        </w:numPr>
        <w:ind w:left="714"/>
      </w:pPr>
      <w:r w:rsidRPr="006D4B7C">
        <w:t>reduce setback distances in non-potable water supply catchments where it considers that risk to public health and the environment is negligible;</w:t>
      </w:r>
    </w:p>
    <w:p w14:paraId="494EC982" w14:textId="77777777" w:rsidR="00871A83" w:rsidRPr="006D4B7C" w:rsidRDefault="00871A83" w:rsidP="0043667C">
      <w:pPr>
        <w:pStyle w:val="ListParagraph"/>
        <w:numPr>
          <w:ilvl w:val="0"/>
          <w:numId w:val="19"/>
        </w:numPr>
        <w:ind w:left="360"/>
      </w:pPr>
      <w:r w:rsidRPr="006D4B7C">
        <w:t>Details of the system servicing frequency (as per the CA) and/or requirement for a service agreement; and</w:t>
      </w:r>
    </w:p>
    <w:p w14:paraId="6E956740" w14:textId="77777777" w:rsidR="00871A83" w:rsidRPr="006D4B7C" w:rsidRDefault="00871A83" w:rsidP="0043667C">
      <w:pPr>
        <w:pStyle w:val="ListParagraph"/>
        <w:numPr>
          <w:ilvl w:val="0"/>
          <w:numId w:val="19"/>
        </w:numPr>
        <w:ind w:left="360"/>
      </w:pPr>
      <w:r w:rsidRPr="006D4B7C">
        <w:t>Recommended or required monitoring regimes for the treatment system or effluent management system.</w:t>
      </w:r>
    </w:p>
    <w:p w14:paraId="79EF69B1" w14:textId="1EFDF0C5" w:rsidR="00871A83" w:rsidRPr="006D4B7C" w:rsidRDefault="00871A83" w:rsidP="007B6413">
      <w:r w:rsidRPr="006D4B7C">
        <w:t>The text of the report should refer to the detailed site plan which shows the layout of the proposed land application area, with features such as setback buffers and stormwater management structures clearly shown and labelled (or included in a legend). Requirements for the site plan ar</w:t>
      </w:r>
      <w:r w:rsidR="00E34CC3">
        <w:t>e discussed in Section 6 below.</w:t>
      </w:r>
    </w:p>
    <w:p w14:paraId="28E73C2B" w14:textId="20AB574C" w:rsidR="00871A83" w:rsidRPr="006D4B7C" w:rsidRDefault="00871A83" w:rsidP="007B6413">
      <w:r w:rsidRPr="006D4B7C">
        <w:t xml:space="preserve">The report should also contain a separate Conclusion, or alternatively an Executive Summary, that summarises the key findings and recommendations of the report, for easy reference by the client, the regulator, the installer and other stakeholders. All assumptions (such as water conservation fixtures) and design requirements should be clearly identified throughout </w:t>
      </w:r>
      <w:r w:rsidR="00E34CC3">
        <w:t>the report.</w:t>
      </w:r>
    </w:p>
    <w:p w14:paraId="65E66981" w14:textId="14A96B6B" w:rsidR="00871A83" w:rsidRPr="006D4B7C" w:rsidRDefault="00871A83" w:rsidP="007B6413">
      <w:r w:rsidRPr="006D4B7C">
        <w:t>Detailed technical information, soil borelogs, test results, modelling outputs and so on should be included a</w:t>
      </w:r>
      <w:r w:rsidR="00E34CC3">
        <w:t>s appendices to the LCA report.</w:t>
      </w:r>
    </w:p>
    <w:p w14:paraId="58890B32" w14:textId="77777777" w:rsidR="00734469" w:rsidRDefault="00734469">
      <w:pPr>
        <w:spacing w:after="0" w:line="240" w:lineRule="auto"/>
        <w:rPr>
          <w:rFonts w:eastAsia="Times New Roman" w:cs="Arial"/>
          <w:b/>
          <w:bCs/>
          <w:szCs w:val="26"/>
        </w:rPr>
      </w:pPr>
      <w:bookmarkStart w:id="179" w:name="_Toc377562442"/>
      <w:bookmarkStart w:id="180" w:name="_Toc378688102"/>
      <w:r>
        <w:br w:type="page"/>
      </w:r>
    </w:p>
    <w:p w14:paraId="347E0B02" w14:textId="2C767C3D" w:rsidR="00871A83" w:rsidRPr="00E34CC3" w:rsidRDefault="00456BD1" w:rsidP="0043667C">
      <w:pPr>
        <w:pStyle w:val="Heading2"/>
        <w:ind w:left="0"/>
      </w:pPr>
      <w:r>
        <w:lastRenderedPageBreak/>
        <w:t xml:space="preserve">4.7 </w:t>
      </w:r>
      <w:r w:rsidR="00871A83" w:rsidRPr="00D1198B">
        <w:t>Prepare</w:t>
      </w:r>
      <w:r w:rsidR="00871A83" w:rsidRPr="006D4B7C">
        <w:t xml:space="preserve"> a Detailed Site Plan</w:t>
      </w:r>
      <w:bookmarkEnd w:id="179"/>
      <w:bookmarkEnd w:id="180"/>
    </w:p>
    <w:p w14:paraId="6279142E" w14:textId="546B1E4E" w:rsidR="00871A83" w:rsidRPr="00D1198B" w:rsidRDefault="00734469" w:rsidP="0043667C">
      <w:pPr>
        <w:rPr>
          <w:u w:val="single"/>
        </w:rPr>
      </w:pPr>
      <w:r>
        <w:rPr>
          <w:u w:val="single"/>
        </w:rPr>
        <w:t xml:space="preserve">4.7.1 </w:t>
      </w:r>
      <w:r w:rsidR="00871A83" w:rsidRPr="00D1198B">
        <w:rPr>
          <w:u w:val="single"/>
        </w:rPr>
        <w:t>Method</w:t>
      </w:r>
    </w:p>
    <w:p w14:paraId="5A081B5A" w14:textId="77777777" w:rsidR="00871A83" w:rsidRPr="006D4B7C" w:rsidRDefault="00871A83" w:rsidP="0043667C">
      <w:r w:rsidRPr="006D4B7C">
        <w:t>The Code (2013) specifies a list of components that could be included in the site plan, where relevant. The level of detail required in the site plan depends on the complexity of the system design and the level of constraint of the site. As a minimum, the site plan should show the following:</w:t>
      </w:r>
    </w:p>
    <w:p w14:paraId="040E2217" w14:textId="77777777" w:rsidR="00871A83" w:rsidRPr="006D4B7C" w:rsidRDefault="00871A83" w:rsidP="0043667C">
      <w:pPr>
        <w:pStyle w:val="ListParagraph"/>
        <w:numPr>
          <w:ilvl w:val="0"/>
          <w:numId w:val="20"/>
        </w:numPr>
        <w:ind w:left="354"/>
      </w:pPr>
      <w:r w:rsidRPr="006D4B7C">
        <w:t>Site address;</w:t>
      </w:r>
    </w:p>
    <w:p w14:paraId="2D3E9064" w14:textId="77777777" w:rsidR="00871A83" w:rsidRPr="006D4B7C" w:rsidRDefault="00871A83" w:rsidP="0043667C">
      <w:pPr>
        <w:pStyle w:val="ListParagraph"/>
        <w:numPr>
          <w:ilvl w:val="0"/>
          <w:numId w:val="20"/>
        </w:numPr>
        <w:ind w:left="354"/>
      </w:pPr>
      <w:r w:rsidRPr="006D4B7C">
        <w:t>Lot boundaries;</w:t>
      </w:r>
    </w:p>
    <w:p w14:paraId="54362378" w14:textId="77777777" w:rsidR="00871A83" w:rsidRPr="006D4B7C" w:rsidRDefault="00871A83" w:rsidP="0043667C">
      <w:pPr>
        <w:pStyle w:val="ListParagraph"/>
        <w:numPr>
          <w:ilvl w:val="0"/>
          <w:numId w:val="20"/>
        </w:numPr>
        <w:ind w:left="354"/>
      </w:pPr>
      <w:r w:rsidRPr="006D4B7C">
        <w:t>Waterways, drainage lines and dams on the site and neighbouring properties;</w:t>
      </w:r>
    </w:p>
    <w:p w14:paraId="3BFB95F3" w14:textId="77777777" w:rsidR="00871A83" w:rsidRPr="006D4B7C" w:rsidRDefault="00871A83" w:rsidP="0043667C">
      <w:pPr>
        <w:pStyle w:val="ListParagraph"/>
        <w:numPr>
          <w:ilvl w:val="0"/>
          <w:numId w:val="20"/>
        </w:numPr>
        <w:ind w:left="354"/>
      </w:pPr>
      <w:r w:rsidRPr="006D4B7C">
        <w:t>Nearest road;</w:t>
      </w:r>
    </w:p>
    <w:p w14:paraId="3DB45F92" w14:textId="77777777" w:rsidR="00871A83" w:rsidRPr="006D4B7C" w:rsidRDefault="00871A83" w:rsidP="0043667C">
      <w:pPr>
        <w:pStyle w:val="ListParagraph"/>
        <w:numPr>
          <w:ilvl w:val="0"/>
          <w:numId w:val="20"/>
        </w:numPr>
        <w:ind w:left="354"/>
      </w:pPr>
      <w:r w:rsidRPr="006D4B7C">
        <w:t>Infrastructure, such as electricity, gas and telecommunications;</w:t>
      </w:r>
    </w:p>
    <w:p w14:paraId="4BC34B24" w14:textId="77777777" w:rsidR="00871A83" w:rsidRPr="006D4B7C" w:rsidRDefault="00871A83" w:rsidP="0043667C">
      <w:pPr>
        <w:pStyle w:val="ListParagraph"/>
        <w:numPr>
          <w:ilvl w:val="0"/>
          <w:numId w:val="20"/>
        </w:numPr>
        <w:ind w:left="354"/>
      </w:pPr>
      <w:r w:rsidRPr="006D4B7C">
        <w:t>Contour intervals of 1 to 10m (labelled, or slope direction shown);</w:t>
      </w:r>
    </w:p>
    <w:p w14:paraId="1E267B86" w14:textId="77777777" w:rsidR="00871A83" w:rsidRPr="006D4B7C" w:rsidRDefault="00871A83" w:rsidP="0043667C">
      <w:pPr>
        <w:pStyle w:val="ListParagraph"/>
        <w:numPr>
          <w:ilvl w:val="0"/>
          <w:numId w:val="20"/>
        </w:numPr>
        <w:ind w:left="354"/>
      </w:pPr>
      <w:r w:rsidRPr="006D4B7C">
        <w:t>Proposed building envelope, sheds and driveways;</w:t>
      </w:r>
    </w:p>
    <w:p w14:paraId="455D762E" w14:textId="77777777" w:rsidR="00871A83" w:rsidRPr="006D4B7C" w:rsidRDefault="00871A83" w:rsidP="0043667C">
      <w:pPr>
        <w:pStyle w:val="ListParagraph"/>
        <w:numPr>
          <w:ilvl w:val="0"/>
          <w:numId w:val="20"/>
        </w:numPr>
        <w:ind w:left="354"/>
      </w:pPr>
      <w:r w:rsidRPr="006D4B7C">
        <w:t>Council zoning and environmentally significant overlays;</w:t>
      </w:r>
    </w:p>
    <w:p w14:paraId="2D8BACE3" w14:textId="77777777" w:rsidR="00871A83" w:rsidRPr="006D4B7C" w:rsidRDefault="00871A83" w:rsidP="0043667C">
      <w:pPr>
        <w:pStyle w:val="ListParagraph"/>
        <w:numPr>
          <w:ilvl w:val="0"/>
          <w:numId w:val="20"/>
        </w:numPr>
        <w:ind w:left="354"/>
      </w:pPr>
      <w:r w:rsidRPr="006D4B7C">
        <w:t>Type of catchment i.e. potable;</w:t>
      </w:r>
    </w:p>
    <w:p w14:paraId="627442B3" w14:textId="77777777" w:rsidR="00871A83" w:rsidRPr="006D4B7C" w:rsidRDefault="00871A83" w:rsidP="0043667C">
      <w:pPr>
        <w:pStyle w:val="ListParagraph"/>
        <w:numPr>
          <w:ilvl w:val="0"/>
          <w:numId w:val="20"/>
        </w:numPr>
        <w:ind w:left="354"/>
      </w:pPr>
      <w:r w:rsidRPr="006D4B7C">
        <w:t>Locations of the soil test pits or auger holes;</w:t>
      </w:r>
    </w:p>
    <w:p w14:paraId="212FBCBF" w14:textId="77777777" w:rsidR="00871A83" w:rsidRPr="006D4B7C" w:rsidRDefault="00871A83" w:rsidP="0043667C">
      <w:pPr>
        <w:pStyle w:val="ListParagraph"/>
        <w:numPr>
          <w:ilvl w:val="0"/>
          <w:numId w:val="20"/>
        </w:numPr>
        <w:ind w:left="354"/>
      </w:pPr>
      <w:r w:rsidRPr="006D4B7C">
        <w:t>Groundwater bores on the site and on neighbouring properties;</w:t>
      </w:r>
    </w:p>
    <w:p w14:paraId="3F68BE8F" w14:textId="77777777" w:rsidR="00871A83" w:rsidRPr="006D4B7C" w:rsidRDefault="00871A83" w:rsidP="0043667C">
      <w:pPr>
        <w:pStyle w:val="ListParagraph"/>
        <w:numPr>
          <w:ilvl w:val="0"/>
          <w:numId w:val="20"/>
        </w:numPr>
        <w:ind w:left="354"/>
      </w:pPr>
      <w:r w:rsidRPr="006D4B7C">
        <w:t>Rock outcrops or shallow bedrock, and types of vegetation cover;</w:t>
      </w:r>
    </w:p>
    <w:p w14:paraId="30633F41" w14:textId="77777777" w:rsidR="00871A83" w:rsidRPr="006D4B7C" w:rsidRDefault="00871A83" w:rsidP="0043667C">
      <w:pPr>
        <w:pStyle w:val="ListParagraph"/>
        <w:numPr>
          <w:ilvl w:val="0"/>
          <w:numId w:val="20"/>
        </w:numPr>
        <w:ind w:left="354"/>
      </w:pPr>
      <w:r w:rsidRPr="006D4B7C">
        <w:t>Location of any landslips, erosion potential or other potential failures;</w:t>
      </w:r>
    </w:p>
    <w:p w14:paraId="6A7E6924" w14:textId="77777777" w:rsidR="00871A83" w:rsidRPr="006D4B7C" w:rsidRDefault="00871A83" w:rsidP="0043667C">
      <w:pPr>
        <w:pStyle w:val="ListParagraph"/>
        <w:numPr>
          <w:ilvl w:val="0"/>
          <w:numId w:val="20"/>
        </w:numPr>
        <w:ind w:left="354"/>
      </w:pPr>
      <w:r w:rsidRPr="006D4B7C">
        <w:t>Presence of soil features indicative of springs and prolonged surface ponding or topsoil waterlogging;</w:t>
      </w:r>
    </w:p>
    <w:p w14:paraId="0E9483B1" w14:textId="77777777" w:rsidR="00871A83" w:rsidRPr="006D4B7C" w:rsidRDefault="00871A83" w:rsidP="0043667C">
      <w:pPr>
        <w:pStyle w:val="ListParagraph"/>
        <w:numPr>
          <w:ilvl w:val="0"/>
          <w:numId w:val="20"/>
        </w:numPr>
        <w:ind w:left="354"/>
      </w:pPr>
      <w:r w:rsidRPr="006D4B7C">
        <w:t>Direction of slope and slope analysis;</w:t>
      </w:r>
    </w:p>
    <w:p w14:paraId="728CC935" w14:textId="77777777" w:rsidR="00871A83" w:rsidRPr="006D4B7C" w:rsidRDefault="00871A83" w:rsidP="0043667C">
      <w:pPr>
        <w:pStyle w:val="ListParagraph"/>
        <w:numPr>
          <w:ilvl w:val="0"/>
          <w:numId w:val="20"/>
        </w:numPr>
        <w:ind w:left="354"/>
      </w:pPr>
      <w:r w:rsidRPr="006D4B7C">
        <w:t>The proposed LAA envelope or suitable area/s;</w:t>
      </w:r>
    </w:p>
    <w:p w14:paraId="1E0FE107" w14:textId="77777777" w:rsidR="00871A83" w:rsidRPr="006D4B7C" w:rsidRDefault="00871A83" w:rsidP="0043667C">
      <w:pPr>
        <w:pStyle w:val="ListParagraph"/>
        <w:numPr>
          <w:ilvl w:val="0"/>
          <w:numId w:val="20"/>
        </w:numPr>
        <w:ind w:left="354"/>
      </w:pPr>
      <w:r w:rsidRPr="006D4B7C">
        <w:t>Location and dimensions of proposed treatment system, proposed LAA and reserve LAA*;</w:t>
      </w:r>
    </w:p>
    <w:p w14:paraId="62389D3C" w14:textId="77777777" w:rsidR="00871A83" w:rsidRPr="006D4B7C" w:rsidRDefault="00871A83" w:rsidP="0043667C">
      <w:pPr>
        <w:pStyle w:val="ListParagraph"/>
        <w:numPr>
          <w:ilvl w:val="0"/>
          <w:numId w:val="20"/>
        </w:numPr>
        <w:ind w:left="354"/>
      </w:pPr>
      <w:r w:rsidRPr="006D4B7C">
        <w:t>Required setback distances between the LAA and relevant site features;</w:t>
      </w:r>
    </w:p>
    <w:p w14:paraId="30F502E1" w14:textId="77777777" w:rsidR="00871A83" w:rsidRPr="006D4B7C" w:rsidRDefault="00871A83" w:rsidP="0043667C">
      <w:pPr>
        <w:pStyle w:val="ListParagraph"/>
        <w:numPr>
          <w:ilvl w:val="0"/>
          <w:numId w:val="20"/>
        </w:numPr>
        <w:ind w:left="354"/>
      </w:pPr>
      <w:r w:rsidRPr="006D4B7C">
        <w:t>Stormwater diversion structures around the LAA (if applicable);</w:t>
      </w:r>
    </w:p>
    <w:p w14:paraId="427C43C9" w14:textId="77777777" w:rsidR="00871A83" w:rsidRPr="006D4B7C" w:rsidRDefault="00871A83" w:rsidP="0043667C">
      <w:pPr>
        <w:pStyle w:val="ListParagraph"/>
        <w:numPr>
          <w:ilvl w:val="0"/>
          <w:numId w:val="20"/>
        </w:numPr>
        <w:ind w:left="354"/>
      </w:pPr>
      <w:r w:rsidRPr="006D4B7C">
        <w:t>Flood levels (1% and 5% AEP contour lines) and floodways; and</w:t>
      </w:r>
    </w:p>
    <w:p w14:paraId="0E7622AF" w14:textId="77777777" w:rsidR="00E34CC3" w:rsidRDefault="00871A83" w:rsidP="0043667C">
      <w:pPr>
        <w:pStyle w:val="ListParagraph"/>
        <w:numPr>
          <w:ilvl w:val="0"/>
          <w:numId w:val="20"/>
        </w:numPr>
        <w:ind w:left="354"/>
      </w:pPr>
      <w:r w:rsidRPr="006D4B7C">
        <w:t>A north arrow and scale.</w:t>
      </w:r>
    </w:p>
    <w:p w14:paraId="48092373" w14:textId="6E27108F" w:rsidR="00871A83" w:rsidRPr="00E34CC3" w:rsidRDefault="00871A83" w:rsidP="0043667C">
      <w:pPr>
        <w:pStyle w:val="ListParagraph"/>
        <w:numPr>
          <w:ilvl w:val="0"/>
          <w:numId w:val="20"/>
        </w:numPr>
        <w:ind w:left="354"/>
      </w:pPr>
      <w:r w:rsidRPr="00E34CC3">
        <w:t xml:space="preserve">A reserve LAA is not required for surface or subsurface pressure-compensating irrigation systems where the size of the system has been calculated and designed using the Victorian LCA Framework water balance method and the DIR values listed in Table 9 of the EPA Code of Practice (2013), unless Council deems it necessary due to increased site risks. </w:t>
      </w:r>
    </w:p>
    <w:p w14:paraId="3AFB6EC0" w14:textId="71166807" w:rsidR="00871A83" w:rsidRPr="00D1198B" w:rsidRDefault="00871A83" w:rsidP="0043667C">
      <w:pPr>
        <w:rPr>
          <w:i/>
          <w:sz w:val="20"/>
        </w:rPr>
      </w:pPr>
      <w:r w:rsidRPr="00D1198B">
        <w:rPr>
          <w:i/>
          <w:sz w:val="20"/>
        </w:rPr>
        <w:t>Site features should be clearly identified by either labelling or use o</w:t>
      </w:r>
      <w:r w:rsidR="00E34CC3" w:rsidRPr="00D1198B">
        <w:rPr>
          <w:i/>
          <w:sz w:val="20"/>
        </w:rPr>
        <w:t>f a legend.</w:t>
      </w:r>
    </w:p>
    <w:p w14:paraId="5AD499A2" w14:textId="77777777" w:rsidR="00871A83" w:rsidRPr="006D4B7C" w:rsidRDefault="00871A83" w:rsidP="0043667C">
      <w:r w:rsidRPr="006D4B7C">
        <w:t>It can be useful to use a site survey plan as a base, as it usually includes many of the above features. Onsite wastewater system infrastructure can be superimposed on the survey plan using various software programs (with the permission of the plan’s original author). In the absence of a survey plan, a scaled aerial photograph or topographic map can be used as a base for the detailed site plan.</w:t>
      </w:r>
    </w:p>
    <w:p w14:paraId="3548EE9A" w14:textId="77777777" w:rsidR="00734469" w:rsidRDefault="00734469">
      <w:pPr>
        <w:spacing w:after="0" w:line="240" w:lineRule="auto"/>
        <w:rPr>
          <w:u w:val="single"/>
        </w:rPr>
      </w:pPr>
      <w:bookmarkStart w:id="181" w:name="_Toc378688103"/>
      <w:r>
        <w:rPr>
          <w:u w:val="single"/>
        </w:rPr>
        <w:br w:type="page"/>
      </w:r>
    </w:p>
    <w:p w14:paraId="2916CC8C" w14:textId="49F66582" w:rsidR="00871A83" w:rsidRPr="00734469" w:rsidRDefault="00734469" w:rsidP="00734469">
      <w:pPr>
        <w:rPr>
          <w:u w:val="single"/>
        </w:rPr>
      </w:pPr>
      <w:r>
        <w:rPr>
          <w:u w:val="single"/>
        </w:rPr>
        <w:lastRenderedPageBreak/>
        <w:t xml:space="preserve">4.7.2 </w:t>
      </w:r>
      <w:r w:rsidR="00871A83" w:rsidRPr="00734469">
        <w:rPr>
          <w:u w:val="single"/>
        </w:rPr>
        <w:t>Reporting</w:t>
      </w:r>
      <w:bookmarkEnd w:id="181"/>
    </w:p>
    <w:p w14:paraId="6AB1D187" w14:textId="77777777" w:rsidR="00871A83" w:rsidRPr="00384FAD" w:rsidRDefault="00871A83" w:rsidP="0043667C">
      <w:pPr>
        <w:rPr>
          <w:rFonts w:cs="Arial"/>
        </w:rPr>
      </w:pPr>
      <w:r w:rsidRPr="00384FAD">
        <w:rPr>
          <w:rFonts w:cs="Arial"/>
        </w:rPr>
        <w:t>An A4 plan is usually adequate for most domestic developments; however, if the site is larger than a typical residential block, has a variable landscape and/or surrounds, or the LCA is for a commercial system, an A3 or larger plan is recommended.</w:t>
      </w:r>
    </w:p>
    <w:p w14:paraId="42C00A80" w14:textId="77777777" w:rsidR="00871A83" w:rsidRPr="00384FAD" w:rsidRDefault="00871A83" w:rsidP="0043667C">
      <w:pPr>
        <w:rPr>
          <w:rFonts w:cs="Arial"/>
        </w:rPr>
      </w:pPr>
      <w:r w:rsidRPr="00384FAD">
        <w:rPr>
          <w:rFonts w:cs="Arial"/>
        </w:rPr>
        <w:t>The site plan can be located anywhere in the report; it does not have to be at the end. It may be useful to include the site plan near the beginning of the report, so the broader locality plan can provide some context.</w:t>
      </w:r>
    </w:p>
    <w:p w14:paraId="45F3DC55" w14:textId="0913788A" w:rsidR="00871A83" w:rsidRPr="00E34CC3" w:rsidRDefault="00871A83" w:rsidP="009F0893">
      <w:pPr>
        <w:pStyle w:val="Heading1"/>
        <w:numPr>
          <w:ilvl w:val="0"/>
          <w:numId w:val="45"/>
        </w:numPr>
      </w:pPr>
      <w:bookmarkStart w:id="182" w:name="_Toc377562443"/>
      <w:bookmarkStart w:id="183" w:name="_Toc378688104"/>
      <w:r w:rsidRPr="006D4B7C">
        <w:t>Broad-scale Land Capability Assessments</w:t>
      </w:r>
      <w:bookmarkEnd w:id="182"/>
      <w:bookmarkEnd w:id="183"/>
    </w:p>
    <w:p w14:paraId="5A0BB978" w14:textId="046CA9FA" w:rsidR="00871A83" w:rsidRPr="006D4B7C" w:rsidRDefault="00871A83" w:rsidP="007B6413">
      <w:r w:rsidRPr="006D4B7C">
        <w:t>The LCA process is applicable to all scales of development planning and assessment. To avoid or minimise adverse environmental and public health impacts from onsite wastewater systems, LCAs should be undertaken at the earliest possible stage of rezoning, subdivision or development planning. Conducting LCAs at this early stage of planning achieves a much more effective and sustainable result, because areas with higher degrees of limitation can be appropriately zoned and subdivision layouts can make best use of the physical constraints</w:t>
      </w:r>
      <w:r w:rsidR="00E34CC3">
        <w:t xml:space="preserve"> and opportunities of the land.</w:t>
      </w:r>
    </w:p>
    <w:p w14:paraId="6F4FC119" w14:textId="35DCFCB7" w:rsidR="00871A83" w:rsidRPr="006D4B7C" w:rsidRDefault="00871A83" w:rsidP="007B6413">
      <w:r w:rsidRPr="006D4B7C">
        <w:t>Detailed guidance on broad scale strategic LCA is beyond the scope of this document. However, in the event that a strategic LCA does exist, the amount of additional information required in an individual site LCA report within the assessed area may be reduced. This will need to be decided on a case-by-case basis in consultation with Council and the Water Authority</w:t>
      </w:r>
      <w:r w:rsidR="00E34CC3">
        <w:t>.</w:t>
      </w:r>
    </w:p>
    <w:p w14:paraId="32F04AB3" w14:textId="6772E80C" w:rsidR="00871A83" w:rsidRDefault="00871A83" w:rsidP="007B6413">
      <w:r w:rsidRPr="006D4B7C">
        <w:t xml:space="preserve">A typical LCA for a subdivision (which may include rezoning of land) involves looking at land capability at a slightly broader scale (for example 1:2,000) for a proposed layout of allotments. In the case of a proposal of subdivision in isolation, this may simply involve determination of a minimum lot size rather than an exact lot layout. While most single-site LCAs will usually involve only one soil landscape and one or two landform elements, a subdivision or rezoning can contain multiple combinations of both soil type and landform. Regardless of scale, the main objective of all LCA is the same, that is, the determination of the ability of each allotment to contain all treated effluent within the site boundaries, and the potential impact of onsite wastewater systems on local receiving environments (such as surface waters and groundwater). Additional considerations for strategic level LCAs, for example for Planning Scheme amendments and subdivisions, are summarised in the following table. The information contained in this table, along with the Code (2013) and AS/NZS1547:2012, provides good guidance on </w:t>
      </w:r>
      <w:r w:rsidR="00E34CC3">
        <w:t>best practice multiple lot LCA.</w:t>
      </w:r>
    </w:p>
    <w:p w14:paraId="6E001963" w14:textId="4B0407EB" w:rsidR="00D1198B" w:rsidRDefault="00D1198B">
      <w:pPr>
        <w:spacing w:after="0" w:line="240" w:lineRule="auto"/>
      </w:pPr>
    </w:p>
    <w:p w14:paraId="09D7CCBD" w14:textId="77777777" w:rsidR="00AD77A4" w:rsidRDefault="00AD77A4">
      <w:pPr>
        <w:spacing w:after="0" w:line="240" w:lineRule="auto"/>
      </w:pPr>
    </w:p>
    <w:p w14:paraId="36D623B6" w14:textId="77777777" w:rsidR="00AD77A4" w:rsidRDefault="00AD77A4">
      <w:pPr>
        <w:spacing w:after="0" w:line="240" w:lineRule="auto"/>
      </w:pPr>
    </w:p>
    <w:p w14:paraId="5024C7AC" w14:textId="77777777" w:rsidR="00AD77A4" w:rsidRDefault="00AD77A4">
      <w:pPr>
        <w:spacing w:after="0" w:line="240" w:lineRule="auto"/>
      </w:pPr>
    </w:p>
    <w:p w14:paraId="2E0CE10F" w14:textId="77777777" w:rsidR="00AD77A4" w:rsidRDefault="00AD77A4">
      <w:pPr>
        <w:spacing w:after="0" w:line="240" w:lineRule="auto"/>
      </w:pPr>
    </w:p>
    <w:p w14:paraId="3F22D28B" w14:textId="77777777" w:rsidR="00AD77A4" w:rsidRDefault="00AD77A4">
      <w:pPr>
        <w:spacing w:after="0" w:line="240" w:lineRule="auto"/>
      </w:pPr>
    </w:p>
    <w:p w14:paraId="35F3ED06" w14:textId="77777777" w:rsidR="00AD77A4" w:rsidRDefault="00AD77A4">
      <w:pPr>
        <w:spacing w:after="0" w:line="240" w:lineRule="auto"/>
      </w:pPr>
    </w:p>
    <w:p w14:paraId="69D8C071" w14:textId="77777777" w:rsidR="00AD77A4" w:rsidRDefault="00AD77A4">
      <w:pPr>
        <w:spacing w:after="0" w:line="240" w:lineRule="auto"/>
      </w:pPr>
    </w:p>
    <w:p w14:paraId="3B5B90E8" w14:textId="77777777" w:rsidR="00AD77A4" w:rsidRDefault="00AD77A4">
      <w:pPr>
        <w:spacing w:after="0" w:line="240" w:lineRule="auto"/>
      </w:pPr>
    </w:p>
    <w:p w14:paraId="57FFB952" w14:textId="77777777" w:rsidR="00384FAD" w:rsidRDefault="00384FAD">
      <w:pPr>
        <w:spacing w:after="0" w:line="240" w:lineRule="auto"/>
      </w:pPr>
    </w:p>
    <w:p w14:paraId="42D2F6AA" w14:textId="77777777" w:rsidR="00AD77A4" w:rsidRDefault="00AD77A4">
      <w:pPr>
        <w:spacing w:after="0" w:line="240" w:lineRule="auto"/>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7302"/>
      </w:tblGrid>
      <w:tr w:rsidR="00871A83" w:rsidRPr="006D4B7C" w14:paraId="5B1F3C42" w14:textId="77777777" w:rsidTr="00D1198B">
        <w:tc>
          <w:tcPr>
            <w:tcW w:w="1806" w:type="dxa"/>
            <w:shd w:val="clear" w:color="auto" w:fill="auto"/>
          </w:tcPr>
          <w:p w14:paraId="476E923D" w14:textId="77777777" w:rsidR="00871A83" w:rsidRPr="00E34CC3" w:rsidRDefault="00871A83" w:rsidP="00354BAF">
            <w:pPr>
              <w:spacing w:before="60" w:after="60"/>
              <w:rPr>
                <w:rFonts w:cs="Arial"/>
                <w:b/>
              </w:rPr>
            </w:pPr>
            <w:r w:rsidRPr="00E34CC3">
              <w:rPr>
                <w:rFonts w:cs="Arial"/>
                <w:b/>
              </w:rPr>
              <w:t>LCA Component</w:t>
            </w:r>
          </w:p>
        </w:tc>
        <w:tc>
          <w:tcPr>
            <w:tcW w:w="7302" w:type="dxa"/>
            <w:shd w:val="clear" w:color="auto" w:fill="auto"/>
          </w:tcPr>
          <w:p w14:paraId="77ED067F" w14:textId="77777777" w:rsidR="00871A83" w:rsidRPr="00E34CC3" w:rsidRDefault="00871A83" w:rsidP="00354BAF">
            <w:pPr>
              <w:spacing w:before="60" w:after="60"/>
              <w:rPr>
                <w:rFonts w:cs="Arial"/>
                <w:b/>
              </w:rPr>
            </w:pPr>
            <w:r w:rsidRPr="00E34CC3">
              <w:rPr>
                <w:rFonts w:cs="Arial"/>
                <w:b/>
              </w:rPr>
              <w:t>Additional Considerations for Multi-Lot LCAs</w:t>
            </w:r>
          </w:p>
        </w:tc>
      </w:tr>
      <w:tr w:rsidR="00871A83" w:rsidRPr="006D4B7C" w14:paraId="627F0351" w14:textId="77777777" w:rsidTr="00D1198B">
        <w:tc>
          <w:tcPr>
            <w:tcW w:w="1806" w:type="dxa"/>
            <w:shd w:val="clear" w:color="auto" w:fill="auto"/>
          </w:tcPr>
          <w:p w14:paraId="58578F0F" w14:textId="77777777" w:rsidR="00871A83" w:rsidRPr="00E34CC3" w:rsidRDefault="00871A83" w:rsidP="00354BAF">
            <w:pPr>
              <w:spacing w:before="60" w:after="60"/>
              <w:rPr>
                <w:rFonts w:cs="Arial"/>
                <w:b/>
              </w:rPr>
            </w:pPr>
            <w:r w:rsidRPr="00E34CC3">
              <w:rPr>
                <w:rFonts w:cs="Arial"/>
                <w:b/>
              </w:rPr>
              <w:t>Characteristics of the development</w:t>
            </w:r>
          </w:p>
        </w:tc>
        <w:tc>
          <w:tcPr>
            <w:tcW w:w="7302" w:type="dxa"/>
            <w:shd w:val="clear" w:color="auto" w:fill="auto"/>
          </w:tcPr>
          <w:p w14:paraId="32181F8C" w14:textId="77777777" w:rsidR="00871A83" w:rsidRPr="00E34CC3" w:rsidRDefault="00871A83" w:rsidP="00354BAF">
            <w:pPr>
              <w:spacing w:before="60" w:after="60"/>
              <w:rPr>
                <w:rFonts w:cs="Arial"/>
              </w:rPr>
            </w:pPr>
            <w:r w:rsidRPr="00E34CC3">
              <w:rPr>
                <w:rFonts w:cs="Arial"/>
              </w:rPr>
              <w:t>Need to consider a range of potential dwelling sizes and wastewater generation rates. Potential cumulative impacts are more signiﬁcant and consideration must be given to identifying sustainable total lot numbers, minimum lot sizes and system densities.</w:t>
            </w:r>
          </w:p>
        </w:tc>
      </w:tr>
      <w:tr w:rsidR="00871A83" w:rsidRPr="006D4B7C" w14:paraId="78A052F1" w14:textId="77777777" w:rsidTr="00D1198B">
        <w:tc>
          <w:tcPr>
            <w:tcW w:w="1806" w:type="dxa"/>
            <w:shd w:val="clear" w:color="auto" w:fill="auto"/>
          </w:tcPr>
          <w:p w14:paraId="3DAF22E0" w14:textId="77777777" w:rsidR="00871A83" w:rsidRPr="00E34CC3" w:rsidRDefault="00871A83" w:rsidP="00354BAF">
            <w:pPr>
              <w:spacing w:before="60" w:after="60"/>
              <w:rPr>
                <w:rFonts w:cs="Arial"/>
                <w:b/>
              </w:rPr>
            </w:pPr>
            <w:r w:rsidRPr="00E34CC3">
              <w:rPr>
                <w:rFonts w:cs="Arial"/>
                <w:b/>
              </w:rPr>
              <w:t xml:space="preserve">Site assessment </w:t>
            </w:r>
          </w:p>
        </w:tc>
        <w:tc>
          <w:tcPr>
            <w:tcW w:w="7302" w:type="dxa"/>
            <w:shd w:val="clear" w:color="auto" w:fill="auto"/>
          </w:tcPr>
          <w:p w14:paraId="02D9CD29" w14:textId="77777777" w:rsidR="00871A83" w:rsidRPr="00E34CC3" w:rsidRDefault="00871A83" w:rsidP="00354BAF">
            <w:pPr>
              <w:spacing w:before="60" w:after="60"/>
              <w:rPr>
                <w:rFonts w:cs="Arial"/>
              </w:rPr>
            </w:pPr>
            <w:r w:rsidRPr="00E34CC3">
              <w:rPr>
                <w:rFonts w:cs="Arial"/>
              </w:rPr>
              <w:t>There is more potential for variation in site characteristics across the development. There is a need to pay close attention to broader land capability issues (for example landform elements) when determining lot sizes and conﬁguration.</w:t>
            </w:r>
          </w:p>
        </w:tc>
      </w:tr>
      <w:tr w:rsidR="00871A83" w:rsidRPr="006D4B7C" w14:paraId="3EE31703" w14:textId="77777777" w:rsidTr="00D1198B">
        <w:tc>
          <w:tcPr>
            <w:tcW w:w="1806" w:type="dxa"/>
            <w:shd w:val="clear" w:color="auto" w:fill="auto"/>
          </w:tcPr>
          <w:p w14:paraId="399AD879" w14:textId="77777777" w:rsidR="00871A83" w:rsidRPr="00E34CC3" w:rsidRDefault="00871A83" w:rsidP="00354BAF">
            <w:pPr>
              <w:spacing w:before="60" w:after="60"/>
              <w:rPr>
                <w:rFonts w:cs="Arial"/>
                <w:b/>
              </w:rPr>
            </w:pPr>
            <w:r w:rsidRPr="00E34CC3">
              <w:rPr>
                <w:rFonts w:cs="Arial"/>
                <w:b/>
              </w:rPr>
              <w:t>Soil assessment</w:t>
            </w:r>
          </w:p>
        </w:tc>
        <w:tc>
          <w:tcPr>
            <w:tcW w:w="7302" w:type="dxa"/>
            <w:shd w:val="clear" w:color="auto" w:fill="auto"/>
          </w:tcPr>
          <w:p w14:paraId="046F5A2D" w14:textId="77777777" w:rsidR="00871A83" w:rsidRPr="00E34CC3" w:rsidRDefault="00871A83" w:rsidP="00354BAF">
            <w:pPr>
              <w:widowControl w:val="0"/>
              <w:autoSpaceDE w:val="0"/>
              <w:autoSpaceDN w:val="0"/>
              <w:adjustRightInd w:val="0"/>
              <w:spacing w:before="60" w:after="60"/>
              <w:rPr>
                <w:rFonts w:cs="Arial"/>
                <w:color w:val="231F20"/>
              </w:rPr>
            </w:pPr>
            <w:r w:rsidRPr="00E34CC3">
              <w:rPr>
                <w:rFonts w:cs="Arial"/>
                <w:color w:val="231F20"/>
              </w:rPr>
              <w:t xml:space="preserve">Test boreholes are required for each combination of soil landscape facet and landform element (see </w:t>
            </w:r>
            <w:r w:rsidRPr="00E34CC3">
              <w:rPr>
                <w:rFonts w:cs="Arial"/>
                <w:i/>
                <w:iCs/>
                <w:color w:val="231F20"/>
              </w:rPr>
              <w:t>AS/NZS 1547:2012</w:t>
            </w:r>
            <w:r w:rsidRPr="00E34CC3">
              <w:rPr>
                <w:rFonts w:cs="Arial"/>
                <w:color w:val="231F20"/>
              </w:rPr>
              <w:t xml:space="preserve"> for guidance on a minimum number of test boreholes). Additional chemical tests may be necessary for accurate assessment.</w:t>
            </w:r>
          </w:p>
        </w:tc>
      </w:tr>
      <w:tr w:rsidR="00871A83" w:rsidRPr="006D4B7C" w14:paraId="3B89340C" w14:textId="77777777" w:rsidTr="00D1198B">
        <w:tc>
          <w:tcPr>
            <w:tcW w:w="1806" w:type="dxa"/>
            <w:shd w:val="clear" w:color="auto" w:fill="auto"/>
          </w:tcPr>
          <w:p w14:paraId="28F69D71" w14:textId="77777777" w:rsidR="00871A83" w:rsidRPr="00E34CC3" w:rsidRDefault="00871A83" w:rsidP="00354BAF">
            <w:pPr>
              <w:spacing w:before="60" w:after="60"/>
              <w:rPr>
                <w:rFonts w:cs="Arial"/>
                <w:b/>
              </w:rPr>
            </w:pPr>
            <w:r w:rsidRPr="00E34CC3">
              <w:rPr>
                <w:rFonts w:cs="Arial"/>
                <w:b/>
              </w:rPr>
              <w:t xml:space="preserve">Land capability assessment </w:t>
            </w:r>
          </w:p>
        </w:tc>
        <w:tc>
          <w:tcPr>
            <w:tcW w:w="7302" w:type="dxa"/>
            <w:shd w:val="clear" w:color="auto" w:fill="auto"/>
          </w:tcPr>
          <w:p w14:paraId="1802B93E" w14:textId="77777777" w:rsidR="00871A83" w:rsidRPr="00E34CC3" w:rsidRDefault="00871A83" w:rsidP="00354BAF">
            <w:pPr>
              <w:widowControl w:val="0"/>
              <w:autoSpaceDE w:val="0"/>
              <w:autoSpaceDN w:val="0"/>
              <w:adjustRightInd w:val="0"/>
              <w:spacing w:before="60" w:after="60"/>
              <w:rPr>
                <w:rFonts w:cs="Arial"/>
                <w:color w:val="231F20"/>
              </w:rPr>
            </w:pPr>
            <w:r w:rsidRPr="00E34CC3">
              <w:rPr>
                <w:rFonts w:cs="Arial"/>
                <w:color w:val="231F20"/>
              </w:rPr>
              <w:t>Multiple LCAs must be undertaken for each combination of soil landscape and landform element. Land capability should be mapped and used to nominate suitable areas for efﬂuent management (preferably before lot size and conﬁguration are determined).</w:t>
            </w:r>
          </w:p>
        </w:tc>
      </w:tr>
      <w:tr w:rsidR="00871A83" w:rsidRPr="006D4B7C" w14:paraId="2BA7B8DE" w14:textId="77777777" w:rsidTr="00D1198B">
        <w:tc>
          <w:tcPr>
            <w:tcW w:w="1806" w:type="dxa"/>
            <w:shd w:val="clear" w:color="auto" w:fill="auto"/>
          </w:tcPr>
          <w:p w14:paraId="199E96DD" w14:textId="77777777" w:rsidR="00871A83" w:rsidRPr="00E34CC3" w:rsidRDefault="00871A83" w:rsidP="00354BAF">
            <w:pPr>
              <w:spacing w:before="60" w:after="60"/>
              <w:rPr>
                <w:rFonts w:cs="Arial"/>
                <w:b/>
              </w:rPr>
            </w:pPr>
            <w:r w:rsidRPr="00E34CC3">
              <w:rPr>
                <w:rFonts w:cs="Arial"/>
                <w:b/>
              </w:rPr>
              <w:t xml:space="preserve">Recommended management program (including system design) </w:t>
            </w:r>
          </w:p>
        </w:tc>
        <w:tc>
          <w:tcPr>
            <w:tcW w:w="7302" w:type="dxa"/>
            <w:shd w:val="clear" w:color="auto" w:fill="auto"/>
          </w:tcPr>
          <w:p w14:paraId="740E6257" w14:textId="77777777" w:rsidR="00871A83" w:rsidRPr="00E34CC3" w:rsidRDefault="00871A83" w:rsidP="00354BAF">
            <w:pPr>
              <w:spacing w:before="60" w:after="60"/>
              <w:rPr>
                <w:rFonts w:cs="Arial"/>
              </w:rPr>
            </w:pPr>
            <w:r w:rsidRPr="00E34CC3">
              <w:rPr>
                <w:rFonts w:cs="Arial"/>
              </w:rPr>
              <w:t>Typically, only concept wastewater system designs are necessary so minimum sizes for land application areas can be determined. Options may be left at broad technology types (for example primary or secondary treatment, subsurface irrigation or absorption trench). Detailed system design should be carried out at the individual lot development stage.</w:t>
            </w:r>
          </w:p>
          <w:p w14:paraId="66DF9D70" w14:textId="77777777" w:rsidR="00871A83" w:rsidRPr="00E34CC3" w:rsidRDefault="00871A83" w:rsidP="00354BAF">
            <w:pPr>
              <w:spacing w:before="60" w:after="60"/>
              <w:rPr>
                <w:rFonts w:cs="Arial"/>
              </w:rPr>
            </w:pPr>
            <w:r w:rsidRPr="00E34CC3">
              <w:rPr>
                <w:rFonts w:cs="Arial"/>
              </w:rPr>
              <w:t>Lot size and conﬁguration should seek to maximise the opportunity to utilise suitable land for on-site wastewater management. A land capability map of the site can assist in this process.</w:t>
            </w:r>
          </w:p>
        </w:tc>
      </w:tr>
    </w:tbl>
    <w:p w14:paraId="183ECE2E" w14:textId="77777777" w:rsidR="00734469" w:rsidRDefault="00734469" w:rsidP="00B375CE">
      <w:pPr>
        <w:pStyle w:val="Heading1"/>
        <w:ind w:left="360"/>
      </w:pPr>
      <w:bookmarkStart w:id="184" w:name="_Toc377562444"/>
      <w:bookmarkStart w:id="185" w:name="_Toc378688105"/>
    </w:p>
    <w:p w14:paraId="72B4FE48" w14:textId="77777777" w:rsidR="00734469" w:rsidRDefault="00734469">
      <w:pPr>
        <w:spacing w:after="0" w:line="240" w:lineRule="auto"/>
        <w:rPr>
          <w:rFonts w:eastAsia="Times New Roman" w:cs="Arial"/>
          <w:b/>
          <w:bCs/>
          <w:sz w:val="28"/>
          <w:szCs w:val="28"/>
        </w:rPr>
      </w:pPr>
      <w:r>
        <w:br w:type="page"/>
      </w:r>
    </w:p>
    <w:p w14:paraId="2DC9D155" w14:textId="3C786B31" w:rsidR="00871A83" w:rsidRPr="00E34CC3" w:rsidRDefault="00E34CC3" w:rsidP="00734469">
      <w:pPr>
        <w:pStyle w:val="Heading1"/>
      </w:pPr>
      <w:r w:rsidRPr="007B6413">
        <w:lastRenderedPageBreak/>
        <w:t>References</w:t>
      </w:r>
      <w:r>
        <w:t xml:space="preserve"> and Further Reading</w:t>
      </w:r>
      <w:bookmarkEnd w:id="184"/>
      <w:bookmarkEnd w:id="185"/>
    </w:p>
    <w:p w14:paraId="32706898"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186" w:name="_Toc377562445"/>
      <w:r w:rsidRPr="006D4B7C">
        <w:rPr>
          <w:rFonts w:cs="Arial"/>
          <w:sz w:val="20"/>
          <w:szCs w:val="20"/>
        </w:rPr>
        <w:t xml:space="preserve">Department of Primary Industries Victoria </w:t>
      </w:r>
      <w:hyperlink r:id="rId21" w:history="1">
        <w:r w:rsidRPr="006D4B7C">
          <w:rPr>
            <w:rStyle w:val="Hyperlink"/>
            <w:rFonts w:cs="Arial"/>
            <w:sz w:val="20"/>
            <w:szCs w:val="20"/>
          </w:rPr>
          <w:t>http://www.dpi.vic.gov.au</w:t>
        </w:r>
        <w:bookmarkEnd w:id="186"/>
      </w:hyperlink>
    </w:p>
    <w:p w14:paraId="1D696A56" w14:textId="77777777" w:rsidR="00871A83" w:rsidRPr="006D4B7C" w:rsidRDefault="00871A83" w:rsidP="00871A83">
      <w:pPr>
        <w:widowControl w:val="0"/>
        <w:autoSpaceDE w:val="0"/>
        <w:autoSpaceDN w:val="0"/>
        <w:adjustRightInd w:val="0"/>
        <w:spacing w:before="120"/>
        <w:outlineLvl w:val="0"/>
        <w:rPr>
          <w:rFonts w:cs="Arial"/>
          <w:sz w:val="20"/>
          <w:szCs w:val="20"/>
        </w:rPr>
      </w:pPr>
      <w:bookmarkStart w:id="187" w:name="_Toc377562446"/>
      <w:r w:rsidRPr="006D4B7C">
        <w:rPr>
          <w:rFonts w:cs="Arial"/>
          <w:sz w:val="20"/>
          <w:szCs w:val="20"/>
        </w:rPr>
        <w:t xml:space="preserve">Department of Sustainability &amp; Environment Victoria </w:t>
      </w:r>
      <w:hyperlink r:id="rId22" w:history="1">
        <w:r w:rsidRPr="006D4B7C">
          <w:rPr>
            <w:rStyle w:val="Hyperlink"/>
            <w:rFonts w:cs="Arial"/>
            <w:sz w:val="20"/>
            <w:szCs w:val="20"/>
          </w:rPr>
          <w:t>http://www.dse.vic.gov.au</w:t>
        </w:r>
        <w:bookmarkEnd w:id="187"/>
      </w:hyperlink>
    </w:p>
    <w:p w14:paraId="702113EB"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188" w:name="_Toc377562447"/>
      <w:r w:rsidRPr="006D4B7C">
        <w:rPr>
          <w:rFonts w:cs="Arial"/>
          <w:sz w:val="20"/>
          <w:szCs w:val="20"/>
        </w:rPr>
        <w:t>Day, K.J. (1982). On-site treatment and disposal of household effluent wastewater with particular reference to sealed evapotranspiration systems. MSc Thesis, La Trobe University.</w:t>
      </w:r>
      <w:bookmarkEnd w:id="188"/>
    </w:p>
    <w:p w14:paraId="400624CB"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189" w:name="_Toc377562448"/>
      <w:r w:rsidRPr="006D4B7C">
        <w:rPr>
          <w:rFonts w:cs="Arial"/>
          <w:sz w:val="20"/>
          <w:szCs w:val="20"/>
        </w:rPr>
        <w:t>Dilley, A.C. and Shepherd, W. (1972). Potential evaporation from pastures and potatoes at Aspendale. Agric. Meteorology, Vol.10, No.4/5, p.283-300.</w:t>
      </w:r>
      <w:bookmarkEnd w:id="189"/>
    </w:p>
    <w:p w14:paraId="46BE5457" w14:textId="77777777" w:rsidR="00871A83" w:rsidRPr="006D4B7C" w:rsidRDefault="00871A83" w:rsidP="00871A83">
      <w:pPr>
        <w:widowControl w:val="0"/>
        <w:autoSpaceDE w:val="0"/>
        <w:autoSpaceDN w:val="0"/>
        <w:adjustRightInd w:val="0"/>
        <w:spacing w:before="120"/>
        <w:outlineLvl w:val="0"/>
        <w:rPr>
          <w:rFonts w:cs="Arial"/>
          <w:sz w:val="20"/>
          <w:szCs w:val="20"/>
        </w:rPr>
      </w:pPr>
      <w:bookmarkStart w:id="190" w:name="_Toc377562449"/>
      <w:r w:rsidRPr="006D4B7C">
        <w:rPr>
          <w:rFonts w:cs="Arial"/>
          <w:sz w:val="20"/>
          <w:szCs w:val="20"/>
        </w:rPr>
        <w:t xml:space="preserve">Environment Protection Authority Victoria </w:t>
      </w:r>
      <w:hyperlink r:id="rId23" w:history="1">
        <w:r w:rsidRPr="006D4B7C">
          <w:rPr>
            <w:rStyle w:val="Hyperlink"/>
            <w:rFonts w:cs="Arial"/>
            <w:sz w:val="20"/>
            <w:szCs w:val="20"/>
          </w:rPr>
          <w:t>http://www.epa.vic.gov.au</w:t>
        </w:r>
        <w:bookmarkEnd w:id="190"/>
      </w:hyperlink>
    </w:p>
    <w:p w14:paraId="0EB66A38" w14:textId="77777777" w:rsidR="00871A83" w:rsidRPr="006D4B7C" w:rsidRDefault="00871A83" w:rsidP="00871A83">
      <w:pPr>
        <w:widowControl w:val="0"/>
        <w:autoSpaceDE w:val="0"/>
        <w:autoSpaceDN w:val="0"/>
        <w:adjustRightInd w:val="0"/>
        <w:spacing w:before="120"/>
        <w:jc w:val="both"/>
        <w:outlineLvl w:val="0"/>
        <w:rPr>
          <w:rFonts w:cs="Arial"/>
          <w:iCs/>
          <w:sz w:val="20"/>
          <w:szCs w:val="20"/>
        </w:rPr>
      </w:pPr>
      <w:bookmarkStart w:id="191" w:name="_Toc377562450"/>
      <w:r w:rsidRPr="006D4B7C">
        <w:rPr>
          <w:rFonts w:cs="Arial"/>
          <w:sz w:val="20"/>
          <w:szCs w:val="20"/>
        </w:rPr>
        <w:t>Environment Protection Authority Victoria (1991).</w:t>
      </w:r>
      <w:r w:rsidRPr="006D4B7C">
        <w:rPr>
          <w:rFonts w:cs="Arial"/>
          <w:i/>
          <w:iCs/>
          <w:sz w:val="20"/>
          <w:szCs w:val="20"/>
        </w:rPr>
        <w:t xml:space="preserve"> </w:t>
      </w:r>
      <w:r w:rsidRPr="006D4B7C">
        <w:rPr>
          <w:rFonts w:cs="Arial"/>
          <w:iCs/>
          <w:sz w:val="20"/>
          <w:szCs w:val="20"/>
        </w:rPr>
        <w:t xml:space="preserve">Publication 168: </w:t>
      </w:r>
      <w:r w:rsidRPr="006D4B7C">
        <w:rPr>
          <w:rFonts w:cs="Arial"/>
          <w:bCs/>
          <w:i/>
          <w:iCs/>
          <w:sz w:val="20"/>
          <w:szCs w:val="20"/>
        </w:rPr>
        <w:t>Guidelines for Wastewater Irrigation</w:t>
      </w:r>
      <w:r w:rsidRPr="006D4B7C">
        <w:rPr>
          <w:rFonts w:cs="Arial"/>
          <w:bCs/>
          <w:iCs/>
          <w:sz w:val="20"/>
          <w:szCs w:val="20"/>
        </w:rPr>
        <w:t>.</w:t>
      </w:r>
      <w:bookmarkEnd w:id="191"/>
    </w:p>
    <w:p w14:paraId="0715AD4E"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192" w:name="_Toc377562451"/>
      <w:r w:rsidRPr="006D4B7C">
        <w:rPr>
          <w:rFonts w:cs="Arial"/>
          <w:sz w:val="20"/>
          <w:szCs w:val="20"/>
        </w:rPr>
        <w:t>Environment Protection Authority Victoria (2003).</w:t>
      </w:r>
      <w:r w:rsidRPr="006D4B7C">
        <w:rPr>
          <w:rFonts w:cs="Arial"/>
          <w:i/>
          <w:iCs/>
          <w:sz w:val="20"/>
          <w:szCs w:val="20"/>
        </w:rPr>
        <w:t xml:space="preserve"> </w:t>
      </w:r>
      <w:r w:rsidRPr="006D4B7C">
        <w:rPr>
          <w:rFonts w:cs="Arial"/>
          <w:i/>
          <w:sz w:val="20"/>
          <w:szCs w:val="20"/>
        </w:rPr>
        <w:t>State Environment Protection Policy Waters of Victoria</w:t>
      </w:r>
      <w:r w:rsidRPr="006D4B7C">
        <w:rPr>
          <w:rFonts w:cs="Arial"/>
          <w:sz w:val="20"/>
          <w:szCs w:val="20"/>
        </w:rPr>
        <w:t>.</w:t>
      </w:r>
      <w:bookmarkEnd w:id="192"/>
    </w:p>
    <w:p w14:paraId="65A63D56"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193" w:name="_Toc377562452"/>
      <w:r w:rsidRPr="006D4B7C">
        <w:rPr>
          <w:rFonts w:cs="Arial"/>
          <w:sz w:val="20"/>
          <w:szCs w:val="20"/>
        </w:rPr>
        <w:t>Environment Protection Authority Victoria (2003).</w:t>
      </w:r>
      <w:r w:rsidRPr="006D4B7C">
        <w:rPr>
          <w:rFonts w:cs="Arial"/>
          <w:i/>
          <w:iCs/>
          <w:sz w:val="20"/>
          <w:szCs w:val="20"/>
        </w:rPr>
        <w:t xml:space="preserve"> </w:t>
      </w:r>
      <w:r w:rsidRPr="006D4B7C">
        <w:rPr>
          <w:rFonts w:cs="Arial"/>
          <w:iCs/>
          <w:sz w:val="20"/>
          <w:szCs w:val="20"/>
        </w:rPr>
        <w:t xml:space="preserve">Publication 464.2: </w:t>
      </w:r>
      <w:r w:rsidRPr="006D4B7C">
        <w:rPr>
          <w:rFonts w:cs="Arial"/>
          <w:i/>
          <w:iCs/>
          <w:sz w:val="20"/>
          <w:szCs w:val="20"/>
        </w:rPr>
        <w:t>Guidelines for Environmental Management: Use of Reclaimed Water</w:t>
      </w:r>
      <w:r w:rsidRPr="006D4B7C">
        <w:rPr>
          <w:rFonts w:cs="Arial"/>
          <w:sz w:val="20"/>
          <w:szCs w:val="20"/>
        </w:rPr>
        <w:t>.</w:t>
      </w:r>
      <w:bookmarkEnd w:id="193"/>
    </w:p>
    <w:p w14:paraId="358BE854"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194" w:name="_Toc377562453"/>
      <w:r w:rsidRPr="006D4B7C">
        <w:rPr>
          <w:rFonts w:cs="Arial"/>
          <w:sz w:val="20"/>
          <w:szCs w:val="20"/>
        </w:rPr>
        <w:t>Environment Protection Authority (2013). Publication 891.3</w:t>
      </w:r>
      <w:r w:rsidRPr="006D4B7C">
        <w:rPr>
          <w:rFonts w:cs="Arial"/>
          <w:i/>
          <w:iCs/>
          <w:sz w:val="20"/>
          <w:szCs w:val="20"/>
        </w:rPr>
        <w:t xml:space="preserve"> Code of Practice for Onsite Wastewater Management</w:t>
      </w:r>
      <w:r w:rsidRPr="006D4B7C">
        <w:rPr>
          <w:rFonts w:cs="Arial"/>
          <w:sz w:val="20"/>
          <w:szCs w:val="20"/>
        </w:rPr>
        <w:t>.</w:t>
      </w:r>
      <w:bookmarkEnd w:id="194"/>
    </w:p>
    <w:p w14:paraId="535CC16C" w14:textId="77777777" w:rsidR="00871A83" w:rsidRPr="006D4B7C" w:rsidRDefault="00871A83" w:rsidP="00871A83">
      <w:pPr>
        <w:widowControl w:val="0"/>
        <w:autoSpaceDE w:val="0"/>
        <w:autoSpaceDN w:val="0"/>
        <w:adjustRightInd w:val="0"/>
        <w:spacing w:before="120"/>
        <w:jc w:val="both"/>
        <w:outlineLvl w:val="0"/>
        <w:rPr>
          <w:rFonts w:cs="Arial"/>
          <w:iCs/>
          <w:sz w:val="20"/>
          <w:szCs w:val="20"/>
        </w:rPr>
      </w:pPr>
      <w:bookmarkStart w:id="195" w:name="_Toc377562454"/>
      <w:r w:rsidRPr="006D4B7C">
        <w:rPr>
          <w:rFonts w:cs="Arial"/>
          <w:iCs/>
          <w:sz w:val="20"/>
          <w:szCs w:val="20"/>
        </w:rPr>
        <w:t xml:space="preserve">Food and Agriculture Organisation (1998). </w:t>
      </w:r>
      <w:r w:rsidRPr="006D4B7C">
        <w:rPr>
          <w:rFonts w:cs="Arial"/>
          <w:i/>
          <w:iCs/>
          <w:sz w:val="20"/>
          <w:szCs w:val="20"/>
        </w:rPr>
        <w:t>Crop evapotranspiration - Guidelines for computing crop water requirements.</w:t>
      </w:r>
      <w:r w:rsidRPr="006D4B7C">
        <w:rPr>
          <w:rFonts w:cs="Arial"/>
          <w:iCs/>
          <w:sz w:val="20"/>
          <w:szCs w:val="20"/>
        </w:rPr>
        <w:t xml:space="preserve"> Available at: </w:t>
      </w:r>
      <w:r w:rsidRPr="006D4B7C">
        <w:rPr>
          <w:rStyle w:val="Hyperlink"/>
          <w:rFonts w:cs="Arial"/>
          <w:sz w:val="20"/>
          <w:szCs w:val="20"/>
        </w:rPr>
        <w:t>http://www.fao.org/docrep/X0490E/x0490e0b.htm#crop coefficients</w:t>
      </w:r>
      <w:bookmarkEnd w:id="195"/>
    </w:p>
    <w:p w14:paraId="28751D15" w14:textId="77777777" w:rsidR="00871A83" w:rsidRPr="006D4B7C" w:rsidRDefault="00871A83" w:rsidP="00871A83">
      <w:pPr>
        <w:widowControl w:val="0"/>
        <w:autoSpaceDE w:val="0"/>
        <w:autoSpaceDN w:val="0"/>
        <w:adjustRightInd w:val="0"/>
        <w:spacing w:before="120"/>
        <w:jc w:val="both"/>
        <w:outlineLvl w:val="0"/>
        <w:rPr>
          <w:rFonts w:cs="Arial"/>
          <w:i/>
          <w:iCs/>
          <w:sz w:val="20"/>
          <w:szCs w:val="20"/>
        </w:rPr>
      </w:pPr>
      <w:bookmarkStart w:id="196" w:name="_Toc377562455"/>
      <w:r w:rsidRPr="006D4B7C">
        <w:rPr>
          <w:rFonts w:cs="Arial"/>
          <w:iCs/>
          <w:sz w:val="20"/>
          <w:szCs w:val="20"/>
        </w:rPr>
        <w:t>Fletcher, T., Duncan, H., Poelsma, P. and Lloyd, S. (2004).</w:t>
      </w:r>
      <w:r w:rsidRPr="006D4B7C">
        <w:rPr>
          <w:rFonts w:cs="Arial"/>
          <w:i/>
          <w:iCs/>
          <w:sz w:val="20"/>
          <w:szCs w:val="20"/>
        </w:rPr>
        <w:t xml:space="preserve"> Stormwater Flow and Quality, and the Effectiveness of Non-proprietary Stormwater Treatment Measures – A Review and Gap Analysis Technical Report 04, 8 December 2004.</w:t>
      </w:r>
      <w:bookmarkEnd w:id="196"/>
    </w:p>
    <w:p w14:paraId="2FE98818"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197" w:name="_Toc377562456"/>
      <w:r w:rsidRPr="006D4B7C">
        <w:rPr>
          <w:rFonts w:cs="Arial"/>
          <w:sz w:val="20"/>
          <w:szCs w:val="20"/>
        </w:rPr>
        <w:t>Geary, P. and Gardner, E. (1996). On-site Disposal of Efﬂuent. In Proceedings from the one day conference</w:t>
      </w:r>
      <w:r w:rsidRPr="006D4B7C">
        <w:rPr>
          <w:rFonts w:cs="Arial"/>
          <w:i/>
          <w:iCs/>
          <w:sz w:val="20"/>
          <w:szCs w:val="20"/>
        </w:rPr>
        <w:t xml:space="preserve"> Innovative Approaches to the Management of Waste and Water</w:t>
      </w:r>
      <w:r w:rsidRPr="006D4B7C">
        <w:rPr>
          <w:rFonts w:cs="Arial"/>
          <w:sz w:val="20"/>
          <w:szCs w:val="20"/>
        </w:rPr>
        <w:t>, Lismore 1996.</w:t>
      </w:r>
      <w:bookmarkEnd w:id="197"/>
    </w:p>
    <w:p w14:paraId="19E13E23" w14:textId="77777777" w:rsidR="00384FAD" w:rsidRDefault="00871A83" w:rsidP="00384FAD">
      <w:pPr>
        <w:widowControl w:val="0"/>
        <w:autoSpaceDE w:val="0"/>
        <w:autoSpaceDN w:val="0"/>
        <w:adjustRightInd w:val="0"/>
        <w:spacing w:before="120"/>
        <w:jc w:val="both"/>
        <w:outlineLvl w:val="0"/>
        <w:rPr>
          <w:rFonts w:cs="Arial"/>
          <w:sz w:val="20"/>
          <w:szCs w:val="20"/>
        </w:rPr>
      </w:pPr>
      <w:bookmarkStart w:id="198" w:name="_Toc377562457"/>
      <w:r w:rsidRPr="006D4B7C">
        <w:rPr>
          <w:rFonts w:cs="Arial"/>
          <w:sz w:val="20"/>
          <w:szCs w:val="20"/>
        </w:rPr>
        <w:t xml:space="preserve">Gerritse, R.G., Adeney, J.A., Dimmock, G.M. and Oliver, Y.M. (1995). </w:t>
      </w:r>
      <w:r w:rsidRPr="006D4B7C">
        <w:rPr>
          <w:rFonts w:cs="Arial"/>
          <w:i/>
          <w:sz w:val="20"/>
          <w:szCs w:val="20"/>
        </w:rPr>
        <w:t>Retention of nitrate and phosphate in soils of the Darling Plateau in Western Australia – Implications for domestic septic tank systems</w:t>
      </w:r>
      <w:r w:rsidRPr="006D4B7C">
        <w:rPr>
          <w:rFonts w:cs="Arial"/>
          <w:sz w:val="20"/>
          <w:szCs w:val="20"/>
        </w:rPr>
        <w:t>. Aust. J. Soil Res., 33, No2. pp.353-367.</w:t>
      </w:r>
      <w:bookmarkEnd w:id="198"/>
    </w:p>
    <w:p w14:paraId="601939A3" w14:textId="7119781D" w:rsidR="00871A83" w:rsidRPr="00695919" w:rsidRDefault="00871A83" w:rsidP="00384FAD">
      <w:pPr>
        <w:widowControl w:val="0"/>
        <w:autoSpaceDE w:val="0"/>
        <w:autoSpaceDN w:val="0"/>
        <w:adjustRightInd w:val="0"/>
        <w:spacing w:before="120"/>
        <w:jc w:val="both"/>
        <w:outlineLvl w:val="0"/>
        <w:rPr>
          <w:rFonts w:cs="Arial"/>
          <w:sz w:val="20"/>
          <w:szCs w:val="20"/>
        </w:rPr>
      </w:pPr>
      <w:r w:rsidRPr="00695919">
        <w:rPr>
          <w:rFonts w:cs="Arial"/>
          <w:sz w:val="20"/>
          <w:szCs w:val="20"/>
        </w:rPr>
        <w:t>Gerritse, R.G. (2002).</w:t>
      </w:r>
      <w:r w:rsidRPr="00695919">
        <w:rPr>
          <w:rFonts w:cs="Arial"/>
          <w:i/>
          <w:sz w:val="20"/>
          <w:szCs w:val="20"/>
        </w:rPr>
        <w:t xml:space="preserve"> </w:t>
      </w:r>
      <w:r w:rsidRPr="00695919">
        <w:rPr>
          <w:rFonts w:cs="Arial"/>
          <w:i/>
          <w:iCs/>
          <w:sz w:val="20"/>
          <w:szCs w:val="20"/>
        </w:rPr>
        <w:t xml:space="preserve">Movement of nutrients from onsite wastewater systems in soils. </w:t>
      </w:r>
      <w:r w:rsidRPr="00695919">
        <w:rPr>
          <w:rFonts w:cs="Arial"/>
          <w:sz w:val="20"/>
          <w:szCs w:val="20"/>
        </w:rPr>
        <w:t>Prepared for Department of Health, Water &amp; Rivers Commission, Department of Environmental Protection, Department of Planning and Infrastructure.</w:t>
      </w:r>
    </w:p>
    <w:p w14:paraId="42C514EE" w14:textId="77777777" w:rsidR="00871A83" w:rsidRPr="006D4B7C" w:rsidRDefault="00871A83" w:rsidP="00871A83">
      <w:pPr>
        <w:widowControl w:val="0"/>
        <w:autoSpaceDE w:val="0"/>
        <w:autoSpaceDN w:val="0"/>
        <w:adjustRightInd w:val="0"/>
        <w:spacing w:before="120"/>
        <w:jc w:val="both"/>
        <w:outlineLvl w:val="0"/>
        <w:rPr>
          <w:rFonts w:cs="Arial"/>
          <w:sz w:val="20"/>
          <w:szCs w:val="20"/>
          <w:lang w:val="fr-FR"/>
        </w:rPr>
      </w:pPr>
      <w:bookmarkStart w:id="199" w:name="_Toc377562458"/>
      <w:r w:rsidRPr="006D4B7C">
        <w:rPr>
          <w:rFonts w:cs="Arial"/>
          <w:sz w:val="20"/>
          <w:szCs w:val="20"/>
        </w:rPr>
        <w:t xml:space="preserve">Hazelton, P. and Murphy, B. (2007). </w:t>
      </w:r>
      <w:r w:rsidRPr="006D4B7C">
        <w:rPr>
          <w:rFonts w:cs="Arial"/>
          <w:i/>
          <w:sz w:val="20"/>
          <w:szCs w:val="20"/>
        </w:rPr>
        <w:t>Interpreting soil test results – what do all the numbers mean?</w:t>
      </w:r>
      <w:r w:rsidRPr="006D4B7C">
        <w:rPr>
          <w:rFonts w:cs="Arial"/>
          <w:sz w:val="20"/>
          <w:szCs w:val="20"/>
        </w:rPr>
        <w:t xml:space="preserve">  </w:t>
      </w:r>
      <w:r w:rsidRPr="006D4B7C">
        <w:rPr>
          <w:rFonts w:cs="Arial"/>
          <w:sz w:val="20"/>
          <w:szCs w:val="20"/>
          <w:lang w:val="fr-FR"/>
        </w:rPr>
        <w:t>CSIRO Publishing.</w:t>
      </w:r>
      <w:bookmarkEnd w:id="199"/>
    </w:p>
    <w:p w14:paraId="1DC0CBD3" w14:textId="77777777" w:rsidR="00871A83" w:rsidRPr="006D4B7C" w:rsidRDefault="00871A83" w:rsidP="00871A83">
      <w:pPr>
        <w:widowControl w:val="0"/>
        <w:autoSpaceDE w:val="0"/>
        <w:autoSpaceDN w:val="0"/>
        <w:adjustRightInd w:val="0"/>
        <w:spacing w:before="120"/>
        <w:jc w:val="both"/>
        <w:outlineLvl w:val="0"/>
        <w:rPr>
          <w:rFonts w:cs="Arial"/>
          <w:sz w:val="20"/>
          <w:szCs w:val="20"/>
          <w:lang w:val="fr-FR"/>
        </w:rPr>
      </w:pPr>
      <w:bookmarkStart w:id="200" w:name="_Toc377562459"/>
      <w:r w:rsidRPr="006D4B7C">
        <w:rPr>
          <w:rFonts w:cs="Arial"/>
          <w:sz w:val="20"/>
          <w:szCs w:val="20"/>
          <w:lang w:val="fr-FR"/>
        </w:rPr>
        <w:t xml:space="preserve">Lanfax Laboratories, Armidale NSW </w:t>
      </w:r>
      <w:hyperlink r:id="rId24" w:history="1">
        <w:r w:rsidRPr="006D4B7C">
          <w:rPr>
            <w:rStyle w:val="Hyperlink"/>
            <w:rFonts w:cs="Arial"/>
            <w:sz w:val="20"/>
            <w:szCs w:val="20"/>
            <w:lang w:val="fr-FR"/>
          </w:rPr>
          <w:t>www.lanfaxlabs.com.au</w:t>
        </w:r>
        <w:bookmarkEnd w:id="200"/>
      </w:hyperlink>
    </w:p>
    <w:p w14:paraId="08581D92"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201" w:name="_Toc377562460"/>
      <w:r w:rsidRPr="006D4B7C">
        <w:rPr>
          <w:rFonts w:cs="Arial"/>
          <w:sz w:val="20"/>
          <w:szCs w:val="20"/>
          <w:lang w:val="fr-FR"/>
        </w:rPr>
        <w:t xml:space="preserve">McDonald, R.C. et al. </w:t>
      </w:r>
      <w:r w:rsidRPr="006D4B7C">
        <w:rPr>
          <w:rFonts w:cs="Arial"/>
          <w:sz w:val="20"/>
          <w:szCs w:val="20"/>
        </w:rPr>
        <w:t xml:space="preserve">(1990). </w:t>
      </w:r>
      <w:r w:rsidRPr="006D4B7C">
        <w:rPr>
          <w:rFonts w:cs="Arial"/>
          <w:i/>
          <w:sz w:val="20"/>
          <w:szCs w:val="20"/>
        </w:rPr>
        <w:t>Australian soil and land survey field handbook</w:t>
      </w:r>
      <w:r w:rsidRPr="006D4B7C">
        <w:rPr>
          <w:rFonts w:cs="Arial"/>
          <w:sz w:val="20"/>
          <w:szCs w:val="20"/>
        </w:rPr>
        <w:t xml:space="preserve"> Inkata Press. Melbourne</w:t>
      </w:r>
      <w:bookmarkEnd w:id="201"/>
    </w:p>
    <w:p w14:paraId="37731B31"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202" w:name="_Toc377562461"/>
      <w:r w:rsidRPr="006D4B7C">
        <w:rPr>
          <w:rFonts w:cs="Arial"/>
          <w:sz w:val="20"/>
          <w:szCs w:val="20"/>
        </w:rPr>
        <w:t xml:space="preserve">McKenzie, N., Coughlan, K. and Creswell, H. (2002). </w:t>
      </w:r>
      <w:r w:rsidRPr="006D4B7C">
        <w:rPr>
          <w:rFonts w:cs="Arial"/>
          <w:i/>
          <w:sz w:val="20"/>
          <w:szCs w:val="20"/>
        </w:rPr>
        <w:t>Soil Physical Measurement and Interpretation for Land Evaluation</w:t>
      </w:r>
      <w:r w:rsidRPr="006D4B7C">
        <w:rPr>
          <w:rFonts w:cs="Arial"/>
          <w:sz w:val="20"/>
          <w:szCs w:val="20"/>
        </w:rPr>
        <w:t>. CSIRO Publishing, Collingwood, VIC., 3066.</w:t>
      </w:r>
      <w:bookmarkEnd w:id="202"/>
    </w:p>
    <w:p w14:paraId="55E706A2"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203" w:name="_Toc377562462"/>
      <w:r w:rsidRPr="006D4B7C">
        <w:rPr>
          <w:rFonts w:cs="Arial"/>
          <w:sz w:val="20"/>
          <w:szCs w:val="20"/>
        </w:rPr>
        <w:t xml:space="preserve">McKenzie, N., Grundy, M.J., Webster, R. and Ringrose-Voase, A.J. (2008). </w:t>
      </w:r>
      <w:r w:rsidRPr="006D4B7C">
        <w:rPr>
          <w:rFonts w:cs="Arial"/>
          <w:i/>
          <w:sz w:val="20"/>
          <w:szCs w:val="20"/>
        </w:rPr>
        <w:t xml:space="preserve">Guidelines for Surveying Soil </w:t>
      </w:r>
      <w:r w:rsidRPr="006D4B7C">
        <w:rPr>
          <w:rFonts w:cs="Arial"/>
          <w:i/>
          <w:sz w:val="20"/>
          <w:szCs w:val="20"/>
        </w:rPr>
        <w:lastRenderedPageBreak/>
        <w:t>and Land Resources</w:t>
      </w:r>
      <w:r w:rsidRPr="006D4B7C">
        <w:rPr>
          <w:rFonts w:cs="Arial"/>
          <w:sz w:val="20"/>
          <w:szCs w:val="20"/>
        </w:rPr>
        <w:t>, 2</w:t>
      </w:r>
      <w:r w:rsidRPr="006D4B7C">
        <w:rPr>
          <w:rFonts w:cs="Arial"/>
          <w:sz w:val="20"/>
          <w:szCs w:val="20"/>
          <w:vertAlign w:val="superscript"/>
        </w:rPr>
        <w:t>nd</w:t>
      </w:r>
      <w:r w:rsidRPr="006D4B7C">
        <w:rPr>
          <w:rFonts w:cs="Arial"/>
          <w:sz w:val="20"/>
          <w:szCs w:val="20"/>
        </w:rPr>
        <w:t xml:space="preserve"> Ed., CSIRO Publishing, Collingwood, VIC., 3066.</w:t>
      </w:r>
      <w:bookmarkEnd w:id="203"/>
    </w:p>
    <w:p w14:paraId="1AF65AE8"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204" w:name="_Toc377562463"/>
      <w:r w:rsidRPr="006D4B7C">
        <w:rPr>
          <w:rFonts w:cs="Arial"/>
          <w:i/>
          <w:iCs/>
          <w:sz w:val="20"/>
          <w:szCs w:val="20"/>
        </w:rPr>
        <w:t>Munsell Soil Colour Charts</w:t>
      </w:r>
      <w:r w:rsidRPr="006D4B7C">
        <w:rPr>
          <w:rFonts w:cs="Arial"/>
          <w:sz w:val="20"/>
          <w:szCs w:val="20"/>
        </w:rPr>
        <w:t xml:space="preserve"> (2000). Revised Washable Edition.</w:t>
      </w:r>
      <w:bookmarkEnd w:id="204"/>
    </w:p>
    <w:p w14:paraId="780A38E4"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205" w:name="_Toc377562464"/>
      <w:r w:rsidRPr="006D4B7C">
        <w:rPr>
          <w:rFonts w:cs="Arial"/>
          <w:sz w:val="20"/>
          <w:szCs w:val="20"/>
        </w:rPr>
        <w:t xml:space="preserve">National Committee on Soil and Terrain (2010). </w:t>
      </w:r>
      <w:r w:rsidRPr="006D4B7C">
        <w:rPr>
          <w:rFonts w:cs="Arial"/>
          <w:i/>
          <w:sz w:val="20"/>
          <w:szCs w:val="20"/>
        </w:rPr>
        <w:t>Australian Soil and Land Survey Field Handbook</w:t>
      </w:r>
      <w:r w:rsidRPr="006D4B7C">
        <w:rPr>
          <w:rFonts w:cs="Arial"/>
          <w:sz w:val="20"/>
          <w:szCs w:val="20"/>
        </w:rPr>
        <w:t>. CSIRO Publishing, Collingwood, Victoria 3066.</w:t>
      </w:r>
      <w:bookmarkEnd w:id="205"/>
    </w:p>
    <w:p w14:paraId="3B356F06"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206" w:name="_Toc377562465"/>
      <w:r w:rsidRPr="006D4B7C">
        <w:rPr>
          <w:rFonts w:cs="Arial"/>
          <w:sz w:val="20"/>
          <w:szCs w:val="20"/>
        </w:rPr>
        <w:t xml:space="preserve">Natural Resource Management Ministerial Council et al. (2006). </w:t>
      </w:r>
      <w:r w:rsidRPr="006D4B7C">
        <w:rPr>
          <w:rFonts w:cs="Arial"/>
          <w:i/>
          <w:sz w:val="20"/>
          <w:szCs w:val="20"/>
        </w:rPr>
        <w:t>Australian Guidelines for Water Recycling: Managing Health and Environmental Risks (Phase 1)</w:t>
      </w:r>
      <w:r w:rsidRPr="006D4B7C">
        <w:rPr>
          <w:rFonts w:cs="Arial"/>
          <w:sz w:val="20"/>
          <w:szCs w:val="20"/>
        </w:rPr>
        <w:t>.</w:t>
      </w:r>
      <w:bookmarkEnd w:id="206"/>
    </w:p>
    <w:p w14:paraId="0BF11E1D"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207" w:name="_Toc377562466"/>
      <w:r w:rsidRPr="006D4B7C">
        <w:rPr>
          <w:rFonts w:cs="Arial"/>
          <w:sz w:val="20"/>
          <w:szCs w:val="20"/>
        </w:rPr>
        <w:t xml:space="preserve">Rayment, G.E. and Lyons, D.J. (2010). </w:t>
      </w:r>
      <w:r w:rsidRPr="006D4B7C">
        <w:rPr>
          <w:rFonts w:cs="Arial"/>
          <w:i/>
          <w:sz w:val="20"/>
          <w:szCs w:val="20"/>
        </w:rPr>
        <w:t>Soil Chemical Methods – Australasia</w:t>
      </w:r>
      <w:r w:rsidRPr="006D4B7C">
        <w:rPr>
          <w:rFonts w:cs="Arial"/>
          <w:sz w:val="20"/>
          <w:szCs w:val="20"/>
        </w:rPr>
        <w:t>. CSIRO Publishing, Collingwood, VIC., 3066</w:t>
      </w:r>
      <w:bookmarkEnd w:id="207"/>
    </w:p>
    <w:p w14:paraId="3C1CE559"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208" w:name="_Toc377562467"/>
      <w:r w:rsidRPr="006D4B7C">
        <w:rPr>
          <w:rFonts w:cs="Arial"/>
          <w:sz w:val="20"/>
          <w:szCs w:val="20"/>
        </w:rPr>
        <w:t>Ryden, J.C., Syers, J.K. and Harris, F.R. (1973). Phosphorus in runoff and streams. Advances in Agronomy, 25:p1-45.</w:t>
      </w:r>
      <w:bookmarkEnd w:id="208"/>
    </w:p>
    <w:p w14:paraId="3B97649E"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209" w:name="_Toc377562468"/>
      <w:r w:rsidRPr="006D4B7C">
        <w:rPr>
          <w:rFonts w:cs="Arial"/>
          <w:sz w:val="20"/>
          <w:szCs w:val="20"/>
        </w:rPr>
        <w:t>Standards Australia / Standards New Zealand AS/NZS1547:2012</w:t>
      </w:r>
      <w:r w:rsidRPr="006D4B7C">
        <w:rPr>
          <w:rFonts w:cs="Arial"/>
          <w:i/>
          <w:iCs/>
          <w:sz w:val="20"/>
          <w:szCs w:val="20"/>
        </w:rPr>
        <w:t xml:space="preserve"> On-site Domestic-wastewater Management</w:t>
      </w:r>
      <w:r w:rsidRPr="006D4B7C">
        <w:rPr>
          <w:rFonts w:cs="Arial"/>
          <w:sz w:val="20"/>
          <w:szCs w:val="20"/>
        </w:rPr>
        <w:t>.</w:t>
      </w:r>
      <w:bookmarkEnd w:id="209"/>
    </w:p>
    <w:p w14:paraId="39FBE0B5"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210" w:name="_Toc377562469"/>
      <w:r w:rsidRPr="006D4B7C">
        <w:rPr>
          <w:rFonts w:cs="Arial"/>
          <w:sz w:val="20"/>
          <w:szCs w:val="20"/>
        </w:rPr>
        <w:t xml:space="preserve">Stevens, D.P., Smolenaars, S. and Kelly, J. (2008). </w:t>
      </w:r>
      <w:r w:rsidRPr="006D4B7C">
        <w:rPr>
          <w:rFonts w:cs="Arial"/>
          <w:i/>
          <w:sz w:val="20"/>
          <w:szCs w:val="20"/>
        </w:rPr>
        <w:t>Irrigation of Amenity Horticulture with Recycled Water</w:t>
      </w:r>
      <w:r w:rsidRPr="006D4B7C">
        <w:rPr>
          <w:rFonts w:cs="Arial"/>
          <w:sz w:val="20"/>
          <w:szCs w:val="20"/>
        </w:rPr>
        <w:t>. Smart Water Fund, Victoria.</w:t>
      </w:r>
      <w:bookmarkEnd w:id="210"/>
    </w:p>
    <w:p w14:paraId="0EE85B65" w14:textId="77777777" w:rsidR="00871A83" w:rsidRPr="006D4B7C" w:rsidRDefault="00871A83" w:rsidP="00871A83">
      <w:pPr>
        <w:overflowPunct w:val="0"/>
        <w:autoSpaceDE w:val="0"/>
        <w:autoSpaceDN w:val="0"/>
        <w:adjustRightInd w:val="0"/>
        <w:spacing w:before="120"/>
        <w:jc w:val="both"/>
        <w:textAlignment w:val="baseline"/>
        <w:rPr>
          <w:rFonts w:cs="Arial"/>
          <w:sz w:val="20"/>
          <w:szCs w:val="20"/>
        </w:rPr>
      </w:pPr>
      <w:r w:rsidRPr="006D4B7C">
        <w:rPr>
          <w:rFonts w:cs="Arial"/>
          <w:sz w:val="20"/>
          <w:szCs w:val="20"/>
        </w:rPr>
        <w:t xml:space="preserve">van de Graaff, R.H.M. and Alexander, J. (2008). </w:t>
      </w:r>
      <w:r w:rsidRPr="006D4B7C">
        <w:rPr>
          <w:rFonts w:cs="Arial"/>
          <w:i/>
          <w:sz w:val="20"/>
          <w:szCs w:val="20"/>
        </w:rPr>
        <w:t>The percolation test – A test with false pretences.</w:t>
      </w:r>
      <w:r w:rsidRPr="006D4B7C">
        <w:rPr>
          <w:rFonts w:cs="Arial"/>
          <w:sz w:val="20"/>
          <w:szCs w:val="20"/>
        </w:rPr>
        <w:t xml:space="preserve"> Aust. Water Assoc. conference “Onsite and decentralised sewerage and recycling conference”.  Benalla, 12-15 October 2008.</w:t>
      </w:r>
    </w:p>
    <w:p w14:paraId="0306EACA" w14:textId="77777777" w:rsidR="00871A83" w:rsidRPr="006D4B7C" w:rsidRDefault="00871A83" w:rsidP="00871A83">
      <w:pPr>
        <w:overflowPunct w:val="0"/>
        <w:autoSpaceDE w:val="0"/>
        <w:autoSpaceDN w:val="0"/>
        <w:adjustRightInd w:val="0"/>
        <w:spacing w:before="120"/>
        <w:jc w:val="both"/>
        <w:textAlignment w:val="baseline"/>
        <w:rPr>
          <w:rFonts w:cs="Arial"/>
          <w:sz w:val="20"/>
          <w:szCs w:val="20"/>
        </w:rPr>
      </w:pPr>
      <w:r w:rsidRPr="006D4B7C">
        <w:rPr>
          <w:rFonts w:cs="Arial"/>
          <w:sz w:val="20"/>
          <w:szCs w:val="20"/>
        </w:rPr>
        <w:t xml:space="preserve">van de Graaff, R.H.M. and Patterson, P. (2001). </w:t>
      </w:r>
      <w:r w:rsidRPr="006D4B7C">
        <w:rPr>
          <w:rFonts w:cs="Arial"/>
          <w:i/>
          <w:sz w:val="20"/>
          <w:szCs w:val="20"/>
        </w:rPr>
        <w:t>Explaining the mysteries of salinity, sodicity, SAR and ESP in on-site practice</w:t>
      </w:r>
      <w:r w:rsidRPr="006D4B7C">
        <w:rPr>
          <w:rFonts w:cs="Arial"/>
          <w:sz w:val="20"/>
          <w:szCs w:val="20"/>
        </w:rPr>
        <w:t>.  Proc. On-Site ’01 Conference “Advancing On-Site Wastewater Systems”. Univ. New England, Armidale, 25-27 September 2001.</w:t>
      </w:r>
    </w:p>
    <w:p w14:paraId="3B6A0A98" w14:textId="77777777" w:rsidR="00871A83" w:rsidRPr="006D4B7C" w:rsidRDefault="00871A83" w:rsidP="00871A83">
      <w:pPr>
        <w:overflowPunct w:val="0"/>
        <w:autoSpaceDE w:val="0"/>
        <w:autoSpaceDN w:val="0"/>
        <w:adjustRightInd w:val="0"/>
        <w:spacing w:before="120"/>
        <w:jc w:val="both"/>
        <w:textAlignment w:val="baseline"/>
        <w:rPr>
          <w:rFonts w:cs="Arial"/>
          <w:sz w:val="20"/>
          <w:szCs w:val="20"/>
        </w:rPr>
      </w:pPr>
      <w:r w:rsidRPr="006D4B7C">
        <w:rPr>
          <w:rFonts w:cs="Arial"/>
          <w:sz w:val="20"/>
          <w:szCs w:val="20"/>
        </w:rPr>
        <w:t xml:space="preserve">Webb, C.P., (2010). </w:t>
      </w:r>
      <w:hyperlink r:id="rId25" w:history="1">
        <w:r w:rsidRPr="006D4B7C">
          <w:rPr>
            <w:rFonts w:cs="Arial"/>
            <w:color w:val="0000FF"/>
            <w:sz w:val="20"/>
            <w:szCs w:val="20"/>
            <w:u w:val="single"/>
          </w:rPr>
          <w:t>Bureau of Meteorology Reference Evapotranspiration Calculations</w:t>
        </w:r>
      </w:hyperlink>
      <w:r w:rsidRPr="006D4B7C">
        <w:rPr>
          <w:rFonts w:cs="Arial"/>
          <w:sz w:val="20"/>
          <w:szCs w:val="20"/>
        </w:rPr>
        <w:t xml:space="preserve"> , pp20.</w:t>
      </w:r>
    </w:p>
    <w:p w14:paraId="6E25406F" w14:textId="77777777" w:rsidR="00871A83" w:rsidRPr="006D4B7C" w:rsidRDefault="00871A83" w:rsidP="00871A83">
      <w:pPr>
        <w:widowControl w:val="0"/>
        <w:autoSpaceDE w:val="0"/>
        <w:autoSpaceDN w:val="0"/>
        <w:adjustRightInd w:val="0"/>
        <w:spacing w:before="120"/>
        <w:jc w:val="both"/>
        <w:outlineLvl w:val="0"/>
        <w:rPr>
          <w:rFonts w:cs="Arial"/>
          <w:sz w:val="20"/>
          <w:szCs w:val="20"/>
        </w:rPr>
      </w:pPr>
      <w:bookmarkStart w:id="211" w:name="_Toc377562470"/>
      <w:r w:rsidRPr="006D4B7C">
        <w:rPr>
          <w:rFonts w:cs="Arial"/>
          <w:sz w:val="20"/>
          <w:szCs w:val="20"/>
        </w:rPr>
        <w:t>USEPA (2002)</w:t>
      </w:r>
      <w:r w:rsidRPr="006D4B7C">
        <w:rPr>
          <w:rFonts w:cs="Arial"/>
          <w:i/>
          <w:iCs/>
          <w:sz w:val="20"/>
          <w:szCs w:val="20"/>
        </w:rPr>
        <w:t xml:space="preserve"> Onsite Wastewater Treatment Systems Manual. </w:t>
      </w:r>
      <w:r w:rsidRPr="006D4B7C">
        <w:rPr>
          <w:rFonts w:cs="Arial"/>
          <w:sz w:val="20"/>
          <w:szCs w:val="20"/>
        </w:rPr>
        <w:t xml:space="preserve"> United States Environmental Protection Agency.</w:t>
      </w:r>
      <w:bookmarkEnd w:id="211"/>
    </w:p>
    <w:p w14:paraId="5DAA483A" w14:textId="1F5DB36E" w:rsidR="00871A83" w:rsidRPr="00354BAF" w:rsidRDefault="00871A83" w:rsidP="00B375CE">
      <w:pPr>
        <w:pStyle w:val="Heading1"/>
        <w:ind w:left="360"/>
      </w:pPr>
      <w:r w:rsidRPr="006D4B7C">
        <w:br w:type="page"/>
      </w:r>
      <w:bookmarkStart w:id="212" w:name="_Toc377562471"/>
      <w:bookmarkStart w:id="213" w:name="_Toc378688106"/>
      <w:r w:rsidRPr="006D4B7C">
        <w:rPr>
          <w:noProof/>
        </w:rPr>
        <w:lastRenderedPageBreak/>
        <w:t>Appendix 1: Water Balance Calculations</w:t>
      </w:r>
      <w:bookmarkEnd w:id="212"/>
      <w:bookmarkEnd w:id="213"/>
    </w:p>
    <w:p w14:paraId="68A1D347" w14:textId="77777777" w:rsidR="00871A83" w:rsidRPr="006D4B7C" w:rsidRDefault="00871A83" w:rsidP="00871A83">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outlineLvl w:val="0"/>
        <w:rPr>
          <w:rFonts w:cs="Arial"/>
          <w:b/>
          <w:noProof/>
          <w:sz w:val="20"/>
          <w:szCs w:val="20"/>
        </w:rPr>
      </w:pPr>
      <w:bookmarkStart w:id="214" w:name="_Toc377562472"/>
      <w:r w:rsidRPr="006D4B7C">
        <w:rPr>
          <w:rFonts w:cs="Arial"/>
          <w:b/>
          <w:noProof/>
          <w:sz w:val="20"/>
          <w:szCs w:val="20"/>
        </w:rPr>
        <w:t>precipitation + applied effluent = evapotranspiration + percolation + runoff</w:t>
      </w:r>
      <w:bookmarkEnd w:id="214"/>
    </w:p>
    <w:p w14:paraId="27EE19BF" w14:textId="28BFC671" w:rsidR="00871A83" w:rsidRPr="006D4B7C" w:rsidRDefault="00871A83" w:rsidP="00D1198B">
      <w:r w:rsidRPr="006D4B7C">
        <w:t>The above calculation is undertaken for each month (in a monthly water balance), in a spreadsheet (such as the MS Excel spreadsheet tool provided with this guideline). The minimum area required is based on the ‘worst’ month of the year where the inputs are highest relative to the outputs (usually in winter). The theoretical calculation steps for each of the input and output parameters for the Model LCA water balance are provided below, along with the model spreads</w:t>
      </w:r>
      <w:r w:rsidR="00354BAF">
        <w:t>heet from the Model LCA report.</w:t>
      </w:r>
    </w:p>
    <w:p w14:paraId="6A609A4B" w14:textId="2BB3BA0F" w:rsidR="00871A83" w:rsidRPr="0096018B" w:rsidRDefault="00871A83" w:rsidP="0096018B">
      <w:pPr>
        <w:rPr>
          <w:iCs/>
          <w:sz w:val="20"/>
          <w:szCs w:val="20"/>
        </w:rPr>
      </w:pPr>
      <w:bookmarkStart w:id="215" w:name="_Toc377562473"/>
      <w:bookmarkStart w:id="216" w:name="_Toc377562897"/>
      <w:bookmarkStart w:id="217" w:name="_Toc378688107"/>
      <w:r w:rsidRPr="0096018B">
        <w:rPr>
          <w:rStyle w:val="Heading2Char"/>
          <w:rFonts w:eastAsia="Calibri"/>
        </w:rPr>
        <w:t>Inputs</w:t>
      </w:r>
      <w:bookmarkEnd w:id="215"/>
      <w:bookmarkEnd w:id="216"/>
      <w:bookmarkEnd w:id="217"/>
      <w:r w:rsidR="00354BAF" w:rsidRPr="0096018B">
        <w:rPr>
          <w:iCs/>
          <w:sz w:val="20"/>
          <w:szCs w:val="20"/>
        </w:rPr>
        <w:t>:</w:t>
      </w:r>
    </w:p>
    <w:p w14:paraId="170C13BA" w14:textId="77777777" w:rsidR="00871A83" w:rsidRPr="00D1198B" w:rsidRDefault="00871A83" w:rsidP="00D1198B">
      <w:pPr>
        <w:spacing w:after="0"/>
        <w:rPr>
          <w:u w:val="single"/>
        </w:rPr>
      </w:pPr>
      <w:r w:rsidRPr="00D1198B">
        <w:rPr>
          <w:u w:val="single"/>
        </w:rPr>
        <w:t>Retained Rainfall (RR)</w:t>
      </w:r>
    </w:p>
    <w:p w14:paraId="3175A99F" w14:textId="6F1E7C93" w:rsidR="00871A83" w:rsidRPr="006D4B7C" w:rsidRDefault="00871A83" w:rsidP="00D1198B">
      <w:r w:rsidRPr="006D4B7C">
        <w:t>Usually, the mean monthly rainfall (R) from BoM data for a meteorological station closest to the site is used. Depending on Council requirements, 50</w:t>
      </w:r>
      <w:r w:rsidRPr="006D4B7C">
        <w:rPr>
          <w:vertAlign w:val="superscript"/>
        </w:rPr>
        <w:t>th</w:t>
      </w:r>
      <w:r w:rsidRPr="006D4B7C">
        <w:t xml:space="preserve"> percentile (median) or other percentiles can be used. Percentiles other than 10</w:t>
      </w:r>
      <w:r w:rsidRPr="006D4B7C">
        <w:rPr>
          <w:vertAlign w:val="superscript"/>
        </w:rPr>
        <w:t>th</w:t>
      </w:r>
      <w:r w:rsidRPr="006D4B7C">
        <w:t>, 50</w:t>
      </w:r>
      <w:r w:rsidRPr="006D4B7C">
        <w:rPr>
          <w:vertAlign w:val="superscript"/>
        </w:rPr>
        <w:t>th</w:t>
      </w:r>
      <w:r w:rsidRPr="006D4B7C">
        <w:t xml:space="preserve"> and 90</w:t>
      </w:r>
      <w:r w:rsidRPr="006D4B7C">
        <w:rPr>
          <w:vertAlign w:val="superscript"/>
        </w:rPr>
        <w:t>th</w:t>
      </w:r>
      <w:r w:rsidRPr="006D4B7C">
        <w:t xml:space="preserve"> will need to be sourced from specialist tools (such as Data Drill) from the BoM Department of Water and th</w:t>
      </w:r>
      <w:r w:rsidR="00354BAF">
        <w:t xml:space="preserve">e Land (WATL), formerly SILO.  </w:t>
      </w:r>
    </w:p>
    <w:p w14:paraId="33C70A0F" w14:textId="6E90F0FC" w:rsidR="00871A83" w:rsidRPr="006D4B7C" w:rsidRDefault="00871A83" w:rsidP="00D1198B">
      <w:r w:rsidRPr="006D4B7C">
        <w:t xml:space="preserve">In the Model LCA example, the highest mean rainfall </w:t>
      </w:r>
      <w:r w:rsidR="00354BAF">
        <w:t xml:space="preserve">month is 63.8 mm for November. </w:t>
      </w:r>
    </w:p>
    <w:p w14:paraId="39526154" w14:textId="4979DEC5" w:rsidR="00871A83" w:rsidRPr="006D4B7C" w:rsidRDefault="00354BAF" w:rsidP="00D1198B">
      <w:r>
        <w:t>R = 63.8 mm/month</w:t>
      </w:r>
    </w:p>
    <w:p w14:paraId="6A77626C" w14:textId="0EC8BD1D" w:rsidR="00871A83" w:rsidRPr="006D4B7C" w:rsidRDefault="00871A83" w:rsidP="00D1198B">
      <w:r w:rsidRPr="006D4B7C">
        <w:t>Retained Rainfall (RR) is the proportion that will percolate into the soil profile. In the Model LCA example, for an irrigation area, it is assumed that all rainfall will percolate, i.e. the Rainfall Runoff Factor (RF) is 1. For trenches and beds, where the upper surface of the trench or bed can be mounded to shed some incident rainfall, the Rainfall Runoff Factor (RF) is 0.75. This represents a conservativ</w:t>
      </w:r>
      <w:r w:rsidR="00354BAF">
        <w:t>e approach for a water balance.</w:t>
      </w:r>
    </w:p>
    <w:p w14:paraId="1E0A95F0" w14:textId="49574F55" w:rsidR="00871A83" w:rsidRPr="006D4B7C" w:rsidRDefault="00871A83" w:rsidP="00D1198B">
      <w:r w:rsidRPr="006D4B7C">
        <w:t>Hence Retained Rainfall (RR) is calculated as the product of Rainfall (R) and the Rainfall Runoff Factor (RF)</w:t>
      </w:r>
      <w:r w:rsidR="00354BAF">
        <w:t>.</w:t>
      </w:r>
    </w:p>
    <w:p w14:paraId="1726D7F5" w14:textId="77777777" w:rsidR="00871A83" w:rsidRPr="00D1198B" w:rsidRDefault="00871A83" w:rsidP="00D1198B">
      <w:pPr>
        <w:spacing w:after="0"/>
        <w:rPr>
          <w:u w:val="single"/>
        </w:rPr>
      </w:pPr>
      <w:r w:rsidRPr="00D1198B">
        <w:rPr>
          <w:u w:val="single"/>
        </w:rPr>
        <w:t>Applied Effluent (W)</w:t>
      </w:r>
    </w:p>
    <w:p w14:paraId="14520992" w14:textId="49559A2D" w:rsidR="00871A83" w:rsidRPr="006D4B7C" w:rsidRDefault="00871A83" w:rsidP="00D1198B">
      <w:r w:rsidRPr="006D4B7C">
        <w:t>Daily flow (Q) x no. of days (D) ÷ nominated land application area (L).</w:t>
      </w:r>
    </w:p>
    <w:p w14:paraId="567F7A10" w14:textId="1CACFC5A" w:rsidR="00871A83" w:rsidRPr="006D4B7C" w:rsidRDefault="00871A83" w:rsidP="00D1198B">
      <w:r w:rsidRPr="006D4B7C">
        <w:t xml:space="preserve">Note that L can be adjusted iteratively in the spreadsheet, or a value nominated </w:t>
      </w:r>
      <w:r w:rsidR="00354BAF">
        <w:t>if a specific area of land is av</w:t>
      </w:r>
      <w:r w:rsidRPr="006D4B7C">
        <w:t>ail</w:t>
      </w:r>
      <w:r w:rsidR="00354BAF">
        <w:t xml:space="preserve">able for effluent application. </w:t>
      </w:r>
    </w:p>
    <w:p w14:paraId="3FAB6B6B" w14:textId="1926A106" w:rsidR="00871A83" w:rsidRPr="006D4B7C" w:rsidRDefault="00871A83" w:rsidP="00D1198B">
      <w:r w:rsidRPr="006D4B7C">
        <w:t>In the Model LCA example, the highest effluent load is 87.1 mm/month for months with 31 days, as</w:t>
      </w:r>
      <w:r w:rsidR="00354BAF">
        <w:t>suming a nominated area of 267.</w:t>
      </w:r>
    </w:p>
    <w:p w14:paraId="1F01B234" w14:textId="79FC20EB" w:rsidR="00871A83" w:rsidRDefault="00871A83" w:rsidP="00D1198B">
      <w:r w:rsidRPr="006D4B7C">
        <w:t>W = 87.1 mm/month.</w:t>
      </w:r>
    </w:p>
    <w:p w14:paraId="0AB1AC2B" w14:textId="77777777" w:rsidR="00D1198B" w:rsidRDefault="00D1198B" w:rsidP="00D1198B"/>
    <w:p w14:paraId="5D26A8BD" w14:textId="77777777" w:rsidR="00D1198B" w:rsidRPr="006D4B7C" w:rsidRDefault="00D1198B" w:rsidP="00D1198B"/>
    <w:p w14:paraId="1F1E4896" w14:textId="77777777" w:rsidR="00871A83" w:rsidRPr="00D1198B" w:rsidRDefault="00871A83" w:rsidP="00D1198B">
      <w:pPr>
        <w:spacing w:after="0"/>
        <w:rPr>
          <w:u w:val="single"/>
        </w:rPr>
      </w:pPr>
      <w:r w:rsidRPr="00D1198B">
        <w:rPr>
          <w:u w:val="single"/>
        </w:rPr>
        <w:lastRenderedPageBreak/>
        <w:t>Evapotranspiration (ET)</w:t>
      </w:r>
    </w:p>
    <w:p w14:paraId="67D37835" w14:textId="77777777" w:rsidR="00871A83" w:rsidRPr="006D4B7C" w:rsidRDefault="00871A83" w:rsidP="00D1198B">
      <w:r w:rsidRPr="006D4B7C">
        <w:t xml:space="preserve">Monthly mean pan evaporation (E), from nearby BoM station or other appropriate source x the crop factor (C) for the month. </w:t>
      </w:r>
    </w:p>
    <w:p w14:paraId="571AD61B" w14:textId="5887CAFC" w:rsidR="00871A83" w:rsidRPr="006D4B7C" w:rsidRDefault="00871A83" w:rsidP="00D1198B">
      <w:r w:rsidRPr="006D4B7C">
        <w:t>In the Model LCA example, the lowest ET is 25 mm for June (evaporation 42 mm x 0.6 crop factor).</w:t>
      </w:r>
    </w:p>
    <w:p w14:paraId="54421BD7" w14:textId="7A1EB887" w:rsidR="00871A83" w:rsidRPr="006D4B7C" w:rsidRDefault="00871A83" w:rsidP="00D1198B">
      <w:r w:rsidRPr="006D4B7C">
        <w:t>ET = 25 mm/month.</w:t>
      </w:r>
      <w:r w:rsidR="00354BAF">
        <w:t xml:space="preserve">   </w:t>
      </w:r>
    </w:p>
    <w:p w14:paraId="0732F40E" w14:textId="77777777" w:rsidR="00871A83" w:rsidRPr="00D1198B" w:rsidRDefault="00871A83" w:rsidP="00D1198B">
      <w:pPr>
        <w:spacing w:after="0"/>
        <w:rPr>
          <w:u w:val="single"/>
        </w:rPr>
      </w:pPr>
      <w:r w:rsidRPr="00D1198B">
        <w:rPr>
          <w:u w:val="single"/>
        </w:rPr>
        <w:t>Percolation (B)</w:t>
      </w:r>
    </w:p>
    <w:p w14:paraId="738B4EFF" w14:textId="3C966CFF" w:rsidR="00871A83" w:rsidRPr="006D4B7C" w:rsidRDefault="00871A83" w:rsidP="00D1198B">
      <w:r w:rsidRPr="006D4B7C">
        <w:t>The design percolation rate is the daily Design Irrigation Rate (DIR), for irrigation areas or the Design Loading Rate (DLR) for trenches and beds, as specified by the EPA Code of Practice (201</w:t>
      </w:r>
      <w:r w:rsidR="00354BAF">
        <w:t xml:space="preserve">3) x no. of days in the month. </w:t>
      </w:r>
    </w:p>
    <w:p w14:paraId="5AD5D970" w14:textId="03CE422F" w:rsidR="00871A83" w:rsidRPr="006D4B7C" w:rsidRDefault="00354BAF" w:rsidP="00D1198B">
      <w:r>
        <w:t>In the Mo</w:t>
      </w:r>
      <w:r w:rsidR="00871A83" w:rsidRPr="006D4B7C">
        <w:t xml:space="preserve">del LCA example, the lowest B rate </w:t>
      </w:r>
      <w:r>
        <w:t xml:space="preserve">is 98 mm/month for February.   </w:t>
      </w:r>
    </w:p>
    <w:p w14:paraId="743B7127" w14:textId="1ACDB2EF" w:rsidR="00871A83" w:rsidRPr="006D4B7C" w:rsidRDefault="00871A83" w:rsidP="00D1198B">
      <w:r w:rsidRPr="006D4B7C">
        <w:t>B = 98 mm/month.</w:t>
      </w:r>
    </w:p>
    <w:p w14:paraId="2770DEDA" w14:textId="77777777" w:rsidR="00871A83" w:rsidRPr="00D1198B" w:rsidRDefault="00871A83" w:rsidP="00D1198B">
      <w:pPr>
        <w:spacing w:after="0"/>
        <w:rPr>
          <w:u w:val="single"/>
        </w:rPr>
      </w:pPr>
      <w:r w:rsidRPr="00D1198B">
        <w:rPr>
          <w:u w:val="single"/>
        </w:rPr>
        <w:t xml:space="preserve">Runoff </w:t>
      </w:r>
    </w:p>
    <w:p w14:paraId="29C2CAFA" w14:textId="553B7F25" w:rsidR="00871A83" w:rsidRPr="006D4B7C" w:rsidRDefault="00871A83" w:rsidP="00D1198B">
      <w:r w:rsidRPr="006D4B7C">
        <w:t>Runoff is the proportion of rainfall that does not percolate into the soil profile. It is reflected in the Retained Rain</w:t>
      </w:r>
      <w:r w:rsidR="00354BAF">
        <w:t xml:space="preserve">fall (RR) calculation step.    </w:t>
      </w:r>
    </w:p>
    <w:p w14:paraId="30F1ACD1" w14:textId="77777777" w:rsidR="00871A83" w:rsidRPr="00D1198B" w:rsidRDefault="00871A83" w:rsidP="00D1198B">
      <w:pPr>
        <w:spacing w:after="0"/>
        <w:rPr>
          <w:u w:val="single"/>
        </w:rPr>
      </w:pPr>
      <w:r w:rsidRPr="00D1198B">
        <w:rPr>
          <w:u w:val="single"/>
        </w:rPr>
        <w:t>Required land area</w:t>
      </w:r>
    </w:p>
    <w:p w14:paraId="34235518" w14:textId="66899C22" w:rsidR="00871A83" w:rsidRPr="006D4B7C" w:rsidRDefault="00354BAF" w:rsidP="00D1198B">
      <w:r>
        <w:t>This is calculated as follows:</w:t>
      </w:r>
    </w:p>
    <w:p w14:paraId="51278AE3" w14:textId="4837C18E" w:rsidR="00871A83" w:rsidRPr="006D4B7C" w:rsidRDefault="00871A83" w:rsidP="00D1198B">
      <w:r w:rsidRPr="006D4B7C">
        <w:t>Q x no. days in month ÷ (ET – RR + B).</w:t>
      </w:r>
    </w:p>
    <w:p w14:paraId="52113EB3" w14:textId="66AC2ABD" w:rsidR="00871A83" w:rsidRPr="006D4B7C" w:rsidRDefault="00871A83" w:rsidP="00D1198B">
      <w:r w:rsidRPr="006D4B7C">
        <w:t>In the Model LCA example, the ‘wo</w:t>
      </w:r>
      <w:r w:rsidR="00354BAF">
        <w:t>rst’ month of the year is June:</w:t>
      </w:r>
    </w:p>
    <w:p w14:paraId="4C409459" w14:textId="75F07A43" w:rsidR="00871A83" w:rsidRPr="00354BAF" w:rsidRDefault="00871A83" w:rsidP="00D1198B">
      <w:r w:rsidRPr="006D4B7C">
        <w:t>22,500 ÷ (25 – 45.7 + 105) = 267.</w:t>
      </w:r>
    </w:p>
    <w:p w14:paraId="515B2EE0" w14:textId="03DEC049" w:rsidR="00871A83" w:rsidRPr="006D4B7C" w:rsidRDefault="00871A83" w:rsidP="00D1198B">
      <w:r w:rsidRPr="006D4B7C">
        <w:t>The spreadsheet calculates the surplus effluent load for the month, in order to determine the minimum applica</w:t>
      </w:r>
      <w:r w:rsidR="00354BAF">
        <w:t>tion area required, as follows:</w:t>
      </w:r>
    </w:p>
    <w:p w14:paraId="32223166" w14:textId="77777777" w:rsidR="00871A83" w:rsidRPr="006D4B7C" w:rsidRDefault="00871A83" w:rsidP="00D1198B">
      <w:r w:rsidRPr="006D4B7C">
        <w:t>(Retained Rainfall + Applied Effluent) – (Evapotranspiration + Percolation).</w:t>
      </w:r>
    </w:p>
    <w:p w14:paraId="64CDF0B7" w14:textId="77777777" w:rsidR="00871A83" w:rsidRPr="006D4B7C" w:rsidRDefault="00871A83" w:rsidP="00871A83">
      <w:pPr>
        <w:rPr>
          <w:rFonts w:cs="Arial"/>
          <w:bCs/>
          <w:iCs/>
          <w:sz w:val="20"/>
          <w:szCs w:val="20"/>
        </w:rPr>
      </w:pPr>
      <w:r w:rsidRPr="006D4B7C">
        <w:rPr>
          <w:rFonts w:cs="Arial"/>
          <w:bCs/>
          <w:iCs/>
          <w:sz w:val="20"/>
          <w:szCs w:val="20"/>
        </w:rPr>
        <w:br w:type="page"/>
      </w:r>
    </w:p>
    <w:p w14:paraId="78038CB6" w14:textId="14C8C018" w:rsidR="00871A83" w:rsidRPr="00D1198B" w:rsidRDefault="00871A83" w:rsidP="009F0893">
      <w:pPr>
        <w:pStyle w:val="Heading1"/>
        <w:numPr>
          <w:ilvl w:val="0"/>
          <w:numId w:val="45"/>
        </w:numPr>
      </w:pPr>
      <w:bookmarkStart w:id="218" w:name="_Toc377562474"/>
      <w:bookmarkStart w:id="219" w:name="_Toc378688108"/>
      <w:r w:rsidRPr="006D4B7C">
        <w:rPr>
          <w:noProof/>
          <w:sz w:val="20"/>
          <w:szCs w:val="20"/>
          <w:lang w:val="en-AU" w:eastAsia="en-AU"/>
        </w:rPr>
        <w:lastRenderedPageBreak/>
        <w:drawing>
          <wp:anchor distT="0" distB="0" distL="114300" distR="114300" simplePos="0" relativeHeight="251659264" behindDoc="1" locked="0" layoutInCell="1" allowOverlap="1" wp14:anchorId="24B7E6A5" wp14:editId="140F09DE">
            <wp:simplePos x="0" y="0"/>
            <wp:positionH relativeFrom="margin">
              <wp:align>left</wp:align>
            </wp:positionH>
            <wp:positionV relativeFrom="paragraph">
              <wp:posOffset>1183005</wp:posOffset>
            </wp:positionV>
            <wp:extent cx="8254365" cy="5888990"/>
            <wp:effectExtent l="1588" t="0" r="0" b="0"/>
            <wp:wrapTight wrapText="bothSides">
              <wp:wrapPolygon edited="0">
                <wp:start x="21596" y="-6"/>
                <wp:lineTo x="61" y="-6"/>
                <wp:lineTo x="61" y="21515"/>
                <wp:lineTo x="21596" y="21515"/>
                <wp:lineTo x="21596" y="-6"/>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8254365" cy="5888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B7C">
        <w:rPr>
          <w:noProof/>
          <w:sz w:val="20"/>
          <w:szCs w:val="20"/>
        </w:rPr>
        <w:br w:type="page"/>
      </w:r>
      <w:r w:rsidRPr="00D1198B">
        <w:rPr>
          <w:rStyle w:val="Heading1Char"/>
          <w:rFonts w:eastAsia="Calibri"/>
          <w:b/>
          <w:bCs/>
        </w:rPr>
        <w:lastRenderedPageBreak/>
        <w:t>Appendix 2: Nutrient Balance Calculations</w:t>
      </w:r>
      <w:bookmarkEnd w:id="218"/>
      <w:bookmarkEnd w:id="219"/>
    </w:p>
    <w:p w14:paraId="3EB6C762" w14:textId="044B884F" w:rsidR="00871A83" w:rsidRPr="006D4B7C" w:rsidRDefault="00871A83" w:rsidP="00D1198B">
      <w:pPr>
        <w:rPr>
          <w:noProof/>
        </w:rPr>
      </w:pPr>
      <w:r w:rsidRPr="006D4B7C">
        <w:rPr>
          <w:noProof/>
        </w:rPr>
        <w:t>Nutrient balance calculations are best undertaken using a spreadsheet (such as the MS Excel tool provided with this guideline). Note the following example uses generic values and is based on the hypothetical case study in the Model LCA report in Appendix 3. Where available, site specific data should be used for</w:t>
      </w:r>
      <w:r w:rsidR="00354BAF">
        <w:rPr>
          <w:noProof/>
        </w:rPr>
        <w:t xml:space="preserve"> nutrient balance calculations.</w:t>
      </w:r>
    </w:p>
    <w:p w14:paraId="31D9251D" w14:textId="4B4001F2" w:rsidR="00871A83" w:rsidRPr="00D1198B" w:rsidRDefault="00871A83" w:rsidP="00D1198B">
      <w:pPr>
        <w:rPr>
          <w:b/>
          <w:noProof/>
        </w:rPr>
      </w:pPr>
      <w:r w:rsidRPr="00D1198B">
        <w:rPr>
          <w:b/>
          <w:noProof/>
        </w:rPr>
        <w:t>Hypothetical Nitrogen (N) Balance using design factors from Model LCA Report Water Balance (Appendix 3)</w:t>
      </w:r>
    </w:p>
    <w:p w14:paraId="727188EC" w14:textId="77777777" w:rsidR="00871A83" w:rsidRPr="00D1198B" w:rsidRDefault="00871A83" w:rsidP="00D1198B">
      <w:pPr>
        <w:rPr>
          <w:noProof/>
          <w:u w:val="single"/>
        </w:rPr>
      </w:pPr>
      <w:r w:rsidRPr="00D1198B">
        <w:rPr>
          <w:noProof/>
          <w:u w:val="single"/>
        </w:rPr>
        <w:t>1. Determine the daily N load</w:t>
      </w:r>
    </w:p>
    <w:p w14:paraId="089EB934" w14:textId="77777777" w:rsidR="00871A83" w:rsidRPr="006D4B7C" w:rsidRDefault="00871A83" w:rsidP="00D1198B">
      <w:pPr>
        <w:rPr>
          <w:noProof/>
        </w:rPr>
      </w:pPr>
      <w:r w:rsidRPr="006D4B7C">
        <w:rPr>
          <w:noProof/>
        </w:rPr>
        <w:t xml:space="preserve">Total Nitrogen (TN) efﬂuent concentration: 25 mg/L (EPA Publication 464.2 cites TN range of 10-30 mg/L for secondary systems) </w:t>
      </w:r>
    </w:p>
    <w:p w14:paraId="4C33AFEB" w14:textId="77777777" w:rsidR="00871A83" w:rsidRPr="006D4B7C" w:rsidRDefault="00871A83" w:rsidP="00D1198B">
      <w:pPr>
        <w:rPr>
          <w:noProof/>
        </w:rPr>
      </w:pPr>
      <w:r w:rsidRPr="006D4B7C">
        <w:rPr>
          <w:noProof/>
        </w:rPr>
        <w:t>Daily hydraulic load: 750 L/day</w:t>
      </w:r>
    </w:p>
    <w:p w14:paraId="2E53C0B6" w14:textId="1731D495" w:rsidR="00871A83" w:rsidRPr="00354BAF" w:rsidRDefault="00871A83" w:rsidP="00D1198B">
      <w:pPr>
        <w:rPr>
          <w:noProof/>
        </w:rPr>
      </w:pPr>
      <w:r w:rsidRPr="006D4B7C">
        <w:rPr>
          <w:noProof/>
        </w:rPr>
        <w:t>Daily N load: 25 m</w:t>
      </w:r>
      <w:r w:rsidR="00354BAF">
        <w:rPr>
          <w:noProof/>
        </w:rPr>
        <w:t>g/L x 750 L/day = 18,750 mg/day</w:t>
      </w:r>
    </w:p>
    <w:p w14:paraId="5E14C32F" w14:textId="77777777" w:rsidR="00871A83" w:rsidRPr="00D1198B" w:rsidRDefault="00871A83" w:rsidP="00D1198B">
      <w:pPr>
        <w:rPr>
          <w:noProof/>
          <w:u w:val="single"/>
        </w:rPr>
      </w:pPr>
      <w:r w:rsidRPr="00D1198B">
        <w:rPr>
          <w:noProof/>
          <w:u w:val="single"/>
        </w:rPr>
        <w:t>2. Determine the annual N load</w:t>
      </w:r>
    </w:p>
    <w:p w14:paraId="5D90BD56" w14:textId="77777777" w:rsidR="00871A83" w:rsidRPr="006D4B7C" w:rsidRDefault="00871A83" w:rsidP="00D1198B">
      <w:pPr>
        <w:rPr>
          <w:noProof/>
        </w:rPr>
      </w:pPr>
      <w:r w:rsidRPr="006D4B7C">
        <w:rPr>
          <w:noProof/>
        </w:rPr>
        <w:t xml:space="preserve">18,750 mg/day x 365 days/year = 6,843,750 mg/year </w:t>
      </w:r>
    </w:p>
    <w:p w14:paraId="1C03B587" w14:textId="6DB503CF" w:rsidR="00871A83" w:rsidRPr="00354BAF" w:rsidRDefault="00354BAF" w:rsidP="00D1198B">
      <w:pPr>
        <w:rPr>
          <w:noProof/>
        </w:rPr>
      </w:pPr>
      <w:r>
        <w:rPr>
          <w:noProof/>
        </w:rPr>
        <w:t>Annual N load = 6.84 kg/year</w:t>
      </w:r>
    </w:p>
    <w:p w14:paraId="5557AB06" w14:textId="77777777" w:rsidR="00871A83" w:rsidRPr="00D1198B" w:rsidRDefault="00871A83" w:rsidP="00D1198B">
      <w:pPr>
        <w:rPr>
          <w:noProof/>
          <w:u w:val="single"/>
        </w:rPr>
      </w:pPr>
      <w:r w:rsidRPr="00D1198B">
        <w:rPr>
          <w:noProof/>
          <w:u w:val="single"/>
        </w:rPr>
        <w:t>3. Allow 20% loss through denitriﬁcation, volatilization, microbial digestion and other processes</w:t>
      </w:r>
    </w:p>
    <w:p w14:paraId="1F48DAC0" w14:textId="77777777" w:rsidR="00871A83" w:rsidRPr="006D4B7C" w:rsidRDefault="00871A83" w:rsidP="00D1198B">
      <w:pPr>
        <w:rPr>
          <w:noProof/>
        </w:rPr>
      </w:pPr>
      <w:r w:rsidRPr="006D4B7C">
        <w:rPr>
          <w:noProof/>
        </w:rPr>
        <w:t>6.84 kg/year x 0.8 = 5.48 kg/year</w:t>
      </w:r>
    </w:p>
    <w:p w14:paraId="22BFC509" w14:textId="5460186E" w:rsidR="00871A83" w:rsidRPr="00354BAF" w:rsidRDefault="00354BAF" w:rsidP="00D1198B">
      <w:pPr>
        <w:rPr>
          <w:noProof/>
        </w:rPr>
      </w:pPr>
      <w:r>
        <w:rPr>
          <w:noProof/>
        </w:rPr>
        <w:t>Annual N load = 5.48 kg/year</w:t>
      </w:r>
    </w:p>
    <w:p w14:paraId="31F6A324" w14:textId="77777777" w:rsidR="00871A83" w:rsidRPr="00D1198B" w:rsidRDefault="00871A83" w:rsidP="00D1198B">
      <w:pPr>
        <w:rPr>
          <w:noProof/>
          <w:u w:val="single"/>
        </w:rPr>
      </w:pPr>
      <w:r w:rsidRPr="00D1198B">
        <w:rPr>
          <w:noProof/>
          <w:u w:val="single"/>
        </w:rPr>
        <w:t>4. Allow for N uptake by plants of 220 kg/ha/year</w:t>
      </w:r>
    </w:p>
    <w:p w14:paraId="133B32F8" w14:textId="6987F88A" w:rsidR="00871A83" w:rsidRPr="006D4B7C" w:rsidRDefault="00871A83" w:rsidP="00D1198B">
      <w:pPr>
        <w:rPr>
          <w:noProof/>
        </w:rPr>
      </w:pPr>
      <w:r w:rsidRPr="006D4B7C">
        <w:rPr>
          <w:noProof/>
        </w:rPr>
        <w:t>Where  available, plant uptake rates that relate speciﬁcally to the site should be utilized. This ﬁgure is suitable for a regularly maintained grass cover. Refer Appendix F of</w:t>
      </w:r>
      <w:r w:rsidR="00354BAF">
        <w:rPr>
          <w:noProof/>
        </w:rPr>
        <w:t xml:space="preserve"> EPA Publication 464.2 (2003). </w:t>
      </w:r>
    </w:p>
    <w:p w14:paraId="611F16EE" w14:textId="77777777" w:rsidR="00871A83" w:rsidRPr="006D4B7C" w:rsidRDefault="00871A83" w:rsidP="00D1198B">
      <w:pPr>
        <w:rPr>
          <w:noProof/>
        </w:rPr>
      </w:pPr>
      <w:r w:rsidRPr="006D4B7C">
        <w:rPr>
          <w:noProof/>
        </w:rPr>
        <w:t>Divide the annual N load by the N uptake rate</w:t>
      </w:r>
    </w:p>
    <w:p w14:paraId="4E191418" w14:textId="374C593B" w:rsidR="00871A83" w:rsidRPr="006D4B7C" w:rsidRDefault="00871A83" w:rsidP="00D1198B">
      <w:pPr>
        <w:rPr>
          <w:noProof/>
        </w:rPr>
      </w:pPr>
      <w:r w:rsidRPr="006D4B7C">
        <w:rPr>
          <w:noProof/>
        </w:rPr>
        <w:t>5.48 kg/ye</w:t>
      </w:r>
      <w:r w:rsidR="00354BAF">
        <w:rPr>
          <w:noProof/>
        </w:rPr>
        <w:t>ar ÷ 220 kg/ha/year = 0.0249 ha</w:t>
      </w:r>
    </w:p>
    <w:p w14:paraId="3324AB05" w14:textId="77777777" w:rsidR="00871A83" w:rsidRPr="006D4B7C" w:rsidRDefault="00871A83" w:rsidP="00D1198B">
      <w:pPr>
        <w:rPr>
          <w:noProof/>
        </w:rPr>
      </w:pPr>
      <w:r w:rsidRPr="006D4B7C">
        <w:rPr>
          <w:noProof/>
        </w:rPr>
        <w:t>multiply by 10,000 m</w:t>
      </w:r>
      <w:r w:rsidRPr="006D4B7C">
        <w:rPr>
          <w:noProof/>
          <w:vertAlign w:val="superscript"/>
        </w:rPr>
        <w:t>2</w:t>
      </w:r>
      <w:r w:rsidRPr="006D4B7C">
        <w:rPr>
          <w:noProof/>
        </w:rPr>
        <w:t>/ha</w:t>
      </w:r>
    </w:p>
    <w:p w14:paraId="437C8F34" w14:textId="07080A53" w:rsidR="00871A83" w:rsidRPr="006D4B7C" w:rsidRDefault="00871A83" w:rsidP="00D1198B">
      <w:pPr>
        <w:rPr>
          <w:noProof/>
        </w:rPr>
      </w:pPr>
      <w:r w:rsidRPr="006D4B7C">
        <w:rPr>
          <w:noProof/>
        </w:rPr>
        <w:t>0.0249 ha x 10,000 m</w:t>
      </w:r>
      <w:r w:rsidRPr="006D4B7C">
        <w:rPr>
          <w:noProof/>
          <w:vertAlign w:val="superscript"/>
        </w:rPr>
        <w:t>2</w:t>
      </w:r>
      <w:r w:rsidRPr="006D4B7C">
        <w:rPr>
          <w:noProof/>
        </w:rPr>
        <w:t>/ha = 249 m</w:t>
      </w:r>
      <w:r w:rsidRPr="006D4B7C">
        <w:rPr>
          <w:noProof/>
          <w:vertAlign w:val="superscript"/>
        </w:rPr>
        <w:t>2</w:t>
      </w:r>
    </w:p>
    <w:p w14:paraId="23FB42A5" w14:textId="00A21688" w:rsidR="00871A83" w:rsidRPr="00D1198B" w:rsidRDefault="00871A83" w:rsidP="00D1198B">
      <w:pPr>
        <w:rPr>
          <w:noProof/>
          <w:u w:val="single"/>
        </w:rPr>
      </w:pPr>
      <w:r w:rsidRPr="00D1198B">
        <w:rPr>
          <w:noProof/>
          <w:u w:val="single"/>
        </w:rPr>
        <w:t>Minimum area required for N uptake = 249 m</w:t>
      </w:r>
      <w:r w:rsidRPr="00D1198B">
        <w:rPr>
          <w:noProof/>
          <w:u w:val="single"/>
          <w:vertAlign w:val="superscript"/>
        </w:rPr>
        <w:t>2</w:t>
      </w:r>
    </w:p>
    <w:p w14:paraId="05AA711D" w14:textId="731F3499" w:rsidR="00871A83" w:rsidRPr="00354BAF" w:rsidRDefault="00871A83" w:rsidP="00D1198B">
      <w:pPr>
        <w:rPr>
          <w:noProof/>
        </w:rPr>
      </w:pPr>
      <w:r w:rsidRPr="006D4B7C">
        <w:rPr>
          <w:noProof/>
        </w:rPr>
        <w:t>The nitrogen balance calculation steps are shown using real data for the Model LCA report site in the spreadsheet output below. Using a nominated area of 267 m</w:t>
      </w:r>
      <w:r w:rsidRPr="006D4B7C">
        <w:rPr>
          <w:noProof/>
          <w:vertAlign w:val="superscript"/>
        </w:rPr>
        <w:t>2</w:t>
      </w:r>
      <w:r w:rsidRPr="006D4B7C">
        <w:rPr>
          <w:noProof/>
        </w:rPr>
        <w:t xml:space="preserve"> (minimum area based on water balance) the nutrient balance shows a slight nitrogen deﬁ</w:t>
      </w:r>
      <w:r w:rsidR="00354BAF">
        <w:rPr>
          <w:noProof/>
        </w:rPr>
        <w:t>cit based on an annual balance.</w:t>
      </w:r>
    </w:p>
    <w:p w14:paraId="46170059" w14:textId="77777777" w:rsidR="00D1198B" w:rsidRDefault="00871A83" w:rsidP="00D1198B">
      <w:pPr>
        <w:rPr>
          <w:noProof/>
        </w:rPr>
      </w:pPr>
      <w:r w:rsidRPr="006D4B7C">
        <w:rPr>
          <w:noProof/>
        </w:rPr>
        <w:lastRenderedPageBreak/>
        <w:t>Nutrient balance calculations demonstrate the importance of reducing both the volume of wastewater produced by a household and the concentration of nutrients within the wastewater. The implementation of wastewater and nutrient reduction initiatives such as the use composting toilets, and water-saving showerheads, taps and appliances, may lead to signiﬁcant reductions in irrigation area requirements.</w:t>
      </w:r>
    </w:p>
    <w:p w14:paraId="0F5D58BB" w14:textId="77777777" w:rsidR="00871A83" w:rsidRDefault="00871A83" w:rsidP="00871A83">
      <w:pPr>
        <w:rPr>
          <w:rFonts w:cs="Arial"/>
          <w:noProof/>
          <w:sz w:val="20"/>
          <w:szCs w:val="20"/>
        </w:rPr>
      </w:pPr>
      <w:r w:rsidRPr="006D4B7C">
        <w:rPr>
          <w:rFonts w:cs="Arial"/>
          <w:noProof/>
          <w:sz w:val="20"/>
          <w:szCs w:val="20"/>
          <w:lang w:val="en-AU" w:eastAsia="en-AU"/>
        </w:rPr>
        <w:drawing>
          <wp:inline distT="0" distB="0" distL="0" distR="0" wp14:anchorId="2801720A" wp14:editId="5A80B47C">
            <wp:extent cx="5955841" cy="4086808"/>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9792" cy="4089519"/>
                    </a:xfrm>
                    <a:prstGeom prst="rect">
                      <a:avLst/>
                    </a:prstGeom>
                    <a:noFill/>
                    <a:ln>
                      <a:noFill/>
                    </a:ln>
                  </pic:spPr>
                </pic:pic>
              </a:graphicData>
            </a:graphic>
          </wp:inline>
        </w:drawing>
      </w:r>
      <w:r w:rsidRPr="006D4B7C">
        <w:rPr>
          <w:rFonts w:cs="Arial"/>
          <w:sz w:val="20"/>
          <w:szCs w:val="20"/>
        </w:rPr>
        <w:t xml:space="preserve"> </w:t>
      </w:r>
      <w:r w:rsidRPr="006D4B7C">
        <w:rPr>
          <w:rFonts w:cs="Arial"/>
          <w:noProof/>
          <w:sz w:val="20"/>
          <w:szCs w:val="20"/>
        </w:rPr>
        <w:br w:type="page"/>
      </w:r>
    </w:p>
    <w:p w14:paraId="3D1127EE" w14:textId="77777777" w:rsidR="00A3460F" w:rsidRDefault="00A3460F" w:rsidP="00B375CE">
      <w:pPr>
        <w:pStyle w:val="Heading1"/>
        <w:ind w:left="360"/>
        <w:rPr>
          <w:noProof/>
          <w:webHidden/>
        </w:rPr>
      </w:pPr>
      <w:bookmarkStart w:id="220" w:name="_Toc377562475"/>
      <w:bookmarkStart w:id="221" w:name="_Toc378688109"/>
      <w:r w:rsidRPr="00B31B7E">
        <w:rPr>
          <w:noProof/>
        </w:rPr>
        <w:lastRenderedPageBreak/>
        <w:t xml:space="preserve">Appendix </w:t>
      </w:r>
      <w:r>
        <w:rPr>
          <w:noProof/>
        </w:rPr>
        <w:t>3</w:t>
      </w:r>
      <w:r w:rsidRPr="00152F29">
        <w:rPr>
          <w:noProof/>
        </w:rPr>
        <w:t xml:space="preserve">: </w:t>
      </w:r>
      <w:r w:rsidRPr="00152F29">
        <w:rPr>
          <w:noProof/>
          <w:webHidden/>
        </w:rPr>
        <w:t>Model Land Capability Assessment Report</w:t>
      </w:r>
      <w:bookmarkEnd w:id="220"/>
      <w:bookmarkEnd w:id="221"/>
    </w:p>
    <w:p w14:paraId="02B3D985" w14:textId="77777777" w:rsidR="00A16FA0" w:rsidRPr="00D1198B" w:rsidRDefault="00A16FA0" w:rsidP="00A16FA0">
      <w:pPr>
        <w:spacing w:after="0" w:line="240" w:lineRule="auto"/>
        <w:rPr>
          <w:rFonts w:ascii="Tahoma" w:eastAsia="Times New Roman" w:hAnsi="Tahoma" w:cs="Tahoma"/>
          <w:b/>
          <w:noProof/>
          <w:sz w:val="52"/>
          <w:szCs w:val="52"/>
          <w:lang w:val="en-AU" w:eastAsia="en-AU"/>
        </w:rPr>
      </w:pPr>
      <w:r w:rsidRPr="00D1198B">
        <w:rPr>
          <w:rFonts w:ascii="Tahoma" w:eastAsia="Times New Roman" w:hAnsi="Tahoma" w:cs="Tahoma"/>
          <w:b/>
          <w:noProof/>
          <w:sz w:val="52"/>
          <w:szCs w:val="52"/>
          <w:lang w:val="en-AU" w:eastAsia="en-AU"/>
        </w:rPr>
        <w:t>The Model Land Capability Assessment Report</w:t>
      </w:r>
    </w:p>
    <w:p w14:paraId="48AC8627"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1DA360E9"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1FC993DA"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1339D76F"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2D0A6A82"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03A4C503"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6326B803"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5F6E4692"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24963611"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31A4FAA6"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21308F4B"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5EF5F3AE" w14:textId="77777777" w:rsidR="00A16FA0" w:rsidRPr="00D1198B" w:rsidRDefault="00A16FA0" w:rsidP="00A16FA0">
      <w:pPr>
        <w:spacing w:after="0" w:line="240" w:lineRule="auto"/>
        <w:jc w:val="both"/>
        <w:outlineLvl w:val="0"/>
        <w:rPr>
          <w:rFonts w:ascii="Tahoma" w:eastAsia="Times New Roman" w:hAnsi="Tahoma" w:cs="Tahoma"/>
          <w:b/>
          <w:bCs/>
          <w:noProof/>
          <w:sz w:val="28"/>
          <w:szCs w:val="28"/>
          <w:lang w:val="en-AU" w:eastAsia="en-AU"/>
        </w:rPr>
      </w:pPr>
      <w:bookmarkStart w:id="222" w:name="_Toc377562476"/>
      <w:r w:rsidRPr="00D1198B">
        <w:rPr>
          <w:rFonts w:ascii="Tahoma" w:eastAsia="Times New Roman" w:hAnsi="Tahoma" w:cs="Tahoma"/>
          <w:b/>
          <w:bCs/>
          <w:noProof/>
          <w:sz w:val="28"/>
          <w:szCs w:val="28"/>
          <w:lang w:val="en-AU" w:eastAsia="en-AU"/>
        </w:rPr>
        <w:t>Land Capability Assessment</w:t>
      </w:r>
      <w:bookmarkEnd w:id="222"/>
    </w:p>
    <w:p w14:paraId="1C924656" w14:textId="77777777" w:rsidR="00A16FA0" w:rsidRPr="00D1198B" w:rsidRDefault="00A16FA0" w:rsidP="00A16FA0">
      <w:pPr>
        <w:spacing w:after="0" w:line="240" w:lineRule="auto"/>
        <w:jc w:val="both"/>
        <w:outlineLvl w:val="0"/>
        <w:rPr>
          <w:rFonts w:ascii="Tahoma" w:eastAsia="Times New Roman" w:hAnsi="Tahoma" w:cs="Tahoma"/>
          <w:b/>
          <w:bCs/>
          <w:noProof/>
          <w:sz w:val="28"/>
          <w:szCs w:val="28"/>
          <w:lang w:val="en-AU" w:eastAsia="en-AU"/>
        </w:rPr>
      </w:pPr>
      <w:bookmarkStart w:id="223" w:name="_Toc377562477"/>
      <w:r w:rsidRPr="00D1198B">
        <w:rPr>
          <w:rFonts w:ascii="Tahoma" w:eastAsia="Times New Roman" w:hAnsi="Tahoma" w:cs="Tahoma"/>
          <w:b/>
          <w:bCs/>
          <w:noProof/>
          <w:sz w:val="28"/>
          <w:szCs w:val="28"/>
          <w:lang w:val="en-AU" w:eastAsia="en-AU"/>
        </w:rPr>
        <w:t>Lot 585 Bundalaguah Road,</w:t>
      </w:r>
      <w:bookmarkEnd w:id="223"/>
    </w:p>
    <w:p w14:paraId="32A108D7" w14:textId="77777777" w:rsidR="00A16FA0" w:rsidRPr="00D1198B" w:rsidRDefault="00A16FA0" w:rsidP="00A16FA0">
      <w:pPr>
        <w:spacing w:after="0" w:line="240" w:lineRule="auto"/>
        <w:jc w:val="both"/>
        <w:outlineLvl w:val="0"/>
        <w:rPr>
          <w:rFonts w:ascii="Tahoma" w:eastAsia="Times New Roman" w:hAnsi="Tahoma" w:cs="Tahoma"/>
          <w:b/>
          <w:bCs/>
          <w:noProof/>
          <w:sz w:val="28"/>
          <w:szCs w:val="28"/>
          <w:lang w:val="en-AU" w:eastAsia="en-AU"/>
        </w:rPr>
      </w:pPr>
      <w:bookmarkStart w:id="224" w:name="_Toc377562478"/>
      <w:r w:rsidRPr="00D1198B">
        <w:rPr>
          <w:rFonts w:ascii="Tahoma" w:eastAsia="Times New Roman" w:hAnsi="Tahoma" w:cs="Tahoma"/>
          <w:b/>
          <w:bCs/>
          <w:noProof/>
          <w:sz w:val="28"/>
          <w:szCs w:val="28"/>
          <w:lang w:val="en-AU" w:eastAsia="en-AU"/>
        </w:rPr>
        <w:t>Maffra</w:t>
      </w:r>
      <w:bookmarkEnd w:id="224"/>
    </w:p>
    <w:p w14:paraId="66DCF167"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4525D954"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580F4E58"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5E3D7636"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76ECD333"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766F46B5"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25F87F46"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49375B19"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6BAEB089"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27B76B89"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42A532AC"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5695CA66"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4B8283B2" w14:textId="77777777" w:rsidR="00A16FA0" w:rsidRPr="00D1198B" w:rsidRDefault="00A16FA0" w:rsidP="00A16FA0">
      <w:pPr>
        <w:spacing w:after="0" w:line="240" w:lineRule="auto"/>
        <w:jc w:val="both"/>
        <w:rPr>
          <w:rFonts w:ascii="Tahoma" w:eastAsia="Times New Roman" w:hAnsi="Tahoma" w:cs="Tahoma"/>
          <w:bCs/>
          <w:noProof/>
          <w:sz w:val="20"/>
          <w:szCs w:val="20"/>
          <w:lang w:val="en-AU" w:eastAsia="en-AU"/>
        </w:rPr>
      </w:pPr>
    </w:p>
    <w:p w14:paraId="690318EE"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bookmarkStart w:id="225" w:name="_Toc377562479"/>
      <w:r w:rsidRPr="00D1198B">
        <w:rPr>
          <w:rFonts w:ascii="Tahoma" w:eastAsia="Times New Roman" w:hAnsi="Tahoma" w:cs="Tahoma"/>
          <w:bCs/>
          <w:noProof/>
          <w:sz w:val="20"/>
          <w:szCs w:val="20"/>
          <w:lang w:val="en-AU" w:eastAsia="en-AU"/>
        </w:rPr>
        <w:t>Prepared for: Mr Ebenezer Scrooge</w:t>
      </w:r>
      <w:bookmarkEnd w:id="225"/>
    </w:p>
    <w:p w14:paraId="36E0576D" w14:textId="77777777" w:rsidR="00A16FA0" w:rsidRPr="00D1198B" w:rsidRDefault="00A16FA0" w:rsidP="00A16FA0">
      <w:pPr>
        <w:spacing w:after="0" w:line="240" w:lineRule="auto"/>
        <w:jc w:val="both"/>
        <w:rPr>
          <w:rFonts w:ascii="Tahoma" w:eastAsia="Times New Roman" w:hAnsi="Tahoma" w:cs="Tahoma"/>
          <w:bCs/>
          <w:noProof/>
          <w:sz w:val="20"/>
          <w:szCs w:val="20"/>
          <w:lang w:val="en-AU" w:eastAsia="en-AU"/>
        </w:rPr>
      </w:pPr>
      <w:r w:rsidRPr="00D1198B">
        <w:rPr>
          <w:rFonts w:ascii="Tahoma" w:eastAsia="Times New Roman" w:hAnsi="Tahoma" w:cs="Tahoma"/>
          <w:bCs/>
          <w:noProof/>
          <w:sz w:val="20"/>
          <w:szCs w:val="20"/>
          <w:lang w:val="en-AU" w:eastAsia="en-AU"/>
        </w:rPr>
        <w:t>Prepared by: Fiona Smith, BSc</w:t>
      </w:r>
    </w:p>
    <w:p w14:paraId="5786B8D4" w14:textId="77777777" w:rsidR="00A16FA0" w:rsidRPr="00D1198B" w:rsidRDefault="00A16FA0" w:rsidP="00A16FA0">
      <w:pPr>
        <w:spacing w:after="0" w:line="240" w:lineRule="auto"/>
        <w:jc w:val="both"/>
        <w:rPr>
          <w:rFonts w:ascii="Tahoma" w:eastAsia="Times New Roman" w:hAnsi="Tahoma" w:cs="Tahoma"/>
          <w:bCs/>
          <w:noProof/>
          <w:sz w:val="20"/>
          <w:szCs w:val="20"/>
          <w:lang w:val="en-AU" w:eastAsia="en-AU"/>
        </w:rPr>
      </w:pPr>
      <w:r w:rsidRPr="00D1198B">
        <w:rPr>
          <w:rFonts w:ascii="Tahoma" w:eastAsia="Times New Roman" w:hAnsi="Tahoma" w:cs="Tahoma"/>
          <w:bCs/>
          <w:noProof/>
          <w:sz w:val="20"/>
          <w:szCs w:val="20"/>
          <w:lang w:val="en-AU" w:eastAsia="en-AU"/>
        </w:rPr>
        <w:t>Anna Newman, BEnvSci</w:t>
      </w:r>
    </w:p>
    <w:p w14:paraId="666D7AC0" w14:textId="77777777" w:rsidR="00A16FA0" w:rsidRPr="00D1198B" w:rsidRDefault="00A16FA0" w:rsidP="00A16FA0">
      <w:pPr>
        <w:spacing w:after="0" w:line="240" w:lineRule="auto"/>
        <w:jc w:val="both"/>
        <w:rPr>
          <w:rFonts w:ascii="Tahoma" w:eastAsia="Times New Roman" w:hAnsi="Tahoma" w:cs="Tahoma"/>
          <w:bCs/>
          <w:noProof/>
          <w:sz w:val="20"/>
          <w:szCs w:val="20"/>
          <w:lang w:val="fr-FR" w:eastAsia="en-AU"/>
        </w:rPr>
      </w:pPr>
      <w:r w:rsidRPr="00D1198B">
        <w:rPr>
          <w:rFonts w:ascii="Tahoma" w:eastAsia="Times New Roman" w:hAnsi="Tahoma" w:cs="Tahoma"/>
          <w:bCs/>
          <w:noProof/>
          <w:sz w:val="20"/>
          <w:szCs w:val="20"/>
          <w:lang w:val="fr-FR" w:eastAsia="en-AU"/>
        </w:rPr>
        <w:t>Environmental Consultants Pty Ltd</w:t>
      </w:r>
    </w:p>
    <w:p w14:paraId="110AFA82" w14:textId="77777777" w:rsidR="00A16FA0" w:rsidRPr="00D1198B" w:rsidRDefault="00A16FA0" w:rsidP="00A16FA0">
      <w:pPr>
        <w:spacing w:after="0" w:line="240" w:lineRule="auto"/>
        <w:jc w:val="both"/>
        <w:rPr>
          <w:rFonts w:ascii="Tahoma" w:eastAsia="Times New Roman" w:hAnsi="Tahoma" w:cs="Tahoma"/>
          <w:bCs/>
          <w:noProof/>
          <w:sz w:val="20"/>
          <w:szCs w:val="20"/>
          <w:lang w:val="fr-FR" w:eastAsia="en-AU"/>
        </w:rPr>
      </w:pPr>
      <w:r w:rsidRPr="00D1198B">
        <w:rPr>
          <w:rFonts w:ascii="Tahoma" w:eastAsia="Times New Roman" w:hAnsi="Tahoma" w:cs="Tahoma"/>
          <w:bCs/>
          <w:noProof/>
          <w:sz w:val="20"/>
          <w:szCs w:val="20"/>
          <w:lang w:val="fr-FR" w:eastAsia="en-AU"/>
        </w:rPr>
        <w:t>PO Box 281</w:t>
      </w:r>
    </w:p>
    <w:p w14:paraId="6D391023" w14:textId="77777777" w:rsidR="00A16FA0" w:rsidRPr="00D1198B" w:rsidRDefault="00A16FA0" w:rsidP="00A16FA0">
      <w:pPr>
        <w:spacing w:after="0" w:line="240" w:lineRule="auto"/>
        <w:jc w:val="both"/>
        <w:rPr>
          <w:rFonts w:ascii="Tahoma" w:eastAsia="Times New Roman" w:hAnsi="Tahoma" w:cs="Tahoma"/>
          <w:bCs/>
          <w:noProof/>
          <w:sz w:val="20"/>
          <w:szCs w:val="20"/>
          <w:lang w:val="en-AU" w:eastAsia="en-AU"/>
        </w:rPr>
      </w:pPr>
      <w:r w:rsidRPr="00D1198B">
        <w:rPr>
          <w:rFonts w:ascii="Tahoma" w:eastAsia="Times New Roman" w:hAnsi="Tahoma" w:cs="Tahoma"/>
          <w:bCs/>
          <w:noProof/>
          <w:sz w:val="20"/>
          <w:szCs w:val="20"/>
          <w:lang w:val="en-AU" w:eastAsia="en-AU"/>
        </w:rPr>
        <w:t>Sale Vic 3850</w:t>
      </w:r>
    </w:p>
    <w:p w14:paraId="412CF06C" w14:textId="77777777" w:rsidR="00A16FA0" w:rsidRPr="00D1198B" w:rsidRDefault="00A16FA0" w:rsidP="00A16FA0">
      <w:pPr>
        <w:spacing w:after="0" w:line="240" w:lineRule="auto"/>
        <w:jc w:val="both"/>
        <w:rPr>
          <w:rFonts w:ascii="Tahoma" w:eastAsia="Times New Roman" w:hAnsi="Tahoma" w:cs="Tahoma"/>
          <w:bCs/>
          <w:noProof/>
          <w:sz w:val="20"/>
          <w:szCs w:val="20"/>
          <w:lang w:val="en-AU" w:eastAsia="en-AU"/>
        </w:rPr>
      </w:pPr>
      <w:r w:rsidRPr="00D1198B">
        <w:rPr>
          <w:rFonts w:ascii="Tahoma" w:eastAsia="Times New Roman" w:hAnsi="Tahoma" w:cs="Tahoma"/>
          <w:bCs/>
          <w:noProof/>
          <w:sz w:val="20"/>
          <w:szCs w:val="20"/>
          <w:lang w:val="en-AU" w:eastAsia="en-AU"/>
        </w:rPr>
        <w:t>Telephone: 03 5142 6936</w:t>
      </w:r>
    </w:p>
    <w:p w14:paraId="741033AD" w14:textId="77777777" w:rsidR="00A16FA0" w:rsidRPr="00D1198B" w:rsidRDefault="00A16FA0" w:rsidP="00A16FA0">
      <w:pPr>
        <w:spacing w:after="0" w:line="240" w:lineRule="auto"/>
        <w:jc w:val="both"/>
        <w:rPr>
          <w:rFonts w:ascii="Tahoma" w:eastAsia="Times New Roman" w:hAnsi="Tahoma" w:cs="Tahoma"/>
          <w:bCs/>
          <w:noProof/>
          <w:sz w:val="20"/>
          <w:szCs w:val="20"/>
          <w:lang w:val="en-AU" w:eastAsia="en-AU"/>
        </w:rPr>
      </w:pPr>
      <w:r w:rsidRPr="00D1198B">
        <w:rPr>
          <w:rFonts w:ascii="Tahoma" w:eastAsia="Times New Roman" w:hAnsi="Tahoma" w:cs="Tahoma"/>
          <w:bCs/>
          <w:noProof/>
          <w:sz w:val="20"/>
          <w:szCs w:val="20"/>
          <w:lang w:val="en-AU" w:eastAsia="en-AU"/>
        </w:rPr>
        <w:t>Email: ﬁonasmith@environmentalconsultants.com.au</w:t>
      </w:r>
    </w:p>
    <w:p w14:paraId="2C9B68E3"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61139BAA"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4847A25F"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7F2CF9A3"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p>
    <w:p w14:paraId="7B71EE54" w14:textId="77777777" w:rsidR="00A16FA0" w:rsidRPr="00D1198B" w:rsidRDefault="00A16FA0" w:rsidP="00A16FA0">
      <w:pPr>
        <w:spacing w:after="0" w:line="240" w:lineRule="auto"/>
        <w:jc w:val="both"/>
        <w:rPr>
          <w:rFonts w:ascii="Tahoma" w:eastAsia="Times New Roman" w:hAnsi="Tahoma" w:cs="Tahoma"/>
          <w:b/>
          <w:bCs/>
          <w:noProof/>
          <w:sz w:val="20"/>
          <w:szCs w:val="20"/>
          <w:lang w:val="en-AU" w:eastAsia="en-AU"/>
        </w:rPr>
      </w:pPr>
      <w:r w:rsidRPr="00D1198B">
        <w:rPr>
          <w:rFonts w:ascii="Tahoma" w:eastAsia="Times New Roman" w:hAnsi="Tahoma" w:cs="Tahoma"/>
          <w:b/>
          <w:bCs/>
          <w:noProof/>
          <w:sz w:val="20"/>
          <w:szCs w:val="20"/>
          <w:lang w:val="en-AU" w:eastAsia="en-AU"/>
        </w:rPr>
        <w:t>DATE: February 2014</w:t>
      </w:r>
    </w:p>
    <w:p w14:paraId="5CD0FFFB" w14:textId="77777777" w:rsidR="00A16FA0" w:rsidRPr="00D1198B" w:rsidRDefault="00A16FA0" w:rsidP="00A16FA0">
      <w:pPr>
        <w:spacing w:after="0" w:line="240" w:lineRule="auto"/>
        <w:rPr>
          <w:rFonts w:ascii="Tahoma" w:eastAsia="Times New Roman" w:hAnsi="Tahoma" w:cs="Tahoma"/>
          <w:b/>
          <w:bCs/>
          <w:noProof/>
          <w:sz w:val="20"/>
          <w:szCs w:val="20"/>
          <w:lang w:val="en-AU" w:eastAsia="en-AU"/>
        </w:rPr>
      </w:pPr>
      <w:r w:rsidRPr="00D1198B">
        <w:rPr>
          <w:rFonts w:ascii="Tahoma" w:eastAsia="Times New Roman" w:hAnsi="Tahoma" w:cs="Tahoma"/>
          <w:b/>
          <w:bCs/>
          <w:noProof/>
          <w:sz w:val="20"/>
          <w:szCs w:val="20"/>
          <w:lang w:val="en-AU" w:eastAsia="en-AU"/>
        </w:rPr>
        <w:br w:type="page"/>
      </w:r>
    </w:p>
    <w:p w14:paraId="58F91693" w14:textId="77777777" w:rsidR="00A16FA0" w:rsidRPr="00D1198B" w:rsidRDefault="00A16FA0" w:rsidP="00A16FA0">
      <w:pPr>
        <w:spacing w:after="0" w:line="240" w:lineRule="auto"/>
        <w:jc w:val="both"/>
        <w:outlineLvl w:val="0"/>
        <w:rPr>
          <w:rFonts w:ascii="Tahoma" w:eastAsia="Times New Roman" w:hAnsi="Tahoma" w:cs="Tahoma"/>
          <w:b/>
          <w:noProof/>
          <w:sz w:val="28"/>
          <w:szCs w:val="28"/>
          <w:lang w:val="en-AU" w:eastAsia="en-AU"/>
        </w:rPr>
      </w:pPr>
      <w:bookmarkStart w:id="226" w:name="_Toc377562480"/>
      <w:r w:rsidRPr="00D1198B">
        <w:rPr>
          <w:rFonts w:ascii="Tahoma" w:eastAsia="Times New Roman" w:hAnsi="Tahoma" w:cs="Tahoma"/>
          <w:b/>
          <w:noProof/>
          <w:sz w:val="28"/>
          <w:szCs w:val="28"/>
          <w:lang w:val="en-AU" w:eastAsia="en-AU"/>
        </w:rPr>
        <w:lastRenderedPageBreak/>
        <w:t>1  Introduction</w:t>
      </w:r>
      <w:bookmarkEnd w:id="226"/>
    </w:p>
    <w:p w14:paraId="66E3EFCC"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 xml:space="preserve"> </w:t>
      </w:r>
    </w:p>
    <w:p w14:paraId="5173629D"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bookmarkStart w:id="227" w:name="_Toc377562481"/>
      <w:r w:rsidRPr="00D1198B">
        <w:rPr>
          <w:rFonts w:ascii="Tahoma" w:eastAsia="Times New Roman" w:hAnsi="Tahoma" w:cs="Tahoma"/>
          <w:b/>
          <w:noProof/>
          <w:sz w:val="20"/>
          <w:szCs w:val="20"/>
          <w:lang w:val="en-AU" w:eastAsia="en-AU"/>
        </w:rPr>
        <w:t>THE CONSULTANTS</w:t>
      </w:r>
      <w:bookmarkEnd w:id="227"/>
    </w:p>
    <w:p w14:paraId="529B0464"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Environmental Consultants Pty Ltd has been engaged to undertake a Land Capability Assessment (LCA) for a one hectare site at Bundalaguah Road, Maffra. The ﬁeld investigation and report have been undertaken and prepared by suitably experienced staff. Environmental Consultants Pty Ltd has appropriate professional indemnity insurance for this type of work. Our professional indemnity insurance certiﬁcate is attached.</w:t>
      </w:r>
    </w:p>
    <w:p w14:paraId="200444A0"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5EC96EDD"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bookmarkStart w:id="228" w:name="_Toc377562482"/>
      <w:r w:rsidRPr="00D1198B">
        <w:rPr>
          <w:rFonts w:ascii="Tahoma" w:eastAsia="Times New Roman" w:hAnsi="Tahoma" w:cs="Tahoma"/>
          <w:b/>
          <w:noProof/>
          <w:sz w:val="20"/>
          <w:szCs w:val="20"/>
          <w:lang w:val="en-AU" w:eastAsia="en-AU"/>
        </w:rPr>
        <w:t>REPORT SUMMARY</w:t>
      </w:r>
      <w:bookmarkEnd w:id="228"/>
    </w:p>
    <w:p w14:paraId="70AEEBB9"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This report will accompany an application for a Septic Tank Permit to Install submitted to Wellington Shire Council for an onsite wastewater management system for a private residence. This document provides information about the site and soil conditions. It also provides a detailed LCA for the 10,000 m</w:t>
      </w:r>
      <w:r w:rsidRPr="00D1198B">
        <w:rPr>
          <w:rFonts w:ascii="Tahoma" w:eastAsia="Times New Roman" w:hAnsi="Tahoma" w:cs="Tahoma"/>
          <w:noProof/>
          <w:sz w:val="20"/>
          <w:szCs w:val="20"/>
          <w:vertAlign w:val="superscript"/>
          <w:lang w:val="en-AU" w:eastAsia="en-AU"/>
        </w:rPr>
        <w:t>2</w:t>
      </w:r>
      <w:r w:rsidRPr="00D1198B">
        <w:rPr>
          <w:rFonts w:ascii="Tahoma" w:eastAsia="Times New Roman" w:hAnsi="Tahoma" w:cs="Tahoma"/>
          <w:noProof/>
          <w:sz w:val="20"/>
          <w:szCs w:val="20"/>
          <w:lang w:val="en-AU" w:eastAsia="en-AU"/>
        </w:rPr>
        <w:t xml:space="preserve"> lot, and includes a conceptual design for a suitable onsite wastewater management system, including recommendations for monitoring and management requirements. A number of options are provided for both the treatment system and land application area (LAA). However, the wastewater should be treated to secondary level by a suitable EPA-approved treatment system and the effluent applied to land via sub-surface irrigation.</w:t>
      </w:r>
    </w:p>
    <w:p w14:paraId="01961770"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760DE77F"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bookmarkStart w:id="229" w:name="_Toc377562483"/>
      <w:r w:rsidRPr="00D1198B">
        <w:rPr>
          <w:rFonts w:ascii="Tahoma" w:eastAsia="Times New Roman" w:hAnsi="Tahoma" w:cs="Tahoma"/>
          <w:b/>
          <w:noProof/>
          <w:sz w:val="20"/>
          <w:szCs w:val="20"/>
          <w:lang w:val="en-AU" w:eastAsia="en-AU"/>
        </w:rPr>
        <w:t>SITE OVERVIEW</w:t>
      </w:r>
      <w:bookmarkEnd w:id="229"/>
    </w:p>
    <w:p w14:paraId="0E76DBBE"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The site has been cleared of the original vegetation on the higher ground but there is a strip of remnant native riparian vegetation along the river. Two drainage lines intersect the site and feed into the Macalister River. The slopes range from two to ﬁve percent. The western side of the block is ﬂood-prone with a return period of 1 in 100 years, but there is sufﬁcient land available for sustainable onsite effluent management that maintains the required buffers to protect the surface waters and the floodways.</w:t>
      </w:r>
    </w:p>
    <w:p w14:paraId="00D8B68F"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78C5F797" w14:textId="77777777" w:rsidR="00A16FA0" w:rsidRPr="00D1198B" w:rsidRDefault="00A16FA0" w:rsidP="00A16FA0">
      <w:pPr>
        <w:spacing w:after="0" w:line="240" w:lineRule="auto"/>
        <w:jc w:val="both"/>
        <w:outlineLvl w:val="0"/>
        <w:rPr>
          <w:rFonts w:ascii="Tahoma" w:eastAsia="Times New Roman" w:hAnsi="Tahoma" w:cs="Tahoma"/>
          <w:b/>
          <w:noProof/>
          <w:sz w:val="28"/>
          <w:szCs w:val="28"/>
          <w:lang w:val="en-AU" w:eastAsia="en-AU"/>
        </w:rPr>
      </w:pPr>
      <w:bookmarkStart w:id="230" w:name="_Toc377562484"/>
      <w:r w:rsidRPr="00D1198B">
        <w:rPr>
          <w:rFonts w:ascii="Tahoma" w:eastAsia="Times New Roman" w:hAnsi="Tahoma" w:cs="Tahoma"/>
          <w:b/>
          <w:noProof/>
          <w:sz w:val="28"/>
          <w:szCs w:val="28"/>
          <w:lang w:val="en-AU" w:eastAsia="en-AU"/>
        </w:rPr>
        <w:t>2  Description of the Development</w:t>
      </w:r>
      <w:bookmarkEnd w:id="230"/>
    </w:p>
    <w:p w14:paraId="5DB84338"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00F79809"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bookmarkStart w:id="231" w:name="_Toc377562485"/>
      <w:r w:rsidRPr="00D1198B">
        <w:rPr>
          <w:rFonts w:ascii="Tahoma" w:eastAsia="Times New Roman" w:hAnsi="Tahoma" w:cs="Tahoma"/>
          <w:b/>
          <w:noProof/>
          <w:sz w:val="20"/>
          <w:szCs w:val="20"/>
          <w:lang w:val="en-AU" w:eastAsia="en-AU"/>
        </w:rPr>
        <w:t xml:space="preserve">Site Address: </w:t>
      </w:r>
      <w:r w:rsidRPr="00D1198B">
        <w:rPr>
          <w:rFonts w:ascii="Tahoma" w:eastAsia="Times New Roman" w:hAnsi="Tahoma" w:cs="Tahoma"/>
          <w:noProof/>
          <w:sz w:val="20"/>
          <w:szCs w:val="20"/>
          <w:lang w:val="en-AU" w:eastAsia="en-AU"/>
        </w:rPr>
        <w:t>Lot 585, Bundalaguah Road, Maffra (Figure 1)</w:t>
      </w:r>
      <w:bookmarkEnd w:id="231"/>
    </w:p>
    <w:p w14:paraId="359038D5"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p>
    <w:p w14:paraId="78E1199F"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bookmarkStart w:id="232" w:name="_Toc377562486"/>
      <w:r w:rsidRPr="00D1198B">
        <w:rPr>
          <w:rFonts w:ascii="Tahoma" w:eastAsia="Times New Roman" w:hAnsi="Tahoma" w:cs="Tahoma"/>
          <w:b/>
          <w:noProof/>
          <w:sz w:val="20"/>
          <w:szCs w:val="20"/>
          <w:lang w:val="en-AU" w:eastAsia="en-AU"/>
        </w:rPr>
        <w:t xml:space="preserve">Owner/Developer: </w:t>
      </w:r>
      <w:r w:rsidRPr="00D1198B">
        <w:rPr>
          <w:rFonts w:ascii="Tahoma" w:eastAsia="Times New Roman" w:hAnsi="Tahoma" w:cs="Tahoma"/>
          <w:noProof/>
          <w:sz w:val="20"/>
          <w:szCs w:val="20"/>
          <w:lang w:val="en-AU" w:eastAsia="en-AU"/>
        </w:rPr>
        <w:t>Mr Ebenezer Scrooge</w:t>
      </w:r>
      <w:bookmarkEnd w:id="232"/>
    </w:p>
    <w:p w14:paraId="6EA0D0AF"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p>
    <w:p w14:paraId="2A72C761"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bookmarkStart w:id="233" w:name="_Toc377562487"/>
      <w:r w:rsidRPr="00D1198B">
        <w:rPr>
          <w:rFonts w:ascii="Tahoma" w:eastAsia="Times New Roman" w:hAnsi="Tahoma" w:cs="Tahoma"/>
          <w:b/>
          <w:noProof/>
          <w:sz w:val="20"/>
          <w:szCs w:val="20"/>
          <w:lang w:val="en-AU" w:eastAsia="en-AU"/>
        </w:rPr>
        <w:t xml:space="preserve">Postal Address: </w:t>
      </w:r>
      <w:r w:rsidRPr="00D1198B">
        <w:rPr>
          <w:rFonts w:ascii="Tahoma" w:eastAsia="Times New Roman" w:hAnsi="Tahoma" w:cs="Tahoma"/>
          <w:noProof/>
          <w:sz w:val="20"/>
          <w:szCs w:val="20"/>
          <w:lang w:val="en-AU" w:eastAsia="en-AU"/>
        </w:rPr>
        <w:t>PO Box 508, Sale, Vic 3850</w:t>
      </w:r>
      <w:bookmarkEnd w:id="233"/>
    </w:p>
    <w:p w14:paraId="1057AD2E"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p>
    <w:p w14:paraId="0E9B887E"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bookmarkStart w:id="234" w:name="_Toc377562488"/>
      <w:r w:rsidRPr="00D1198B">
        <w:rPr>
          <w:rFonts w:ascii="Tahoma" w:eastAsia="Times New Roman" w:hAnsi="Tahoma" w:cs="Tahoma"/>
          <w:b/>
          <w:noProof/>
          <w:sz w:val="20"/>
          <w:szCs w:val="20"/>
          <w:lang w:val="en-AU" w:eastAsia="en-AU"/>
        </w:rPr>
        <w:t xml:space="preserve">Contact: </w:t>
      </w:r>
      <w:r w:rsidRPr="00D1198B">
        <w:rPr>
          <w:rFonts w:ascii="Tahoma" w:eastAsia="Times New Roman" w:hAnsi="Tahoma" w:cs="Tahoma"/>
          <w:noProof/>
          <w:sz w:val="20"/>
          <w:szCs w:val="20"/>
          <w:lang w:val="en-AU" w:eastAsia="en-AU"/>
        </w:rPr>
        <w:t>Ph: 03 5142 6722</w:t>
      </w:r>
      <w:bookmarkEnd w:id="234"/>
    </w:p>
    <w:p w14:paraId="7FD007E3"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p>
    <w:p w14:paraId="6ACB7F8E"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bookmarkStart w:id="235" w:name="_Toc377562489"/>
      <w:r w:rsidRPr="00D1198B">
        <w:rPr>
          <w:rFonts w:ascii="Tahoma" w:eastAsia="Times New Roman" w:hAnsi="Tahoma" w:cs="Tahoma"/>
          <w:b/>
          <w:noProof/>
          <w:sz w:val="20"/>
          <w:szCs w:val="20"/>
          <w:lang w:val="en-AU" w:eastAsia="en-AU"/>
        </w:rPr>
        <w:t xml:space="preserve">Council Area: </w:t>
      </w:r>
      <w:r w:rsidRPr="00D1198B">
        <w:rPr>
          <w:rFonts w:ascii="Tahoma" w:eastAsia="Times New Roman" w:hAnsi="Tahoma" w:cs="Tahoma"/>
          <w:noProof/>
          <w:sz w:val="20"/>
          <w:szCs w:val="20"/>
          <w:lang w:val="en-AU" w:eastAsia="en-AU"/>
        </w:rPr>
        <w:t>Wellington Shire Council</w:t>
      </w:r>
      <w:bookmarkEnd w:id="235"/>
    </w:p>
    <w:p w14:paraId="1BE9609A"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p>
    <w:p w14:paraId="632BAAB7"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bookmarkStart w:id="236" w:name="_Toc377562490"/>
      <w:r w:rsidRPr="00D1198B">
        <w:rPr>
          <w:rFonts w:ascii="Tahoma" w:eastAsia="Times New Roman" w:hAnsi="Tahoma" w:cs="Tahoma"/>
          <w:b/>
          <w:noProof/>
          <w:sz w:val="20"/>
          <w:szCs w:val="20"/>
          <w:lang w:val="en-AU" w:eastAsia="en-AU"/>
        </w:rPr>
        <w:t xml:space="preserve">Zoning: </w:t>
      </w:r>
      <w:r w:rsidRPr="00D1198B">
        <w:rPr>
          <w:rFonts w:ascii="Tahoma" w:eastAsia="Times New Roman" w:hAnsi="Tahoma" w:cs="Tahoma"/>
          <w:noProof/>
          <w:sz w:val="20"/>
          <w:szCs w:val="20"/>
          <w:lang w:val="en-AU" w:eastAsia="en-AU"/>
        </w:rPr>
        <w:t>Rural living, with a strip of land zoned Public Conservation and Resource along the Macalister River</w:t>
      </w:r>
      <w:bookmarkEnd w:id="236"/>
    </w:p>
    <w:p w14:paraId="1D412638"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p>
    <w:p w14:paraId="6763EFDC"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bookmarkStart w:id="237" w:name="_Toc377562491"/>
      <w:r w:rsidRPr="00D1198B">
        <w:rPr>
          <w:rFonts w:ascii="Tahoma" w:eastAsia="Times New Roman" w:hAnsi="Tahoma" w:cs="Tahoma"/>
          <w:b/>
          <w:noProof/>
          <w:sz w:val="20"/>
          <w:szCs w:val="20"/>
          <w:lang w:val="en-AU" w:eastAsia="en-AU"/>
        </w:rPr>
        <w:t xml:space="preserve">Allotment Size: </w:t>
      </w:r>
      <w:r w:rsidRPr="00D1198B">
        <w:rPr>
          <w:rFonts w:ascii="Tahoma" w:eastAsia="Times New Roman" w:hAnsi="Tahoma" w:cs="Tahoma"/>
          <w:noProof/>
          <w:sz w:val="20"/>
          <w:szCs w:val="20"/>
          <w:lang w:val="en-AU" w:eastAsia="en-AU"/>
        </w:rPr>
        <w:t>1 ha</w:t>
      </w:r>
      <w:bookmarkEnd w:id="237"/>
    </w:p>
    <w:p w14:paraId="7FF5A9A1"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p>
    <w:p w14:paraId="0E79761C"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bookmarkStart w:id="238" w:name="_Toc377562492"/>
      <w:r w:rsidRPr="00D1198B">
        <w:rPr>
          <w:rFonts w:ascii="Tahoma" w:eastAsia="Times New Roman" w:hAnsi="Tahoma" w:cs="Tahoma"/>
          <w:b/>
          <w:noProof/>
          <w:sz w:val="20"/>
          <w:szCs w:val="20"/>
          <w:lang w:val="en-AU" w:eastAsia="en-AU"/>
        </w:rPr>
        <w:t xml:space="preserve">Domestic Water Supply: </w:t>
      </w:r>
      <w:r w:rsidRPr="00D1198B">
        <w:rPr>
          <w:rFonts w:ascii="Tahoma" w:eastAsia="Times New Roman" w:hAnsi="Tahoma" w:cs="Tahoma"/>
          <w:noProof/>
          <w:sz w:val="20"/>
          <w:szCs w:val="20"/>
          <w:lang w:val="en-AU" w:eastAsia="en-AU"/>
        </w:rPr>
        <w:t>Onsite roof water collection only</w:t>
      </w:r>
      <w:bookmarkEnd w:id="238"/>
    </w:p>
    <w:p w14:paraId="64B4C3F2"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p>
    <w:p w14:paraId="05CE0877"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bookmarkStart w:id="239" w:name="_Toc377562493"/>
      <w:r w:rsidRPr="00D1198B">
        <w:rPr>
          <w:rFonts w:ascii="Tahoma" w:eastAsia="Times New Roman" w:hAnsi="Tahoma" w:cs="Tahoma"/>
          <w:b/>
          <w:noProof/>
          <w:sz w:val="20"/>
          <w:szCs w:val="20"/>
          <w:lang w:val="en-AU" w:eastAsia="en-AU"/>
        </w:rPr>
        <w:t xml:space="preserve">Anticipated Wastewater Load: </w:t>
      </w:r>
      <w:r w:rsidRPr="00D1198B">
        <w:rPr>
          <w:rFonts w:ascii="Tahoma" w:eastAsia="Times New Roman" w:hAnsi="Tahoma" w:cs="Tahoma"/>
          <w:noProof/>
          <w:sz w:val="20"/>
          <w:szCs w:val="20"/>
          <w:lang w:val="en-AU" w:eastAsia="en-AU"/>
        </w:rPr>
        <w:t xml:space="preserve">A 4-bedroom residence with full water-reduction fixtures @ 5 people per max. occupancy. Wastewater generation = 150 L/person/day; total design load = </w:t>
      </w:r>
      <w:r w:rsidRPr="00D1198B">
        <w:rPr>
          <w:rFonts w:ascii="Tahoma" w:eastAsia="Times New Roman" w:hAnsi="Tahoma" w:cs="Tahoma"/>
          <w:b/>
          <w:noProof/>
          <w:sz w:val="20"/>
          <w:szCs w:val="20"/>
          <w:lang w:val="en-AU" w:eastAsia="en-AU"/>
        </w:rPr>
        <w:t>750 L/day</w:t>
      </w:r>
      <w:r w:rsidRPr="00D1198B">
        <w:rPr>
          <w:rFonts w:ascii="Tahoma" w:eastAsia="Times New Roman" w:hAnsi="Tahoma" w:cs="Tahoma"/>
          <w:noProof/>
          <w:sz w:val="20"/>
          <w:szCs w:val="20"/>
          <w:lang w:val="en-AU" w:eastAsia="en-AU"/>
        </w:rPr>
        <w:t xml:space="preserve"> (source Table 4 of the EPA Code of Practice 891.3).</w:t>
      </w:r>
      <w:bookmarkEnd w:id="239"/>
    </w:p>
    <w:p w14:paraId="4C275FC6"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p>
    <w:p w14:paraId="1D91FEA8" w14:textId="77777777" w:rsidR="00A16FA0" w:rsidRDefault="00A16FA0" w:rsidP="00A16FA0">
      <w:pPr>
        <w:spacing w:after="0" w:line="240" w:lineRule="auto"/>
        <w:jc w:val="both"/>
        <w:outlineLvl w:val="0"/>
        <w:rPr>
          <w:rFonts w:ascii="Tahoma" w:eastAsia="Times New Roman" w:hAnsi="Tahoma" w:cs="Tahoma"/>
          <w:sz w:val="20"/>
          <w:szCs w:val="20"/>
          <w:lang w:val="en-AU" w:eastAsia="en-AU"/>
        </w:rPr>
      </w:pPr>
      <w:bookmarkStart w:id="240" w:name="_Toc377562494"/>
      <w:r w:rsidRPr="00D1198B">
        <w:rPr>
          <w:rFonts w:ascii="Tahoma" w:eastAsia="Times New Roman" w:hAnsi="Tahoma" w:cs="Tahoma"/>
          <w:b/>
          <w:noProof/>
          <w:sz w:val="20"/>
          <w:szCs w:val="20"/>
          <w:lang w:val="en-AU" w:eastAsia="en-AU"/>
        </w:rPr>
        <w:t xml:space="preserve">Availability of Sewer: </w:t>
      </w:r>
      <w:r w:rsidRPr="00D1198B">
        <w:rPr>
          <w:rFonts w:ascii="Tahoma" w:eastAsia="Times New Roman" w:hAnsi="Tahoma" w:cs="Tahoma"/>
          <w:noProof/>
          <w:sz w:val="20"/>
          <w:szCs w:val="20"/>
          <w:lang w:val="en-AU" w:eastAsia="en-AU"/>
        </w:rPr>
        <w:t xml:space="preserve">The area is unsewered and highly unlikely to be sewered within the next 10-20 years, due to low development density in the area and the considerable distance </w:t>
      </w:r>
      <w:r w:rsidRPr="00D1198B">
        <w:rPr>
          <w:rFonts w:ascii="Tahoma" w:eastAsia="Times New Roman" w:hAnsi="Tahoma" w:cs="Tahoma"/>
          <w:sz w:val="20"/>
          <w:szCs w:val="20"/>
          <w:lang w:val="en-AU" w:eastAsia="en-AU"/>
        </w:rPr>
        <w:t>from existing wastewater services.</w:t>
      </w:r>
      <w:bookmarkEnd w:id="240"/>
    </w:p>
    <w:p w14:paraId="57CF3B2C" w14:textId="77777777" w:rsidR="00F30DB8" w:rsidRPr="00D1198B" w:rsidRDefault="00F30DB8" w:rsidP="00A16FA0">
      <w:pPr>
        <w:spacing w:after="0" w:line="240" w:lineRule="auto"/>
        <w:jc w:val="both"/>
        <w:outlineLvl w:val="0"/>
        <w:rPr>
          <w:rFonts w:ascii="Tahoma" w:eastAsia="Times New Roman" w:hAnsi="Tahoma" w:cs="Tahoma"/>
          <w:sz w:val="20"/>
          <w:szCs w:val="20"/>
          <w:lang w:val="en-AU" w:eastAsia="en-AU"/>
        </w:rPr>
      </w:pPr>
    </w:p>
    <w:p w14:paraId="1AD00950" w14:textId="77777777" w:rsidR="00A16FA0" w:rsidRPr="00D1198B" w:rsidRDefault="00A16FA0" w:rsidP="00A16FA0">
      <w:pPr>
        <w:spacing w:after="0" w:line="240" w:lineRule="auto"/>
        <w:jc w:val="both"/>
        <w:outlineLvl w:val="0"/>
        <w:rPr>
          <w:rFonts w:ascii="Tahoma" w:eastAsia="Times New Roman" w:hAnsi="Tahoma" w:cs="Tahoma"/>
          <w:b/>
          <w:noProof/>
          <w:sz w:val="28"/>
          <w:szCs w:val="28"/>
          <w:lang w:val="en-AU" w:eastAsia="en-AU"/>
        </w:rPr>
      </w:pPr>
      <w:bookmarkStart w:id="241" w:name="_Toc377562495"/>
      <w:r w:rsidRPr="00D1198B">
        <w:rPr>
          <w:rFonts w:ascii="Tahoma" w:eastAsia="Times New Roman" w:hAnsi="Tahoma" w:cs="Tahoma"/>
          <w:b/>
          <w:noProof/>
          <w:sz w:val="28"/>
          <w:szCs w:val="28"/>
          <w:lang w:val="en-AU" w:eastAsia="en-AU"/>
        </w:rPr>
        <w:t>3  Site and Soil Assessment</w:t>
      </w:r>
      <w:bookmarkEnd w:id="241"/>
    </w:p>
    <w:p w14:paraId="3A020413"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p>
    <w:p w14:paraId="7A6327B6"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bookmarkStart w:id="242" w:name="_Toc377562496"/>
      <w:r w:rsidRPr="00D1198B">
        <w:rPr>
          <w:rFonts w:ascii="Tahoma" w:eastAsia="Times New Roman" w:hAnsi="Tahoma" w:cs="Tahoma"/>
          <w:noProof/>
          <w:sz w:val="20"/>
          <w:szCs w:val="20"/>
          <w:lang w:val="en-AU" w:eastAsia="en-AU"/>
        </w:rPr>
        <w:t>Fiona Smith and Anna Newman undertook site investigations on the 22 December 2013.</w:t>
      </w:r>
      <w:bookmarkEnd w:id="242"/>
    </w:p>
    <w:p w14:paraId="48F77704"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p>
    <w:p w14:paraId="589D9EB5"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bookmarkStart w:id="243" w:name="_Toc377562497"/>
      <w:r w:rsidRPr="00D1198B">
        <w:rPr>
          <w:rFonts w:ascii="Tahoma" w:eastAsia="Times New Roman" w:hAnsi="Tahoma" w:cs="Tahoma"/>
          <w:b/>
          <w:noProof/>
          <w:sz w:val="20"/>
          <w:szCs w:val="20"/>
          <w:lang w:val="en-AU" w:eastAsia="en-AU"/>
        </w:rPr>
        <w:t>SITE KEY FEATURES</w:t>
      </w:r>
      <w:bookmarkEnd w:id="243"/>
    </w:p>
    <w:p w14:paraId="31DE5FD2"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bookmarkStart w:id="244" w:name="_Toc377562498"/>
      <w:r w:rsidRPr="00D1198B">
        <w:rPr>
          <w:rFonts w:ascii="Tahoma" w:eastAsia="Times New Roman" w:hAnsi="Tahoma" w:cs="Tahoma"/>
          <w:noProof/>
          <w:sz w:val="20"/>
          <w:szCs w:val="20"/>
          <w:lang w:val="en-AU" w:eastAsia="en-AU"/>
        </w:rPr>
        <w:t>Table 1 summarises the key features of the site in relation to efﬂuent management proposed for the site.</w:t>
      </w:r>
      <w:bookmarkEnd w:id="244"/>
    </w:p>
    <w:p w14:paraId="3B0EBB81"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p>
    <w:p w14:paraId="3F3C10E4" w14:textId="77777777" w:rsidR="00A16FA0" w:rsidRPr="00D1198B" w:rsidRDefault="00A16FA0" w:rsidP="00A16FA0">
      <w:pPr>
        <w:spacing w:after="0" w:line="240" w:lineRule="auto"/>
        <w:ind w:firstLine="360"/>
        <w:jc w:val="both"/>
        <w:outlineLvl w:val="0"/>
        <w:rPr>
          <w:rFonts w:ascii="Tahoma" w:eastAsia="Times New Roman" w:hAnsi="Tahoma" w:cs="Tahoma"/>
          <w:b/>
          <w:noProof/>
          <w:sz w:val="20"/>
          <w:szCs w:val="20"/>
          <w:lang w:val="en-AU" w:eastAsia="en-AU"/>
        </w:rPr>
      </w:pPr>
      <w:bookmarkStart w:id="245" w:name="_Toc377562499"/>
      <w:r w:rsidRPr="00D1198B">
        <w:rPr>
          <w:rFonts w:ascii="Tahoma" w:eastAsia="Times New Roman" w:hAnsi="Tahoma" w:cs="Tahoma"/>
          <w:b/>
          <w:noProof/>
          <w:sz w:val="20"/>
          <w:szCs w:val="20"/>
          <w:lang w:val="en-AU" w:eastAsia="en-AU"/>
        </w:rPr>
        <w:t>NOTE:</w:t>
      </w:r>
      <w:bookmarkEnd w:id="245"/>
    </w:p>
    <w:p w14:paraId="7E60CA2C" w14:textId="77777777" w:rsidR="00A16FA0" w:rsidRPr="00D1198B" w:rsidRDefault="00A16FA0" w:rsidP="00A16FA0">
      <w:pPr>
        <w:numPr>
          <w:ilvl w:val="0"/>
          <w:numId w:val="21"/>
        </w:numPr>
        <w:spacing w:after="0" w:line="240" w:lineRule="auto"/>
        <w:jc w:val="both"/>
        <w:outlineLvl w:val="0"/>
        <w:rPr>
          <w:rFonts w:ascii="Tahoma" w:eastAsia="Times New Roman" w:hAnsi="Tahoma" w:cs="Tahoma"/>
          <w:noProof/>
          <w:sz w:val="20"/>
          <w:szCs w:val="20"/>
          <w:lang w:val="en-AU" w:eastAsia="en-AU"/>
        </w:rPr>
      </w:pPr>
      <w:bookmarkStart w:id="246" w:name="_Toc377562500"/>
      <w:r w:rsidRPr="00D1198B">
        <w:rPr>
          <w:rFonts w:ascii="Tahoma" w:eastAsia="Times New Roman" w:hAnsi="Tahoma" w:cs="Tahoma"/>
          <w:noProof/>
          <w:sz w:val="20"/>
          <w:szCs w:val="20"/>
          <w:lang w:val="en-AU" w:eastAsia="en-AU"/>
        </w:rPr>
        <w:t>The site is not in a special water supply catchment area.</w:t>
      </w:r>
      <w:bookmarkEnd w:id="246"/>
    </w:p>
    <w:p w14:paraId="623907E6" w14:textId="77777777" w:rsidR="00A16FA0" w:rsidRPr="00D1198B" w:rsidRDefault="00A16FA0" w:rsidP="00A16FA0">
      <w:pPr>
        <w:numPr>
          <w:ilvl w:val="0"/>
          <w:numId w:val="21"/>
        </w:numPr>
        <w:spacing w:after="0" w:line="240" w:lineRule="auto"/>
        <w:jc w:val="both"/>
        <w:outlineLvl w:val="0"/>
        <w:rPr>
          <w:rFonts w:ascii="Tahoma" w:eastAsia="Times New Roman" w:hAnsi="Tahoma" w:cs="Tahoma"/>
          <w:noProof/>
          <w:sz w:val="20"/>
          <w:szCs w:val="20"/>
          <w:lang w:val="en-AU" w:eastAsia="en-AU"/>
        </w:rPr>
      </w:pPr>
      <w:bookmarkStart w:id="247" w:name="_Toc377562501"/>
      <w:r w:rsidRPr="00D1198B">
        <w:rPr>
          <w:rFonts w:ascii="Tahoma" w:eastAsia="Times New Roman" w:hAnsi="Tahoma" w:cs="Tahoma"/>
          <w:noProof/>
          <w:sz w:val="20"/>
          <w:szCs w:val="20"/>
          <w:lang w:val="en-AU" w:eastAsia="en-AU"/>
        </w:rPr>
        <w:t>The site experiences negligible stormwater run-on from Bundalaguah Road to the east.</w:t>
      </w:r>
      <w:bookmarkEnd w:id="247"/>
    </w:p>
    <w:p w14:paraId="40F0DD71" w14:textId="77777777" w:rsidR="00A16FA0" w:rsidRPr="00D1198B" w:rsidRDefault="00A16FA0" w:rsidP="00A16FA0">
      <w:pPr>
        <w:numPr>
          <w:ilvl w:val="0"/>
          <w:numId w:val="21"/>
        </w:numPr>
        <w:spacing w:after="0" w:line="240" w:lineRule="auto"/>
        <w:jc w:val="both"/>
        <w:outlineLvl w:val="0"/>
        <w:rPr>
          <w:rFonts w:ascii="Tahoma" w:eastAsia="Times New Roman" w:hAnsi="Tahoma" w:cs="Tahoma"/>
          <w:noProof/>
          <w:sz w:val="20"/>
          <w:szCs w:val="20"/>
          <w:lang w:val="en-AU" w:eastAsia="en-AU"/>
        </w:rPr>
      </w:pPr>
      <w:bookmarkStart w:id="248" w:name="_Toc377562502"/>
      <w:r w:rsidRPr="00D1198B">
        <w:rPr>
          <w:rFonts w:ascii="Tahoma" w:eastAsia="Times New Roman" w:hAnsi="Tahoma" w:cs="Tahoma"/>
          <w:noProof/>
          <w:sz w:val="20"/>
          <w:szCs w:val="20"/>
          <w:lang w:val="en-AU" w:eastAsia="en-AU"/>
        </w:rPr>
        <w:t>There is no evidence of a shallow watertable or other signiﬁcant constraints, and</w:t>
      </w:r>
      <w:bookmarkEnd w:id="248"/>
    </w:p>
    <w:p w14:paraId="736C1E8D" w14:textId="77777777" w:rsidR="00A16FA0" w:rsidRPr="00D1198B" w:rsidRDefault="00A16FA0" w:rsidP="00A16FA0">
      <w:pPr>
        <w:numPr>
          <w:ilvl w:val="0"/>
          <w:numId w:val="21"/>
        </w:numPr>
        <w:spacing w:after="0" w:line="240" w:lineRule="auto"/>
        <w:jc w:val="both"/>
        <w:outlineLvl w:val="0"/>
        <w:rPr>
          <w:rFonts w:ascii="Tahoma" w:eastAsia="Times New Roman" w:hAnsi="Tahoma" w:cs="Tahoma"/>
          <w:noProof/>
          <w:sz w:val="20"/>
          <w:szCs w:val="20"/>
          <w:lang w:val="en-AU" w:eastAsia="en-AU"/>
        </w:rPr>
      </w:pPr>
      <w:bookmarkStart w:id="249" w:name="_Toc377562503"/>
      <w:r w:rsidRPr="00D1198B">
        <w:rPr>
          <w:rFonts w:ascii="Tahoma" w:eastAsia="Times New Roman" w:hAnsi="Tahoma" w:cs="Tahoma"/>
          <w:noProof/>
          <w:sz w:val="20"/>
          <w:szCs w:val="20"/>
          <w:lang w:val="en-AU" w:eastAsia="en-AU"/>
        </w:rPr>
        <w:t>The risk of efﬂuent transport offsite is very low.</w:t>
      </w:r>
      <w:bookmarkEnd w:id="249"/>
    </w:p>
    <w:p w14:paraId="15DCF3A6"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p>
    <w:p w14:paraId="587BD47C"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bookmarkStart w:id="250" w:name="_Toc377562504"/>
      <w:r w:rsidRPr="00D1198B">
        <w:rPr>
          <w:rFonts w:ascii="Tahoma" w:eastAsia="Times New Roman" w:hAnsi="Tahoma" w:cs="Tahoma"/>
          <w:noProof/>
          <w:sz w:val="20"/>
          <w:szCs w:val="20"/>
          <w:lang w:val="en-AU" w:eastAsia="en-AU"/>
        </w:rPr>
        <w:t>Figure 1 below provides a locality plan and indicates the location of the site of the proposed development. Figure 2 provides a site plan describing the location of the proposed building envelope and other development works, wastewater management system components and physical site features.</w:t>
      </w:r>
      <w:bookmarkEnd w:id="250"/>
    </w:p>
    <w:p w14:paraId="21938732"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p>
    <w:p w14:paraId="33B63D17"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bookmarkStart w:id="251" w:name="_Toc377562505"/>
      <w:r w:rsidRPr="00D1198B">
        <w:rPr>
          <w:rFonts w:ascii="Tahoma" w:eastAsia="Times New Roman" w:hAnsi="Tahoma" w:cs="Tahoma"/>
          <w:b/>
          <w:noProof/>
          <w:sz w:val="20"/>
          <w:szCs w:val="20"/>
          <w:lang w:val="en-AU" w:eastAsia="en-AU"/>
        </w:rPr>
        <w:t>Figure 1:</w:t>
      </w:r>
      <w:r w:rsidRPr="00D1198B">
        <w:rPr>
          <w:rFonts w:ascii="Tahoma" w:eastAsia="Times New Roman" w:hAnsi="Tahoma" w:cs="Tahoma"/>
          <w:noProof/>
          <w:sz w:val="20"/>
          <w:szCs w:val="20"/>
          <w:lang w:val="en-AU" w:eastAsia="en-AU"/>
        </w:rPr>
        <w:t xml:space="preserve"> </w:t>
      </w:r>
      <w:r w:rsidRPr="00D1198B">
        <w:rPr>
          <w:rFonts w:ascii="Tahoma" w:eastAsia="Times New Roman" w:hAnsi="Tahoma" w:cs="Tahoma"/>
          <w:b/>
          <w:noProof/>
          <w:sz w:val="20"/>
          <w:szCs w:val="20"/>
          <w:lang w:val="en-AU" w:eastAsia="en-AU"/>
        </w:rPr>
        <w:t>Locality Plan</w:t>
      </w:r>
      <w:bookmarkEnd w:id="251"/>
    </w:p>
    <w:p w14:paraId="71527079"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p>
    <w:p w14:paraId="02B1B8FD" w14:textId="77777777" w:rsidR="00A16FA0" w:rsidRPr="00D1198B" w:rsidRDefault="00A16FA0" w:rsidP="00A16FA0">
      <w:pPr>
        <w:spacing w:after="0" w:line="240" w:lineRule="auto"/>
        <w:jc w:val="both"/>
        <w:outlineLvl w:val="0"/>
        <w:rPr>
          <w:rFonts w:ascii="Tahoma" w:eastAsia="Times New Roman" w:hAnsi="Tahoma" w:cs="Tahoma"/>
          <w:noProof/>
          <w:sz w:val="20"/>
          <w:szCs w:val="20"/>
          <w:lang w:val="en-AU" w:eastAsia="en-AU"/>
        </w:rPr>
      </w:pPr>
      <w:bookmarkStart w:id="252" w:name="_Toc377562506"/>
      <w:r w:rsidRPr="00D1198B">
        <w:rPr>
          <w:rFonts w:ascii="Tahoma" w:eastAsia="Times New Roman" w:hAnsi="Tahoma" w:cs="Tahoma"/>
          <w:noProof/>
          <w:sz w:val="20"/>
          <w:szCs w:val="20"/>
          <w:lang w:val="en-AU" w:eastAsia="en-AU"/>
        </w:rPr>
        <w:drawing>
          <wp:inline distT="0" distB="0" distL="0" distR="0" wp14:anchorId="50E7092B" wp14:editId="4A579687">
            <wp:extent cx="5591175" cy="484822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1175" cy="4848225"/>
                    </a:xfrm>
                    <a:prstGeom prst="rect">
                      <a:avLst/>
                    </a:prstGeom>
                    <a:noFill/>
                    <a:ln w="6350" cmpd="sng">
                      <a:solidFill>
                        <a:srgbClr val="000000"/>
                      </a:solidFill>
                      <a:miter lim="800000"/>
                      <a:headEnd/>
                      <a:tailEnd/>
                    </a:ln>
                    <a:effectLst/>
                  </pic:spPr>
                </pic:pic>
              </a:graphicData>
            </a:graphic>
          </wp:inline>
        </w:drawing>
      </w:r>
      <w:bookmarkEnd w:id="252"/>
    </w:p>
    <w:p w14:paraId="77126C17" w14:textId="77777777" w:rsidR="00A16FA0" w:rsidRPr="00D1198B" w:rsidRDefault="00A16FA0" w:rsidP="00A16FA0">
      <w:pPr>
        <w:spacing w:after="0" w:line="240" w:lineRule="auto"/>
        <w:jc w:val="both"/>
        <w:outlineLvl w:val="0"/>
        <w:rPr>
          <w:rFonts w:ascii="Tahoma" w:eastAsia="Times New Roman" w:hAnsi="Tahoma" w:cs="Tahoma"/>
          <w:noProof/>
          <w:sz w:val="16"/>
          <w:szCs w:val="16"/>
          <w:lang w:val="en-AU" w:eastAsia="en-AU"/>
        </w:rPr>
      </w:pPr>
    </w:p>
    <w:p w14:paraId="18C9B8AE"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br w:type="page"/>
      </w:r>
      <w:bookmarkStart w:id="253" w:name="_Toc377562507"/>
      <w:r w:rsidRPr="00D1198B">
        <w:rPr>
          <w:rFonts w:ascii="Tahoma" w:eastAsia="Times New Roman" w:hAnsi="Tahoma" w:cs="Tahoma"/>
          <w:b/>
          <w:noProof/>
          <w:sz w:val="20"/>
          <w:szCs w:val="20"/>
          <w:lang w:val="en-AU" w:eastAsia="en-AU"/>
        </w:rPr>
        <w:lastRenderedPageBreak/>
        <w:t>Table 1: Site Assessment</w:t>
      </w:r>
      <w:bookmarkEnd w:id="253"/>
    </w:p>
    <w:p w14:paraId="0DBE9B18"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p>
    <w:tbl>
      <w:tblPr>
        <w:tblpPr w:leftFromText="180" w:rightFromText="180" w:vertAnchor="text" w:horzAnchor="margin" w:tblpY="419"/>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4663"/>
        <w:gridCol w:w="1493"/>
        <w:gridCol w:w="1678"/>
      </w:tblGrid>
      <w:tr w:rsidR="00A16FA0" w:rsidRPr="00D1198B" w14:paraId="01EE5FF8" w14:textId="77777777" w:rsidTr="00FE78D4">
        <w:tc>
          <w:tcPr>
            <w:tcW w:w="849" w:type="pct"/>
            <w:shd w:val="clear" w:color="auto" w:fill="auto"/>
          </w:tcPr>
          <w:p w14:paraId="64509DD1"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Feature</w:t>
            </w:r>
          </w:p>
        </w:tc>
        <w:tc>
          <w:tcPr>
            <w:tcW w:w="2470" w:type="pct"/>
            <w:shd w:val="clear" w:color="auto" w:fill="auto"/>
          </w:tcPr>
          <w:p w14:paraId="03C33A50"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Description</w:t>
            </w:r>
          </w:p>
        </w:tc>
        <w:tc>
          <w:tcPr>
            <w:tcW w:w="791" w:type="pct"/>
            <w:shd w:val="clear" w:color="auto" w:fill="auto"/>
          </w:tcPr>
          <w:p w14:paraId="73A0CB4D"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Level of Constraint</w:t>
            </w:r>
          </w:p>
          <w:p w14:paraId="7AA44AAC"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p>
        </w:tc>
        <w:tc>
          <w:tcPr>
            <w:tcW w:w="889" w:type="pct"/>
          </w:tcPr>
          <w:p w14:paraId="0BD19283"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Mitigation Measures</w:t>
            </w:r>
          </w:p>
        </w:tc>
      </w:tr>
      <w:tr w:rsidR="00A16FA0" w:rsidRPr="00D1198B" w14:paraId="46A4930E" w14:textId="77777777" w:rsidTr="00FE78D4">
        <w:tc>
          <w:tcPr>
            <w:tcW w:w="849" w:type="pct"/>
            <w:shd w:val="clear" w:color="auto" w:fill="auto"/>
          </w:tcPr>
          <w:p w14:paraId="30E45F4C"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Buffer Distances</w:t>
            </w:r>
          </w:p>
        </w:tc>
        <w:tc>
          <w:tcPr>
            <w:tcW w:w="2470" w:type="pct"/>
            <w:shd w:val="clear" w:color="auto" w:fill="auto"/>
          </w:tcPr>
          <w:p w14:paraId="4428B4E9"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All relevant buffer distances in Table 5 of the Code (2013) are achievable from the proposed effluent management area.</w:t>
            </w:r>
          </w:p>
        </w:tc>
        <w:tc>
          <w:tcPr>
            <w:tcW w:w="791" w:type="pct"/>
            <w:shd w:val="clear" w:color="auto" w:fill="auto"/>
          </w:tcPr>
          <w:p w14:paraId="68B1385E"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Minor</w:t>
            </w:r>
          </w:p>
        </w:tc>
        <w:tc>
          <w:tcPr>
            <w:tcW w:w="889" w:type="pct"/>
          </w:tcPr>
          <w:p w14:paraId="71CC534D"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w:t>
            </w:r>
          </w:p>
        </w:tc>
      </w:tr>
      <w:tr w:rsidR="00A16FA0" w:rsidRPr="00D1198B" w14:paraId="6592CEA5" w14:textId="77777777" w:rsidTr="00FE78D4">
        <w:tc>
          <w:tcPr>
            <w:tcW w:w="849" w:type="pct"/>
            <w:shd w:val="clear" w:color="auto" w:fill="auto"/>
          </w:tcPr>
          <w:p w14:paraId="32AA5116"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Climate</w:t>
            </w:r>
          </w:p>
        </w:tc>
        <w:tc>
          <w:tcPr>
            <w:tcW w:w="2470" w:type="pct"/>
            <w:shd w:val="clear" w:color="auto" w:fill="auto"/>
          </w:tcPr>
          <w:p w14:paraId="4AF57A08"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Average annual rainfall  598 mm (Sale East Climate Station No. 085072), max. average 63.8 mm in November, min. average 41.4 mm in July. Average no. of rain days per year: 91.2. Average annual pan evaporation is 1350.5 mm.</w:t>
            </w:r>
          </w:p>
        </w:tc>
        <w:tc>
          <w:tcPr>
            <w:tcW w:w="791" w:type="pct"/>
            <w:shd w:val="clear" w:color="auto" w:fill="auto"/>
          </w:tcPr>
          <w:p w14:paraId="465751DC"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Minor</w:t>
            </w:r>
          </w:p>
        </w:tc>
        <w:tc>
          <w:tcPr>
            <w:tcW w:w="889" w:type="pct"/>
          </w:tcPr>
          <w:p w14:paraId="1EEC2D4E"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w:t>
            </w:r>
          </w:p>
        </w:tc>
      </w:tr>
      <w:tr w:rsidR="00A16FA0" w:rsidRPr="00D1198B" w14:paraId="1D4FB54D" w14:textId="77777777" w:rsidTr="00FE78D4">
        <w:tc>
          <w:tcPr>
            <w:tcW w:w="849" w:type="pct"/>
            <w:shd w:val="clear" w:color="auto" w:fill="auto"/>
          </w:tcPr>
          <w:p w14:paraId="4C0E6A74"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Drainage</w:t>
            </w:r>
          </w:p>
        </w:tc>
        <w:tc>
          <w:tcPr>
            <w:tcW w:w="2470" w:type="pct"/>
            <w:shd w:val="clear" w:color="auto" w:fill="auto"/>
          </w:tcPr>
          <w:p w14:paraId="6016CE2A"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No visible signs of surface dampness, spring activity or hydrophilic vegetation in the proposed efﬂuent management area or surrounds. &lt;10% yellow mottling was observed from 20 cm depth in TP1, indicating that seasonal water logging may occur, which could limit percolation of efﬂuent through the soil proﬁle in this area. No mottling was observed in TP2.</w:t>
            </w:r>
          </w:p>
        </w:tc>
        <w:tc>
          <w:tcPr>
            <w:tcW w:w="791" w:type="pct"/>
            <w:shd w:val="clear" w:color="auto" w:fill="auto"/>
          </w:tcPr>
          <w:p w14:paraId="65EFFBEB"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Moderate</w:t>
            </w:r>
          </w:p>
        </w:tc>
        <w:tc>
          <w:tcPr>
            <w:tcW w:w="889" w:type="pct"/>
          </w:tcPr>
          <w:p w14:paraId="42A05E55"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Adopt low DIR</w:t>
            </w:r>
          </w:p>
        </w:tc>
      </w:tr>
      <w:tr w:rsidR="00A16FA0" w:rsidRPr="00D1198B" w14:paraId="0C4BCB7C" w14:textId="77777777" w:rsidTr="00FE78D4">
        <w:tc>
          <w:tcPr>
            <w:tcW w:w="849" w:type="pct"/>
            <w:shd w:val="clear" w:color="auto" w:fill="auto"/>
          </w:tcPr>
          <w:p w14:paraId="15EB1D52"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 xml:space="preserve">Erosion &amp; Landslip </w:t>
            </w:r>
          </w:p>
        </w:tc>
        <w:tc>
          <w:tcPr>
            <w:tcW w:w="2470" w:type="pct"/>
            <w:shd w:val="clear" w:color="auto" w:fill="auto"/>
          </w:tcPr>
          <w:p w14:paraId="77D09E2A"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No evidence of sheet or rill erosion; the erosion hazard is low. No evidence of landslip and landslip potential is low.</w:t>
            </w:r>
          </w:p>
        </w:tc>
        <w:tc>
          <w:tcPr>
            <w:tcW w:w="791" w:type="pct"/>
            <w:shd w:val="clear" w:color="auto" w:fill="auto"/>
          </w:tcPr>
          <w:p w14:paraId="1950A71F"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Minor</w:t>
            </w:r>
          </w:p>
        </w:tc>
        <w:tc>
          <w:tcPr>
            <w:tcW w:w="889" w:type="pct"/>
          </w:tcPr>
          <w:p w14:paraId="46281F76"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w:t>
            </w:r>
          </w:p>
        </w:tc>
      </w:tr>
      <w:tr w:rsidR="00A16FA0" w:rsidRPr="00D1198B" w14:paraId="1487BC76" w14:textId="77777777" w:rsidTr="00FE78D4">
        <w:tc>
          <w:tcPr>
            <w:tcW w:w="849" w:type="pct"/>
            <w:shd w:val="clear" w:color="auto" w:fill="auto"/>
          </w:tcPr>
          <w:p w14:paraId="52CA10D0"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Exposure</w:t>
            </w:r>
          </w:p>
          <w:p w14:paraId="2CF3E151"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&amp; Aspect</w:t>
            </w:r>
          </w:p>
        </w:tc>
        <w:tc>
          <w:tcPr>
            <w:tcW w:w="2470" w:type="pct"/>
            <w:shd w:val="clear" w:color="auto" w:fill="auto"/>
          </w:tcPr>
          <w:p w14:paraId="2317AD87"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Cleared, except for riparian vegetation, with a westerly aspect and has high sun and wind exposure.</w:t>
            </w:r>
          </w:p>
        </w:tc>
        <w:tc>
          <w:tcPr>
            <w:tcW w:w="791" w:type="pct"/>
            <w:shd w:val="clear" w:color="auto" w:fill="auto"/>
          </w:tcPr>
          <w:p w14:paraId="5E68EA5C"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Minor</w:t>
            </w:r>
          </w:p>
        </w:tc>
        <w:tc>
          <w:tcPr>
            <w:tcW w:w="889" w:type="pct"/>
          </w:tcPr>
          <w:p w14:paraId="79F3AED9"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w:t>
            </w:r>
          </w:p>
        </w:tc>
      </w:tr>
      <w:tr w:rsidR="00A16FA0" w:rsidRPr="00D1198B" w14:paraId="5513AF8F" w14:textId="77777777" w:rsidTr="00FE78D4">
        <w:tc>
          <w:tcPr>
            <w:tcW w:w="849" w:type="pct"/>
            <w:shd w:val="clear" w:color="auto" w:fill="auto"/>
          </w:tcPr>
          <w:p w14:paraId="3655B77C"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Flooding</w:t>
            </w:r>
          </w:p>
        </w:tc>
        <w:tc>
          <w:tcPr>
            <w:tcW w:w="2470" w:type="pct"/>
            <w:shd w:val="clear" w:color="auto" w:fill="auto"/>
          </w:tcPr>
          <w:p w14:paraId="116CE7DE"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The proposed effluent management area is located above the 1:100 year ﬂood level (source WSC).</w:t>
            </w:r>
          </w:p>
        </w:tc>
        <w:tc>
          <w:tcPr>
            <w:tcW w:w="791" w:type="pct"/>
            <w:shd w:val="clear" w:color="auto" w:fill="auto"/>
          </w:tcPr>
          <w:p w14:paraId="1A07DEA2"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Minor</w:t>
            </w:r>
          </w:p>
        </w:tc>
        <w:tc>
          <w:tcPr>
            <w:tcW w:w="889" w:type="pct"/>
          </w:tcPr>
          <w:p w14:paraId="3AF49C0F"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w:t>
            </w:r>
          </w:p>
        </w:tc>
      </w:tr>
      <w:tr w:rsidR="00A16FA0" w:rsidRPr="00D1198B" w14:paraId="72497167" w14:textId="77777777" w:rsidTr="00FE78D4">
        <w:tc>
          <w:tcPr>
            <w:tcW w:w="849" w:type="pct"/>
            <w:shd w:val="clear" w:color="auto" w:fill="auto"/>
          </w:tcPr>
          <w:p w14:paraId="6F42DF0E"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Groundwater</w:t>
            </w:r>
          </w:p>
        </w:tc>
        <w:tc>
          <w:tcPr>
            <w:tcW w:w="2470" w:type="pct"/>
            <w:shd w:val="clear" w:color="auto" w:fill="auto"/>
          </w:tcPr>
          <w:p w14:paraId="737421AE"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No signs of shallow groundwater tables to 1.5 m depth. No known groundwater bores within 250 m of the proposed efﬂuent management area.</w:t>
            </w:r>
          </w:p>
        </w:tc>
        <w:tc>
          <w:tcPr>
            <w:tcW w:w="791" w:type="pct"/>
            <w:shd w:val="clear" w:color="auto" w:fill="auto"/>
          </w:tcPr>
          <w:p w14:paraId="493D0B51"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Minor</w:t>
            </w:r>
          </w:p>
        </w:tc>
        <w:tc>
          <w:tcPr>
            <w:tcW w:w="889" w:type="pct"/>
          </w:tcPr>
          <w:p w14:paraId="45E80D0C"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w:t>
            </w:r>
          </w:p>
        </w:tc>
      </w:tr>
      <w:tr w:rsidR="00A16FA0" w:rsidRPr="00D1198B" w14:paraId="713A5DAF" w14:textId="77777777" w:rsidTr="00FE78D4">
        <w:tc>
          <w:tcPr>
            <w:tcW w:w="849" w:type="pct"/>
            <w:shd w:val="clear" w:color="auto" w:fill="auto"/>
          </w:tcPr>
          <w:p w14:paraId="069079C7"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Imported Fill</w:t>
            </w:r>
          </w:p>
        </w:tc>
        <w:tc>
          <w:tcPr>
            <w:tcW w:w="2470" w:type="pct"/>
            <w:shd w:val="clear" w:color="auto" w:fill="auto"/>
          </w:tcPr>
          <w:p w14:paraId="6F9C766C"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No imported fill material was observed anywhere on the site.</w:t>
            </w:r>
          </w:p>
        </w:tc>
        <w:tc>
          <w:tcPr>
            <w:tcW w:w="791" w:type="pct"/>
            <w:shd w:val="clear" w:color="auto" w:fill="auto"/>
          </w:tcPr>
          <w:p w14:paraId="6077F0BD"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Nil</w:t>
            </w:r>
          </w:p>
        </w:tc>
        <w:tc>
          <w:tcPr>
            <w:tcW w:w="889" w:type="pct"/>
          </w:tcPr>
          <w:p w14:paraId="745B64E3"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w:t>
            </w:r>
          </w:p>
        </w:tc>
      </w:tr>
      <w:tr w:rsidR="00A16FA0" w:rsidRPr="00D1198B" w14:paraId="2EC77240" w14:textId="77777777" w:rsidTr="00FE78D4">
        <w:tc>
          <w:tcPr>
            <w:tcW w:w="849" w:type="pct"/>
            <w:shd w:val="clear" w:color="auto" w:fill="auto"/>
          </w:tcPr>
          <w:p w14:paraId="67290120"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Land Available for LAA</w:t>
            </w:r>
          </w:p>
        </w:tc>
        <w:tc>
          <w:tcPr>
            <w:tcW w:w="2470" w:type="pct"/>
            <w:shd w:val="clear" w:color="auto" w:fill="auto"/>
          </w:tcPr>
          <w:p w14:paraId="2B1D20E3"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Considering all the constraints and buffers, the site has ample suitable land for land application of treated efﬂuent. The  preferred effluent management area is on the eastern side of the property in between the two prominent drainage lines.</w:t>
            </w:r>
          </w:p>
        </w:tc>
        <w:tc>
          <w:tcPr>
            <w:tcW w:w="791" w:type="pct"/>
            <w:shd w:val="clear" w:color="auto" w:fill="auto"/>
          </w:tcPr>
          <w:p w14:paraId="17836C66"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Nil</w:t>
            </w:r>
          </w:p>
        </w:tc>
        <w:tc>
          <w:tcPr>
            <w:tcW w:w="889" w:type="pct"/>
          </w:tcPr>
          <w:p w14:paraId="27E246EB"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w:t>
            </w:r>
          </w:p>
        </w:tc>
      </w:tr>
      <w:tr w:rsidR="00A16FA0" w:rsidRPr="00D1198B" w14:paraId="6D112B2E" w14:textId="77777777" w:rsidTr="00FE78D4">
        <w:tc>
          <w:tcPr>
            <w:tcW w:w="849" w:type="pct"/>
            <w:shd w:val="clear" w:color="auto" w:fill="auto"/>
          </w:tcPr>
          <w:p w14:paraId="3476C2AA"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Landform</w:t>
            </w:r>
          </w:p>
        </w:tc>
        <w:tc>
          <w:tcPr>
            <w:tcW w:w="2470" w:type="pct"/>
            <w:shd w:val="clear" w:color="auto" w:fill="auto"/>
          </w:tcPr>
          <w:p w14:paraId="4B16BD30"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Lower slope leading on to a ﬂoodplain dissected by two deep drainage lines which join to the west of the site and feed into the Macalister River.</w:t>
            </w:r>
          </w:p>
        </w:tc>
        <w:tc>
          <w:tcPr>
            <w:tcW w:w="791" w:type="pct"/>
            <w:shd w:val="clear" w:color="auto" w:fill="auto"/>
          </w:tcPr>
          <w:p w14:paraId="4264B494"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Moderate</w:t>
            </w:r>
          </w:p>
        </w:tc>
        <w:tc>
          <w:tcPr>
            <w:tcW w:w="889" w:type="pct"/>
          </w:tcPr>
          <w:p w14:paraId="2C7058F3"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 xml:space="preserve">Locate LAA with approriate setback to floodplain and </w:t>
            </w:r>
            <w:r w:rsidRPr="00D1198B">
              <w:rPr>
                <w:rFonts w:ascii="Tahoma" w:eastAsia="Times New Roman" w:hAnsi="Tahoma" w:cs="Tahoma"/>
                <w:noProof/>
                <w:sz w:val="20"/>
                <w:szCs w:val="20"/>
                <w:lang w:val="en-AU" w:eastAsia="en-AU"/>
              </w:rPr>
              <w:lastRenderedPageBreak/>
              <w:t>drainage lines</w:t>
            </w:r>
          </w:p>
        </w:tc>
      </w:tr>
      <w:tr w:rsidR="00A16FA0" w:rsidRPr="00D1198B" w14:paraId="0E939400" w14:textId="77777777" w:rsidTr="00FE78D4">
        <w:tc>
          <w:tcPr>
            <w:tcW w:w="849" w:type="pct"/>
            <w:shd w:val="clear" w:color="auto" w:fill="auto"/>
          </w:tcPr>
          <w:p w14:paraId="46B279CC"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lastRenderedPageBreak/>
              <w:t>Rock Outcrops</w:t>
            </w:r>
          </w:p>
        </w:tc>
        <w:tc>
          <w:tcPr>
            <w:tcW w:w="2470" w:type="pct"/>
            <w:shd w:val="clear" w:color="auto" w:fill="auto"/>
          </w:tcPr>
          <w:p w14:paraId="47F76B23"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No evidence of surface rocks or outcrops.</w:t>
            </w:r>
          </w:p>
        </w:tc>
        <w:tc>
          <w:tcPr>
            <w:tcW w:w="791" w:type="pct"/>
            <w:shd w:val="clear" w:color="auto" w:fill="auto"/>
          </w:tcPr>
          <w:p w14:paraId="79D60A5C"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Nil</w:t>
            </w:r>
          </w:p>
        </w:tc>
        <w:tc>
          <w:tcPr>
            <w:tcW w:w="889" w:type="pct"/>
          </w:tcPr>
          <w:p w14:paraId="235853CD"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w:t>
            </w:r>
          </w:p>
        </w:tc>
      </w:tr>
      <w:tr w:rsidR="00A16FA0" w:rsidRPr="00D1198B" w14:paraId="37035424" w14:textId="77777777" w:rsidTr="00FE78D4">
        <w:tc>
          <w:tcPr>
            <w:tcW w:w="849" w:type="pct"/>
            <w:shd w:val="clear" w:color="auto" w:fill="auto"/>
          </w:tcPr>
          <w:p w14:paraId="4EA18423"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Feature</w:t>
            </w:r>
          </w:p>
        </w:tc>
        <w:tc>
          <w:tcPr>
            <w:tcW w:w="2470" w:type="pct"/>
            <w:shd w:val="clear" w:color="auto" w:fill="auto"/>
          </w:tcPr>
          <w:p w14:paraId="25571F23"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b/>
                <w:noProof/>
                <w:sz w:val="20"/>
                <w:szCs w:val="20"/>
                <w:lang w:val="en-AU" w:eastAsia="en-AU"/>
              </w:rPr>
              <w:t>Description</w:t>
            </w:r>
          </w:p>
        </w:tc>
        <w:tc>
          <w:tcPr>
            <w:tcW w:w="791" w:type="pct"/>
            <w:shd w:val="clear" w:color="auto" w:fill="auto"/>
          </w:tcPr>
          <w:p w14:paraId="1A525530"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Level of Constraint</w:t>
            </w:r>
          </w:p>
          <w:p w14:paraId="639AD340"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p>
        </w:tc>
        <w:tc>
          <w:tcPr>
            <w:tcW w:w="889" w:type="pct"/>
          </w:tcPr>
          <w:p w14:paraId="45A71CA9"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b/>
                <w:noProof/>
                <w:sz w:val="20"/>
                <w:szCs w:val="20"/>
                <w:lang w:val="en-AU" w:eastAsia="en-AU"/>
              </w:rPr>
              <w:t>Mitigation Measures</w:t>
            </w:r>
          </w:p>
        </w:tc>
      </w:tr>
      <w:tr w:rsidR="00A16FA0" w:rsidRPr="00D1198B" w14:paraId="689BDBEA" w14:textId="77777777" w:rsidTr="00FE78D4">
        <w:tc>
          <w:tcPr>
            <w:tcW w:w="849" w:type="pct"/>
            <w:shd w:val="clear" w:color="auto" w:fill="auto"/>
          </w:tcPr>
          <w:p w14:paraId="15BFAD44"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Run-on &amp; Runoff</w:t>
            </w:r>
          </w:p>
        </w:tc>
        <w:tc>
          <w:tcPr>
            <w:tcW w:w="2470" w:type="pct"/>
            <w:shd w:val="clear" w:color="auto" w:fill="auto"/>
          </w:tcPr>
          <w:p w14:paraId="7566C86A"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Negligible stormwater run-on and minor run-off hazard.</w:t>
            </w:r>
          </w:p>
        </w:tc>
        <w:tc>
          <w:tcPr>
            <w:tcW w:w="791" w:type="pct"/>
            <w:shd w:val="clear" w:color="auto" w:fill="auto"/>
          </w:tcPr>
          <w:p w14:paraId="03238BFD"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Nil</w:t>
            </w:r>
          </w:p>
        </w:tc>
        <w:tc>
          <w:tcPr>
            <w:tcW w:w="889" w:type="pct"/>
          </w:tcPr>
          <w:p w14:paraId="05BE1798"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w:t>
            </w:r>
          </w:p>
        </w:tc>
      </w:tr>
      <w:tr w:rsidR="00A16FA0" w:rsidRPr="00D1198B" w14:paraId="1A8D1DD0" w14:textId="77777777" w:rsidTr="00FE78D4">
        <w:tc>
          <w:tcPr>
            <w:tcW w:w="849" w:type="pct"/>
            <w:shd w:val="clear" w:color="auto" w:fill="auto"/>
          </w:tcPr>
          <w:p w14:paraId="3E508B9A"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Slope</w:t>
            </w:r>
          </w:p>
        </w:tc>
        <w:tc>
          <w:tcPr>
            <w:tcW w:w="2470" w:type="pct"/>
            <w:shd w:val="clear" w:color="auto" w:fill="auto"/>
          </w:tcPr>
          <w:p w14:paraId="33085ED9"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The proposed efﬂuent management area is quite ﬂat with gradients less than 5 percent, generally to the west.</w:t>
            </w:r>
          </w:p>
        </w:tc>
        <w:tc>
          <w:tcPr>
            <w:tcW w:w="791" w:type="pct"/>
            <w:shd w:val="clear" w:color="auto" w:fill="auto"/>
          </w:tcPr>
          <w:p w14:paraId="632B84BF"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Nil</w:t>
            </w:r>
          </w:p>
        </w:tc>
        <w:tc>
          <w:tcPr>
            <w:tcW w:w="889" w:type="pct"/>
          </w:tcPr>
          <w:p w14:paraId="17906C08"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w:t>
            </w:r>
          </w:p>
        </w:tc>
      </w:tr>
      <w:tr w:rsidR="00A16FA0" w:rsidRPr="00D1198B" w14:paraId="1782D071" w14:textId="77777777" w:rsidTr="00FE78D4">
        <w:tc>
          <w:tcPr>
            <w:tcW w:w="849" w:type="pct"/>
            <w:shd w:val="clear" w:color="auto" w:fill="auto"/>
          </w:tcPr>
          <w:p w14:paraId="32BD832A"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Surface Waters</w:t>
            </w:r>
          </w:p>
        </w:tc>
        <w:tc>
          <w:tcPr>
            <w:tcW w:w="2470" w:type="pct"/>
            <w:shd w:val="clear" w:color="auto" w:fill="auto"/>
          </w:tcPr>
          <w:p w14:paraId="2B5DAA7E"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Adjacent to the Macalister River which ﬂows into the Gippsland Lakes. The northern and southern boundaries are crossed by two shallow drainage depressions, which occasionally carry water for a short period after heavy rain.</w:t>
            </w:r>
          </w:p>
        </w:tc>
        <w:tc>
          <w:tcPr>
            <w:tcW w:w="791" w:type="pct"/>
            <w:shd w:val="clear" w:color="auto" w:fill="auto"/>
          </w:tcPr>
          <w:p w14:paraId="43625B25"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Nil</w:t>
            </w:r>
          </w:p>
        </w:tc>
        <w:tc>
          <w:tcPr>
            <w:tcW w:w="889" w:type="pct"/>
          </w:tcPr>
          <w:p w14:paraId="2F4F7D33"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w:t>
            </w:r>
          </w:p>
        </w:tc>
      </w:tr>
      <w:tr w:rsidR="00A16FA0" w:rsidRPr="00D1198B" w14:paraId="591D35A8" w14:textId="77777777" w:rsidTr="00FE78D4">
        <w:tc>
          <w:tcPr>
            <w:tcW w:w="849" w:type="pct"/>
            <w:shd w:val="clear" w:color="auto" w:fill="auto"/>
          </w:tcPr>
          <w:p w14:paraId="10833A66" w14:textId="77777777" w:rsidR="00A16FA0" w:rsidRPr="00D1198B" w:rsidRDefault="00A16FA0" w:rsidP="00FE78D4">
            <w:pPr>
              <w:spacing w:before="60" w:after="60" w:line="240" w:lineRule="auto"/>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Vegetation</w:t>
            </w:r>
          </w:p>
        </w:tc>
        <w:tc>
          <w:tcPr>
            <w:tcW w:w="2470" w:type="pct"/>
            <w:shd w:val="clear" w:color="auto" w:fill="auto"/>
          </w:tcPr>
          <w:p w14:paraId="15640923"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Mixture of grasses, both native and exotic, and native riparian vegetation.</w:t>
            </w:r>
          </w:p>
        </w:tc>
        <w:tc>
          <w:tcPr>
            <w:tcW w:w="791" w:type="pct"/>
            <w:shd w:val="clear" w:color="auto" w:fill="auto"/>
          </w:tcPr>
          <w:p w14:paraId="39BF5264"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nil</w:t>
            </w:r>
          </w:p>
        </w:tc>
        <w:tc>
          <w:tcPr>
            <w:tcW w:w="889" w:type="pct"/>
          </w:tcPr>
          <w:p w14:paraId="7BC89586" w14:textId="77777777" w:rsidR="00A16FA0" w:rsidRPr="00D1198B" w:rsidRDefault="00A16FA0" w:rsidP="00FE78D4">
            <w:pPr>
              <w:spacing w:before="60" w:after="60" w:line="240" w:lineRule="auto"/>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w:t>
            </w:r>
          </w:p>
        </w:tc>
      </w:tr>
    </w:tbl>
    <w:p w14:paraId="315677A6"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 not needed</w:t>
      </w:r>
    </w:p>
    <w:p w14:paraId="5D38E868"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br w:type="page"/>
      </w:r>
    </w:p>
    <w:p w14:paraId="6B38B419" w14:textId="77777777" w:rsidR="00A16FA0" w:rsidRPr="00D1198B" w:rsidRDefault="00A16FA0" w:rsidP="00A16FA0">
      <w:pPr>
        <w:spacing w:after="0" w:line="240" w:lineRule="auto"/>
        <w:jc w:val="both"/>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lastRenderedPageBreak/>
        <w:t>Site Assessment Results</w:t>
      </w:r>
    </w:p>
    <w:p w14:paraId="79620682"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Based on the most constraining site features (landform and drainage), the overall land capability of the site to sustainably manage all effluent onsite is satisfactory. The proposed effluent management area is located above the 1:100 ﬂood level and by using secondary treatment and pressure-compensating sub-surface irrigation, there will be ample protection of surface waters and groundwater.</w:t>
      </w:r>
    </w:p>
    <w:p w14:paraId="40A0AAED"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6ECA301E" w14:textId="77777777" w:rsidR="00A16FA0" w:rsidRPr="00D1198B" w:rsidRDefault="00A16FA0" w:rsidP="00A16FA0">
      <w:pPr>
        <w:spacing w:after="0" w:line="240" w:lineRule="auto"/>
        <w:jc w:val="both"/>
        <w:outlineLvl w:val="0"/>
        <w:rPr>
          <w:rFonts w:ascii="Tahoma" w:eastAsia="Times New Roman" w:hAnsi="Tahoma" w:cs="Tahoma"/>
          <w:b/>
          <w:noProof/>
          <w:sz w:val="20"/>
          <w:szCs w:val="20"/>
          <w:lang w:val="en-AU" w:eastAsia="en-AU"/>
        </w:rPr>
      </w:pPr>
      <w:bookmarkStart w:id="254" w:name="_Toc377562508"/>
      <w:r w:rsidRPr="00D1198B">
        <w:rPr>
          <w:rFonts w:ascii="Tahoma" w:eastAsia="Times New Roman" w:hAnsi="Tahoma" w:cs="Tahoma"/>
          <w:b/>
          <w:noProof/>
          <w:sz w:val="20"/>
          <w:szCs w:val="20"/>
          <w:lang w:val="en-AU" w:eastAsia="en-AU"/>
        </w:rPr>
        <w:t>SOIL KEY FEATURES</w:t>
      </w:r>
      <w:bookmarkEnd w:id="254"/>
    </w:p>
    <w:p w14:paraId="5DA4EFEC"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The site’s soils have been assessed for their suitability for onsite wastewater management by a combination of soil survey and desktop review of published soil survey information as outlined below.</w:t>
      </w:r>
    </w:p>
    <w:p w14:paraId="1B9528B2"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44470716" w14:textId="77777777" w:rsidR="00A16FA0" w:rsidRPr="00D1198B" w:rsidRDefault="00A16FA0" w:rsidP="00A16FA0">
      <w:pPr>
        <w:spacing w:after="0" w:line="240" w:lineRule="auto"/>
        <w:jc w:val="both"/>
        <w:rPr>
          <w:rFonts w:ascii="Tahoma" w:eastAsia="Times New Roman" w:hAnsi="Tahoma" w:cs="Tahoma"/>
          <w:b/>
          <w:i/>
          <w:noProof/>
          <w:sz w:val="20"/>
          <w:szCs w:val="20"/>
          <w:lang w:val="en-AU" w:eastAsia="en-AU"/>
        </w:rPr>
      </w:pPr>
      <w:r w:rsidRPr="00D1198B">
        <w:rPr>
          <w:rFonts w:ascii="Tahoma" w:eastAsia="Times New Roman" w:hAnsi="Tahoma" w:cs="Tahoma"/>
          <w:b/>
          <w:i/>
          <w:noProof/>
          <w:sz w:val="20"/>
          <w:szCs w:val="20"/>
          <w:lang w:val="en-AU" w:eastAsia="en-AU"/>
        </w:rPr>
        <w:t>Published Soils Information</w:t>
      </w:r>
    </w:p>
    <w:p w14:paraId="73E7A956"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Soils of the site have been mapped and described in Major Agricultural Soils of the Maffra Region by Sargeant and Imhof (2000), and are described as belonging to the Stratford map unit. This unit occurs on alluvial sediments deposited in the Pleistocene period. The landform is a level plain which is an elevated weakly dissected alluvial terrace. The original vegetation was a grassy open forest of Eucalyptus tereticornis that has now largely been cleared. The surface soils are generally dark greyish brown loamy sands to sandy loams. They have a bleached sub-surface (typically pale brown to pale brownish grey) of similarly textured material abruptly overlying, at about 20 to 40 cm, mottled brown and yellowish brown clays. Mottled clays or sandy clays normally continue to at least 1 m often accompanied by gravel and stones. The soils are most likely to be classiﬁed as Brown or Yellow Sodosols using the Australian Soil Classiﬁcation (Isbell, 1996).</w:t>
      </w:r>
    </w:p>
    <w:p w14:paraId="195839FC"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68B5480B" w14:textId="77777777" w:rsidR="00A16FA0" w:rsidRPr="00D1198B" w:rsidRDefault="00A16FA0" w:rsidP="00A16FA0">
      <w:pPr>
        <w:spacing w:after="0" w:line="240" w:lineRule="auto"/>
        <w:jc w:val="both"/>
        <w:rPr>
          <w:rFonts w:ascii="Tahoma" w:eastAsia="Times New Roman" w:hAnsi="Tahoma" w:cs="Tahoma"/>
          <w:b/>
          <w:i/>
          <w:noProof/>
          <w:sz w:val="20"/>
          <w:szCs w:val="20"/>
          <w:lang w:val="en-AU" w:eastAsia="en-AU"/>
        </w:rPr>
      </w:pPr>
      <w:r w:rsidRPr="00D1198B">
        <w:rPr>
          <w:rFonts w:ascii="Tahoma" w:eastAsia="Times New Roman" w:hAnsi="Tahoma" w:cs="Tahoma"/>
          <w:b/>
          <w:i/>
          <w:noProof/>
          <w:sz w:val="20"/>
          <w:szCs w:val="20"/>
          <w:lang w:val="en-AU" w:eastAsia="en-AU"/>
        </w:rPr>
        <w:t>Soil Survey and Analysis</w:t>
      </w:r>
    </w:p>
    <w:p w14:paraId="0D99C37D"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A soil survey was carried out at the site to determine suitability for application of treated efﬂuent. Soil investigations were conducted at two locations in the vicinity of the building envelope, as shown in Figure 2, using hand dug test pits (TP1 and TP2) to 1.5 m depth. This was sufﬁcient to adequately characterise the soils as only minor variation would be expected throughout the area of interest. Two soil types were encountered in these investigations. Full proﬁle descriptions are provided in Appendix A. Samples of all discrete soil layers for each soil type were collected for subsequent laboratory analysis of pH, electrical conductivity and Emerson Aggregate Class. Tables 2 and 3 describe the soil constraints in detail for each of the soils encountered.</w:t>
      </w:r>
    </w:p>
    <w:p w14:paraId="5EED3EB1"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4E8AF38D"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Soils in the vicinity of the building envelope (TP1) are characterised as ﬁne sandy loam topsoils overlying light clay, which becomes heavier with depth. The A2 horizon has a massive structure and is conspicuously bleached and mottling occurs in the subsoil (from 20 cm depth) which indicates imperfect drainage and seasonal perched watertables. The subsoil is also strongly sodic and dispersible. This soil is classiﬁed as a Brown Sodosol (Isbell, R.F., 1996).</w:t>
      </w:r>
    </w:p>
    <w:p w14:paraId="43AE4D9A"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10E3DD92"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Given the physical and chemical limitations of the subsoil in this area of the site, efﬂuent application via an absorption trench is not recommended.</w:t>
      </w:r>
    </w:p>
    <w:p w14:paraId="10B7EE9A"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7B494523"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The soil on the ﬂoodplain (TP2) was found to consist of a ﬁne sandy loam topsoil with a gradual change in texture down through the proﬁle to a light silty clay from depths of 60 cm. The soil is moderately to strongly structured and is classiﬁed as a Black Dermosol. Whilst this soil type is more suitable to efﬂuent assimilation, its location some distance from the proposed building envelope and on the ﬂoodplain make it less desirable for the effluent management area.</w:t>
      </w:r>
    </w:p>
    <w:p w14:paraId="44EE3C96"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02971D7D"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Tables 2 and 3 below provide an assessment of the physical and chemical characteristics of each soil type.</w:t>
      </w:r>
    </w:p>
    <w:p w14:paraId="7A52F376" w14:textId="77777777" w:rsidR="00A16FA0" w:rsidRPr="00D1198B" w:rsidRDefault="00A16FA0" w:rsidP="00A16FA0">
      <w:pPr>
        <w:keepNext/>
        <w:spacing w:after="0" w:line="240" w:lineRule="auto"/>
        <w:jc w:val="both"/>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br w:type="page"/>
      </w:r>
      <w:r w:rsidRPr="00D1198B">
        <w:rPr>
          <w:rFonts w:ascii="Tahoma" w:eastAsia="Times New Roman" w:hAnsi="Tahoma" w:cs="Tahoma"/>
          <w:b/>
          <w:noProof/>
          <w:sz w:val="20"/>
          <w:szCs w:val="20"/>
          <w:lang w:val="en-AU" w:eastAsia="en-AU"/>
        </w:rPr>
        <w:lastRenderedPageBreak/>
        <w:t xml:space="preserve">Table 2: Soil Assessment – TP1 Brown Sodosol </w:t>
      </w:r>
    </w:p>
    <w:p w14:paraId="5B52F8C5" w14:textId="77777777" w:rsidR="00A16FA0" w:rsidRPr="00D1198B" w:rsidRDefault="00A16FA0" w:rsidP="00A16FA0">
      <w:pPr>
        <w:keepNext/>
        <w:spacing w:after="0" w:line="240" w:lineRule="auto"/>
        <w:jc w:val="both"/>
        <w:rPr>
          <w:rFonts w:ascii="Tahoma" w:eastAsia="Times New Roman" w:hAnsi="Tahoma" w:cs="Tahoma"/>
          <w:b/>
          <w:noProof/>
          <w:sz w:val="20"/>
          <w:szCs w:val="20"/>
          <w:lang w:val="en-AU" w:eastAsia="en-AU"/>
        </w:rPr>
      </w:pPr>
    </w:p>
    <w:tbl>
      <w:tblPr>
        <w:tblpPr w:leftFromText="180" w:rightFromText="180" w:vertAnchor="text" w:horzAnchor="margin" w:tblpY="120"/>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4161"/>
        <w:gridCol w:w="1496"/>
        <w:gridCol w:w="1820"/>
      </w:tblGrid>
      <w:tr w:rsidR="00A16FA0" w:rsidRPr="00D1198B" w14:paraId="495EAA95" w14:textId="77777777" w:rsidTr="00FE78D4">
        <w:tc>
          <w:tcPr>
            <w:tcW w:w="991" w:type="pct"/>
            <w:tcBorders>
              <w:top w:val="single" w:sz="4" w:space="0" w:color="auto"/>
              <w:left w:val="single" w:sz="4" w:space="0" w:color="auto"/>
              <w:bottom w:val="single" w:sz="4" w:space="0" w:color="auto"/>
              <w:right w:val="single" w:sz="4" w:space="0" w:color="auto"/>
            </w:tcBorders>
            <w:shd w:val="clear" w:color="auto" w:fill="auto"/>
          </w:tcPr>
          <w:p w14:paraId="191E7490"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55" w:name="_Toc377562509"/>
            <w:r w:rsidRPr="00D1198B">
              <w:rPr>
                <w:rFonts w:ascii="Tahoma" w:eastAsia="Times New Roman" w:hAnsi="Tahoma" w:cs="Tahoma"/>
                <w:b/>
                <w:sz w:val="20"/>
                <w:szCs w:val="20"/>
                <w:lang w:val="en-AU" w:eastAsia="en-AU"/>
              </w:rPr>
              <w:t>Feature</w:t>
            </w:r>
            <w:bookmarkEnd w:id="255"/>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406A675E"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256" w:name="_Toc377562510"/>
            <w:r w:rsidRPr="00D1198B">
              <w:rPr>
                <w:rFonts w:ascii="Tahoma" w:eastAsia="Times New Roman" w:hAnsi="Tahoma" w:cs="Tahoma"/>
                <w:b/>
                <w:sz w:val="20"/>
                <w:szCs w:val="20"/>
                <w:lang w:val="en-AU" w:eastAsia="en-AU"/>
              </w:rPr>
              <w:t>Assessment</w:t>
            </w:r>
            <w:bookmarkEnd w:id="256"/>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4D0C5DAF"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57" w:name="_Toc377562511"/>
            <w:r w:rsidRPr="00D1198B">
              <w:rPr>
                <w:rFonts w:ascii="Tahoma" w:eastAsia="Times New Roman" w:hAnsi="Tahoma" w:cs="Tahoma"/>
                <w:b/>
                <w:sz w:val="20"/>
                <w:szCs w:val="20"/>
                <w:lang w:val="en-AU" w:eastAsia="en-AU"/>
              </w:rPr>
              <w:t>Level of Constraint</w:t>
            </w:r>
            <w:bookmarkEnd w:id="257"/>
          </w:p>
        </w:tc>
        <w:tc>
          <w:tcPr>
            <w:tcW w:w="976" w:type="pct"/>
            <w:tcBorders>
              <w:top w:val="single" w:sz="4" w:space="0" w:color="auto"/>
              <w:left w:val="single" w:sz="4" w:space="0" w:color="auto"/>
              <w:bottom w:val="single" w:sz="4" w:space="0" w:color="auto"/>
              <w:right w:val="single" w:sz="4" w:space="0" w:color="auto"/>
            </w:tcBorders>
          </w:tcPr>
          <w:p w14:paraId="6E72E8EC"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258" w:name="_Toc377562512"/>
            <w:r w:rsidRPr="00D1198B">
              <w:rPr>
                <w:rFonts w:ascii="Tahoma" w:eastAsia="Times New Roman" w:hAnsi="Tahoma" w:cs="Tahoma"/>
                <w:b/>
                <w:sz w:val="20"/>
                <w:szCs w:val="20"/>
                <w:lang w:val="en-AU" w:eastAsia="en-AU"/>
              </w:rPr>
              <w:t>Mitigation Measures</w:t>
            </w:r>
            <w:bookmarkEnd w:id="258"/>
          </w:p>
        </w:tc>
      </w:tr>
      <w:tr w:rsidR="00A16FA0" w:rsidRPr="00D1198B" w14:paraId="145CDFC3" w14:textId="77777777" w:rsidTr="00FE78D4">
        <w:tc>
          <w:tcPr>
            <w:tcW w:w="991" w:type="pct"/>
            <w:tcBorders>
              <w:top w:val="single" w:sz="4" w:space="0" w:color="auto"/>
              <w:left w:val="single" w:sz="4" w:space="0" w:color="auto"/>
              <w:bottom w:val="single" w:sz="4" w:space="0" w:color="auto"/>
              <w:right w:val="single" w:sz="4" w:space="0" w:color="auto"/>
            </w:tcBorders>
            <w:shd w:val="clear" w:color="auto" w:fill="auto"/>
          </w:tcPr>
          <w:p w14:paraId="4FC2F1EA"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59" w:name="_Toc377562513"/>
            <w:r w:rsidRPr="00D1198B">
              <w:rPr>
                <w:rFonts w:ascii="Tahoma" w:eastAsia="Times New Roman" w:hAnsi="Tahoma" w:cs="Tahoma"/>
                <w:b/>
                <w:sz w:val="20"/>
                <w:szCs w:val="20"/>
                <w:lang w:val="en-AU" w:eastAsia="en-AU"/>
              </w:rPr>
              <w:t>Cation Exchange Capacity (CEC)</w:t>
            </w:r>
            <w:bookmarkEnd w:id="259"/>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04C78B68"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260" w:name="_Toc377562514"/>
            <w:r w:rsidRPr="00D1198B">
              <w:rPr>
                <w:rFonts w:ascii="Tahoma" w:eastAsia="Times New Roman" w:hAnsi="Tahoma" w:cs="Tahoma"/>
                <w:sz w:val="20"/>
                <w:szCs w:val="20"/>
                <w:lang w:val="en-AU" w:eastAsia="en-AU"/>
              </w:rPr>
              <w:t>The calcium/magnesium ratio is mostly lower than is generally recommended for optimal plant growth. The topsoil in the proposed effluent management area (only) should be improved by the application of gypsum (application rates not exceeding 20 kg/100 m</w:t>
            </w:r>
            <w:r w:rsidRPr="00D1198B">
              <w:rPr>
                <w:rFonts w:ascii="Tahoma" w:eastAsia="Times New Roman" w:hAnsi="Tahoma" w:cs="Tahoma"/>
                <w:sz w:val="20"/>
                <w:szCs w:val="20"/>
                <w:vertAlign w:val="superscript"/>
                <w:lang w:val="en-AU" w:eastAsia="en-AU"/>
              </w:rPr>
              <w:t>2</w:t>
            </w:r>
            <w:r w:rsidRPr="00D1198B">
              <w:rPr>
                <w:rFonts w:ascii="Tahoma" w:eastAsia="Times New Roman" w:hAnsi="Tahoma" w:cs="Tahoma"/>
                <w:sz w:val="20"/>
                <w:szCs w:val="20"/>
                <w:lang w:val="en-AU" w:eastAsia="en-AU"/>
              </w:rPr>
              <w:t>).</w:t>
            </w:r>
            <w:bookmarkEnd w:id="260"/>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763BCFBF"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261" w:name="_Toc377562515"/>
            <w:r w:rsidRPr="00D1198B">
              <w:rPr>
                <w:rFonts w:ascii="Tahoma" w:eastAsia="Times New Roman" w:hAnsi="Tahoma" w:cs="Tahoma"/>
                <w:sz w:val="20"/>
                <w:szCs w:val="20"/>
                <w:lang w:val="en-AU" w:eastAsia="en-AU"/>
              </w:rPr>
              <w:t>Moderate</w:t>
            </w:r>
            <w:bookmarkEnd w:id="261"/>
          </w:p>
        </w:tc>
        <w:tc>
          <w:tcPr>
            <w:tcW w:w="976" w:type="pct"/>
            <w:tcBorders>
              <w:top w:val="single" w:sz="4" w:space="0" w:color="auto"/>
              <w:left w:val="single" w:sz="4" w:space="0" w:color="auto"/>
              <w:bottom w:val="single" w:sz="4" w:space="0" w:color="auto"/>
              <w:right w:val="single" w:sz="4" w:space="0" w:color="auto"/>
            </w:tcBorders>
          </w:tcPr>
          <w:p w14:paraId="6F9DD0B7"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62" w:name="_Toc377562516"/>
            <w:r w:rsidRPr="00D1198B">
              <w:rPr>
                <w:rFonts w:ascii="Tahoma" w:eastAsia="Times New Roman" w:hAnsi="Tahoma" w:cs="Tahoma"/>
                <w:sz w:val="20"/>
                <w:szCs w:val="20"/>
                <w:lang w:val="en-AU" w:eastAsia="en-AU"/>
              </w:rPr>
              <w:t>Soil amelioration recommended</w:t>
            </w:r>
            <w:bookmarkEnd w:id="262"/>
          </w:p>
        </w:tc>
      </w:tr>
      <w:tr w:rsidR="00A16FA0" w:rsidRPr="00D1198B" w14:paraId="0B645C81" w14:textId="77777777" w:rsidTr="00FE78D4">
        <w:tc>
          <w:tcPr>
            <w:tcW w:w="991" w:type="pct"/>
            <w:tcBorders>
              <w:top w:val="single" w:sz="4" w:space="0" w:color="auto"/>
              <w:left w:val="single" w:sz="4" w:space="0" w:color="auto"/>
              <w:bottom w:val="single" w:sz="4" w:space="0" w:color="auto"/>
              <w:right w:val="single" w:sz="4" w:space="0" w:color="auto"/>
            </w:tcBorders>
            <w:shd w:val="clear" w:color="auto" w:fill="auto"/>
          </w:tcPr>
          <w:p w14:paraId="4A01093E"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63" w:name="_Toc377562517"/>
            <w:r w:rsidRPr="00D1198B">
              <w:rPr>
                <w:rFonts w:ascii="Tahoma" w:eastAsia="Times New Roman" w:hAnsi="Tahoma" w:cs="Tahoma"/>
                <w:b/>
                <w:sz w:val="20"/>
                <w:szCs w:val="20"/>
                <w:lang w:val="en-AU" w:eastAsia="en-AU"/>
              </w:rPr>
              <w:t>Electrical Conductivity</w:t>
            </w:r>
            <w:bookmarkEnd w:id="263"/>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24CC5B5A"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264" w:name="_Toc377562518"/>
            <w:r w:rsidRPr="00D1198B">
              <w:rPr>
                <w:rFonts w:ascii="Tahoma" w:eastAsia="Times New Roman" w:hAnsi="Tahoma" w:cs="Tahoma"/>
                <w:sz w:val="20"/>
                <w:szCs w:val="20"/>
                <w:lang w:val="en-AU" w:eastAsia="en-AU"/>
              </w:rPr>
              <w:t>EC (1:5 soil:water suspension) ranges from 2.01 (subsoil) to 3.85 deciSiemens (dS) per metre (topsoil), which is slightly saline. Long-term soil salinity monitoring is recommended.</w:t>
            </w:r>
            <w:bookmarkEnd w:id="264"/>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4ED95EA4"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265" w:name="_Toc377562519"/>
            <w:r w:rsidRPr="00D1198B">
              <w:rPr>
                <w:rFonts w:ascii="Tahoma" w:eastAsia="Times New Roman" w:hAnsi="Tahoma" w:cs="Tahoma"/>
                <w:sz w:val="20"/>
                <w:szCs w:val="20"/>
                <w:lang w:val="en-AU" w:eastAsia="en-AU"/>
              </w:rPr>
              <w:t>Major</w:t>
            </w:r>
            <w:bookmarkEnd w:id="265"/>
          </w:p>
        </w:tc>
        <w:tc>
          <w:tcPr>
            <w:tcW w:w="976" w:type="pct"/>
            <w:tcBorders>
              <w:top w:val="single" w:sz="4" w:space="0" w:color="auto"/>
              <w:left w:val="single" w:sz="4" w:space="0" w:color="auto"/>
              <w:bottom w:val="single" w:sz="4" w:space="0" w:color="auto"/>
              <w:right w:val="single" w:sz="4" w:space="0" w:color="auto"/>
            </w:tcBorders>
          </w:tcPr>
          <w:p w14:paraId="04109658"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66" w:name="_Toc377562520"/>
            <w:r w:rsidRPr="00D1198B">
              <w:rPr>
                <w:rFonts w:ascii="Tahoma" w:eastAsia="Times New Roman" w:hAnsi="Tahoma" w:cs="Tahoma"/>
                <w:sz w:val="20"/>
                <w:szCs w:val="20"/>
                <w:lang w:val="en-AU" w:eastAsia="en-AU"/>
              </w:rPr>
              <w:t>Ongoing monitoring of EC to monitor salinity recommended</w:t>
            </w:r>
            <w:bookmarkEnd w:id="266"/>
          </w:p>
        </w:tc>
      </w:tr>
      <w:tr w:rsidR="00A16FA0" w:rsidRPr="00D1198B" w14:paraId="23F8A3B8" w14:textId="77777777" w:rsidTr="00FE78D4">
        <w:tc>
          <w:tcPr>
            <w:tcW w:w="991" w:type="pct"/>
            <w:vMerge w:val="restart"/>
            <w:tcBorders>
              <w:top w:val="single" w:sz="4" w:space="0" w:color="auto"/>
              <w:left w:val="single" w:sz="4" w:space="0" w:color="auto"/>
              <w:right w:val="single" w:sz="4" w:space="0" w:color="auto"/>
            </w:tcBorders>
            <w:shd w:val="clear" w:color="auto" w:fill="auto"/>
          </w:tcPr>
          <w:p w14:paraId="243D6CA0"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67" w:name="_Toc377562521"/>
            <w:r w:rsidRPr="00D1198B">
              <w:rPr>
                <w:rFonts w:ascii="Tahoma" w:eastAsia="Times New Roman" w:hAnsi="Tahoma" w:cs="Tahoma"/>
                <w:b/>
                <w:sz w:val="20"/>
                <w:szCs w:val="20"/>
                <w:lang w:val="en-AU" w:eastAsia="en-AU"/>
              </w:rPr>
              <w:t>Emerson Aggregate Class</w:t>
            </w:r>
            <w:bookmarkEnd w:id="267"/>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637CEC99"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268" w:name="_Toc377562522"/>
            <w:r w:rsidRPr="00D1198B">
              <w:rPr>
                <w:rFonts w:ascii="Tahoma" w:eastAsia="Times New Roman" w:hAnsi="Tahoma" w:cs="Tahoma"/>
                <w:sz w:val="20"/>
                <w:szCs w:val="20"/>
                <w:lang w:val="en-AU" w:eastAsia="en-AU"/>
              </w:rPr>
              <w:t>Topsoil: EA Class 3 (slaking with some dispersion).</w:t>
            </w:r>
            <w:bookmarkEnd w:id="268"/>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4A8D8572"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269" w:name="_Toc377562523"/>
            <w:r w:rsidRPr="00D1198B">
              <w:rPr>
                <w:rFonts w:ascii="Tahoma" w:eastAsia="Times New Roman" w:hAnsi="Tahoma" w:cs="Tahoma"/>
                <w:sz w:val="20"/>
                <w:szCs w:val="20"/>
                <w:lang w:val="en-AU" w:eastAsia="en-AU"/>
              </w:rPr>
              <w:t>Major</w:t>
            </w:r>
            <w:bookmarkEnd w:id="269"/>
          </w:p>
        </w:tc>
        <w:tc>
          <w:tcPr>
            <w:tcW w:w="976" w:type="pct"/>
            <w:tcBorders>
              <w:top w:val="single" w:sz="4" w:space="0" w:color="auto"/>
              <w:left w:val="single" w:sz="4" w:space="0" w:color="auto"/>
              <w:bottom w:val="single" w:sz="4" w:space="0" w:color="auto"/>
              <w:right w:val="single" w:sz="4" w:space="0" w:color="auto"/>
            </w:tcBorders>
          </w:tcPr>
          <w:p w14:paraId="3245346A"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70" w:name="_Toc377562524"/>
            <w:r w:rsidRPr="00D1198B">
              <w:rPr>
                <w:rFonts w:ascii="Tahoma" w:eastAsia="Times New Roman" w:hAnsi="Tahoma" w:cs="Tahoma"/>
                <w:sz w:val="20"/>
                <w:szCs w:val="20"/>
                <w:lang w:val="en-AU" w:eastAsia="en-AU"/>
              </w:rPr>
              <w:t>Suggest soil amelioration to reduce risk of dispersion</w:t>
            </w:r>
            <w:bookmarkEnd w:id="270"/>
          </w:p>
        </w:tc>
      </w:tr>
      <w:tr w:rsidR="00A16FA0" w:rsidRPr="00D1198B" w14:paraId="0FC18631" w14:textId="77777777" w:rsidTr="00FE78D4">
        <w:tc>
          <w:tcPr>
            <w:tcW w:w="991" w:type="pct"/>
            <w:vMerge/>
            <w:tcBorders>
              <w:left w:val="single" w:sz="4" w:space="0" w:color="auto"/>
              <w:bottom w:val="single" w:sz="4" w:space="0" w:color="auto"/>
              <w:right w:val="single" w:sz="4" w:space="0" w:color="auto"/>
            </w:tcBorders>
            <w:shd w:val="clear" w:color="auto" w:fill="auto"/>
          </w:tcPr>
          <w:p w14:paraId="14ADA230"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6433C4D5"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271" w:name="_Toc377562525"/>
            <w:r w:rsidRPr="00D1198B">
              <w:rPr>
                <w:rFonts w:ascii="Tahoma" w:eastAsia="Times New Roman" w:hAnsi="Tahoma" w:cs="Tahoma"/>
                <w:sz w:val="20"/>
                <w:szCs w:val="20"/>
                <w:lang w:val="en-AU" w:eastAsia="en-AU"/>
              </w:rPr>
              <w:t>Subsoil: EA Class 8 (no slaking, dispersion or swelling).</w:t>
            </w:r>
            <w:bookmarkEnd w:id="271"/>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3112FE77"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272" w:name="_Toc377562526"/>
            <w:r w:rsidRPr="00D1198B">
              <w:rPr>
                <w:rFonts w:ascii="Tahoma" w:eastAsia="Times New Roman" w:hAnsi="Tahoma" w:cs="Tahoma"/>
                <w:sz w:val="20"/>
                <w:szCs w:val="20"/>
                <w:lang w:val="en-AU" w:eastAsia="en-AU"/>
              </w:rPr>
              <w:t>Minor</w:t>
            </w:r>
            <w:bookmarkEnd w:id="272"/>
          </w:p>
        </w:tc>
        <w:tc>
          <w:tcPr>
            <w:tcW w:w="976" w:type="pct"/>
            <w:tcBorders>
              <w:top w:val="single" w:sz="4" w:space="0" w:color="auto"/>
              <w:left w:val="single" w:sz="4" w:space="0" w:color="auto"/>
              <w:bottom w:val="single" w:sz="4" w:space="0" w:color="auto"/>
              <w:right w:val="single" w:sz="4" w:space="0" w:color="auto"/>
            </w:tcBorders>
          </w:tcPr>
          <w:p w14:paraId="40B8E1F7"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73" w:name="_Toc377562527"/>
            <w:r w:rsidRPr="00D1198B">
              <w:rPr>
                <w:rFonts w:ascii="Tahoma" w:eastAsia="Times New Roman" w:hAnsi="Tahoma" w:cs="Tahoma"/>
                <w:sz w:val="20"/>
                <w:szCs w:val="20"/>
                <w:lang w:val="en-AU" w:eastAsia="en-AU"/>
              </w:rPr>
              <w:t>NN</w:t>
            </w:r>
            <w:bookmarkEnd w:id="273"/>
          </w:p>
        </w:tc>
      </w:tr>
      <w:tr w:rsidR="00A16FA0" w:rsidRPr="00D1198B" w14:paraId="55B02F9E" w14:textId="77777777" w:rsidTr="00FE78D4">
        <w:tc>
          <w:tcPr>
            <w:tcW w:w="991" w:type="pct"/>
            <w:tcBorders>
              <w:left w:val="single" w:sz="4" w:space="0" w:color="auto"/>
              <w:bottom w:val="single" w:sz="4" w:space="0" w:color="auto"/>
              <w:right w:val="single" w:sz="4" w:space="0" w:color="auto"/>
            </w:tcBorders>
            <w:shd w:val="clear" w:color="auto" w:fill="auto"/>
          </w:tcPr>
          <w:p w14:paraId="0E45C7E4"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74" w:name="_Toc377562528"/>
            <w:r w:rsidRPr="00D1198B">
              <w:rPr>
                <w:rFonts w:ascii="Tahoma" w:eastAsia="Times New Roman" w:hAnsi="Tahoma" w:cs="Tahoma"/>
                <w:b/>
                <w:sz w:val="20"/>
                <w:szCs w:val="20"/>
                <w:lang w:val="en-AU" w:eastAsia="en-AU"/>
              </w:rPr>
              <w:t>pH</w:t>
            </w:r>
            <w:bookmarkEnd w:id="274"/>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26123140"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275" w:name="_Toc377562529"/>
            <w:r w:rsidRPr="00D1198B">
              <w:rPr>
                <w:rFonts w:ascii="Tahoma" w:eastAsia="Times New Roman" w:hAnsi="Tahoma" w:cs="Tahoma"/>
                <w:sz w:val="20"/>
                <w:szCs w:val="20"/>
                <w:lang w:val="en-AU" w:eastAsia="en-AU"/>
              </w:rPr>
              <w:t>Topsoils range from 5.4 to 6.0 which is slightly acidic; subsoils range from 6.8 to 7.6 which is neutral. Soil conditions do not appear to be affecting plant growth.</w:t>
            </w:r>
            <w:bookmarkEnd w:id="275"/>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22F8194D"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276" w:name="_Toc377562530"/>
            <w:r w:rsidRPr="00D1198B">
              <w:rPr>
                <w:rFonts w:ascii="Tahoma" w:eastAsia="Times New Roman" w:hAnsi="Tahoma" w:cs="Tahoma"/>
                <w:sz w:val="20"/>
                <w:szCs w:val="20"/>
                <w:lang w:val="en-AU" w:eastAsia="en-AU"/>
              </w:rPr>
              <w:t>Minor</w:t>
            </w:r>
            <w:bookmarkEnd w:id="276"/>
          </w:p>
        </w:tc>
        <w:tc>
          <w:tcPr>
            <w:tcW w:w="976" w:type="pct"/>
            <w:tcBorders>
              <w:top w:val="single" w:sz="4" w:space="0" w:color="auto"/>
              <w:left w:val="single" w:sz="4" w:space="0" w:color="auto"/>
              <w:bottom w:val="single" w:sz="4" w:space="0" w:color="auto"/>
              <w:right w:val="single" w:sz="4" w:space="0" w:color="auto"/>
            </w:tcBorders>
          </w:tcPr>
          <w:p w14:paraId="22EF6987"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sz w:val="20"/>
                <w:szCs w:val="20"/>
                <w:lang w:val="en-AU" w:eastAsia="en-AU"/>
              </w:rPr>
            </w:pPr>
            <w:bookmarkStart w:id="277" w:name="_Toc377562531"/>
            <w:r w:rsidRPr="00D1198B">
              <w:rPr>
                <w:rFonts w:ascii="Tahoma" w:eastAsia="Times New Roman" w:hAnsi="Tahoma" w:cs="Tahoma"/>
                <w:sz w:val="20"/>
                <w:szCs w:val="20"/>
                <w:lang w:val="en-AU" w:eastAsia="en-AU"/>
              </w:rPr>
              <w:t>NN</w:t>
            </w:r>
            <w:bookmarkEnd w:id="277"/>
          </w:p>
        </w:tc>
      </w:tr>
      <w:tr w:rsidR="00A16FA0" w:rsidRPr="00D1198B" w14:paraId="16E5B50D" w14:textId="77777777" w:rsidTr="00FE78D4">
        <w:tc>
          <w:tcPr>
            <w:tcW w:w="991" w:type="pct"/>
            <w:tcBorders>
              <w:top w:val="single" w:sz="4" w:space="0" w:color="auto"/>
              <w:left w:val="single" w:sz="4" w:space="0" w:color="auto"/>
              <w:bottom w:val="single" w:sz="4" w:space="0" w:color="auto"/>
              <w:right w:val="single" w:sz="4" w:space="0" w:color="auto"/>
            </w:tcBorders>
            <w:shd w:val="clear" w:color="auto" w:fill="auto"/>
          </w:tcPr>
          <w:p w14:paraId="631F967D"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78" w:name="_Toc377562532"/>
            <w:r w:rsidRPr="00D1198B">
              <w:rPr>
                <w:rFonts w:ascii="Tahoma" w:eastAsia="Times New Roman" w:hAnsi="Tahoma" w:cs="Tahoma"/>
                <w:b/>
                <w:sz w:val="20"/>
                <w:szCs w:val="20"/>
                <w:lang w:val="en-AU" w:eastAsia="en-AU"/>
              </w:rPr>
              <w:t>Rock Fragments</w:t>
            </w:r>
            <w:bookmarkEnd w:id="278"/>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4DDD2E4C"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279" w:name="_Toc377562533"/>
            <w:r w:rsidRPr="00D1198B">
              <w:rPr>
                <w:rFonts w:ascii="Tahoma" w:eastAsia="Times New Roman" w:hAnsi="Tahoma" w:cs="Tahoma"/>
                <w:sz w:val="20"/>
                <w:szCs w:val="20"/>
                <w:lang w:val="en-AU" w:eastAsia="en-AU"/>
              </w:rPr>
              <w:t>2% coarse fragments in the B1 horizon (200 mm depth). No coarse fragments throughout the remainder of the proﬁle.</w:t>
            </w:r>
            <w:bookmarkEnd w:id="279"/>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3946013C"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280" w:name="_Toc377562534"/>
            <w:r w:rsidRPr="00D1198B">
              <w:rPr>
                <w:rFonts w:ascii="Tahoma" w:eastAsia="Times New Roman" w:hAnsi="Tahoma" w:cs="Tahoma"/>
                <w:sz w:val="20"/>
                <w:szCs w:val="20"/>
                <w:lang w:val="en-AU" w:eastAsia="en-AU"/>
              </w:rPr>
              <w:t>Minor</w:t>
            </w:r>
            <w:bookmarkEnd w:id="280"/>
          </w:p>
        </w:tc>
        <w:tc>
          <w:tcPr>
            <w:tcW w:w="976" w:type="pct"/>
            <w:tcBorders>
              <w:top w:val="single" w:sz="4" w:space="0" w:color="auto"/>
              <w:left w:val="single" w:sz="4" w:space="0" w:color="auto"/>
              <w:bottom w:val="single" w:sz="4" w:space="0" w:color="auto"/>
              <w:right w:val="single" w:sz="4" w:space="0" w:color="auto"/>
            </w:tcBorders>
          </w:tcPr>
          <w:p w14:paraId="4DAA3CA7"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81" w:name="_Toc377562535"/>
            <w:r w:rsidRPr="00D1198B">
              <w:rPr>
                <w:rFonts w:ascii="Tahoma" w:eastAsia="Times New Roman" w:hAnsi="Tahoma" w:cs="Tahoma"/>
                <w:sz w:val="20"/>
                <w:szCs w:val="20"/>
                <w:lang w:val="en-AU" w:eastAsia="en-AU"/>
              </w:rPr>
              <w:t>NN</w:t>
            </w:r>
            <w:bookmarkEnd w:id="281"/>
          </w:p>
        </w:tc>
      </w:tr>
      <w:tr w:rsidR="00A16FA0" w:rsidRPr="00D1198B" w14:paraId="3A91ECC4" w14:textId="77777777" w:rsidTr="00FE78D4">
        <w:tc>
          <w:tcPr>
            <w:tcW w:w="991" w:type="pct"/>
            <w:tcBorders>
              <w:top w:val="single" w:sz="4" w:space="0" w:color="auto"/>
              <w:left w:val="single" w:sz="4" w:space="0" w:color="auto"/>
              <w:bottom w:val="single" w:sz="4" w:space="0" w:color="auto"/>
              <w:right w:val="single" w:sz="4" w:space="0" w:color="auto"/>
            </w:tcBorders>
            <w:shd w:val="clear" w:color="auto" w:fill="auto"/>
          </w:tcPr>
          <w:p w14:paraId="055F7A29"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82" w:name="_Toc377562536"/>
            <w:r w:rsidRPr="00D1198B">
              <w:rPr>
                <w:rFonts w:ascii="Tahoma" w:eastAsia="Times New Roman" w:hAnsi="Tahoma" w:cs="Tahoma"/>
                <w:b/>
                <w:sz w:val="20"/>
                <w:szCs w:val="20"/>
                <w:lang w:val="en-AU" w:eastAsia="en-AU"/>
              </w:rPr>
              <w:t>Sodicity (ESP)</w:t>
            </w:r>
            <w:bookmarkEnd w:id="282"/>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3ADE207B"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283" w:name="_Toc377562537"/>
            <w:r w:rsidRPr="00D1198B">
              <w:rPr>
                <w:rFonts w:ascii="Tahoma" w:eastAsia="Times New Roman" w:hAnsi="Tahoma" w:cs="Tahoma"/>
                <w:sz w:val="20"/>
                <w:szCs w:val="20"/>
                <w:lang w:val="en-AU" w:eastAsia="en-AU"/>
              </w:rPr>
              <w:t>Exchangeable Sodium concentrations are minor with a tested ESP value of 5%. Long-term soil sodicity monitoring is recommended.</w:t>
            </w:r>
            <w:bookmarkEnd w:id="283"/>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7690E140"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284" w:name="_Toc377562538"/>
            <w:r w:rsidRPr="00D1198B">
              <w:rPr>
                <w:rFonts w:ascii="Tahoma" w:eastAsia="Times New Roman" w:hAnsi="Tahoma" w:cs="Tahoma"/>
                <w:sz w:val="20"/>
                <w:szCs w:val="20"/>
                <w:lang w:val="en-AU" w:eastAsia="en-AU"/>
              </w:rPr>
              <w:t>Minor</w:t>
            </w:r>
            <w:bookmarkEnd w:id="284"/>
          </w:p>
        </w:tc>
        <w:tc>
          <w:tcPr>
            <w:tcW w:w="976" w:type="pct"/>
            <w:tcBorders>
              <w:top w:val="single" w:sz="4" w:space="0" w:color="auto"/>
              <w:left w:val="single" w:sz="4" w:space="0" w:color="auto"/>
              <w:bottom w:val="single" w:sz="4" w:space="0" w:color="auto"/>
              <w:right w:val="single" w:sz="4" w:space="0" w:color="auto"/>
            </w:tcBorders>
          </w:tcPr>
          <w:p w14:paraId="2F1E5AE6"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sz w:val="20"/>
                <w:szCs w:val="20"/>
                <w:lang w:val="en-AU" w:eastAsia="en-AU"/>
              </w:rPr>
            </w:pPr>
            <w:bookmarkStart w:id="285" w:name="_Toc377562539"/>
            <w:r w:rsidRPr="00D1198B">
              <w:rPr>
                <w:rFonts w:ascii="Tahoma" w:eastAsia="Times New Roman" w:hAnsi="Tahoma" w:cs="Tahoma"/>
                <w:sz w:val="20"/>
                <w:szCs w:val="20"/>
                <w:lang w:val="en-AU" w:eastAsia="en-AU"/>
              </w:rPr>
              <w:t>NN</w:t>
            </w:r>
            <w:bookmarkEnd w:id="285"/>
          </w:p>
        </w:tc>
      </w:tr>
      <w:tr w:rsidR="00A16FA0" w:rsidRPr="00D1198B" w14:paraId="5C0A57C3" w14:textId="77777777" w:rsidTr="00FE78D4">
        <w:tc>
          <w:tcPr>
            <w:tcW w:w="991" w:type="pct"/>
            <w:tcBorders>
              <w:top w:val="single" w:sz="4" w:space="0" w:color="auto"/>
              <w:left w:val="single" w:sz="4" w:space="0" w:color="auto"/>
              <w:bottom w:val="single" w:sz="4" w:space="0" w:color="auto"/>
              <w:right w:val="single" w:sz="4" w:space="0" w:color="auto"/>
            </w:tcBorders>
            <w:shd w:val="clear" w:color="auto" w:fill="auto"/>
          </w:tcPr>
          <w:p w14:paraId="0B34F26C"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86" w:name="_Toc377562540"/>
            <w:r w:rsidRPr="00D1198B">
              <w:rPr>
                <w:rFonts w:ascii="Tahoma" w:eastAsia="Times New Roman" w:hAnsi="Tahoma" w:cs="Tahoma"/>
                <w:b/>
                <w:sz w:val="20"/>
                <w:szCs w:val="20"/>
                <w:lang w:val="en-AU" w:eastAsia="en-AU"/>
              </w:rPr>
              <w:t>Sodium Absorption Ratio (SAR)</w:t>
            </w:r>
            <w:bookmarkEnd w:id="286"/>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0944DD33"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287" w:name="_Toc377562541"/>
            <w:r w:rsidRPr="00D1198B">
              <w:rPr>
                <w:rFonts w:ascii="Tahoma" w:eastAsia="Times New Roman" w:hAnsi="Tahoma" w:cs="Tahoma"/>
                <w:sz w:val="20"/>
                <w:szCs w:val="20"/>
                <w:lang w:val="en-AU" w:eastAsia="en-AU"/>
              </w:rPr>
              <w:t>Sodium concentrations are significantly lower than Magnesium and Calcium concentrations in the tested sample; SAR is low and not expected to pose a constraint.</w:t>
            </w:r>
            <w:bookmarkEnd w:id="287"/>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31E69757"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288" w:name="_Toc377562542"/>
            <w:r w:rsidRPr="00D1198B">
              <w:rPr>
                <w:rFonts w:ascii="Tahoma" w:eastAsia="Times New Roman" w:hAnsi="Tahoma" w:cs="Tahoma"/>
                <w:sz w:val="20"/>
                <w:szCs w:val="20"/>
                <w:lang w:val="en-AU" w:eastAsia="en-AU"/>
              </w:rPr>
              <w:t>Minor</w:t>
            </w:r>
            <w:bookmarkEnd w:id="288"/>
          </w:p>
        </w:tc>
        <w:tc>
          <w:tcPr>
            <w:tcW w:w="976" w:type="pct"/>
            <w:tcBorders>
              <w:top w:val="single" w:sz="4" w:space="0" w:color="auto"/>
              <w:left w:val="single" w:sz="4" w:space="0" w:color="auto"/>
              <w:bottom w:val="single" w:sz="4" w:space="0" w:color="auto"/>
              <w:right w:val="single" w:sz="4" w:space="0" w:color="auto"/>
            </w:tcBorders>
          </w:tcPr>
          <w:p w14:paraId="7648A5B7"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sz w:val="20"/>
                <w:szCs w:val="20"/>
                <w:lang w:val="en-AU" w:eastAsia="en-AU"/>
              </w:rPr>
            </w:pPr>
            <w:bookmarkStart w:id="289" w:name="_Toc377562543"/>
            <w:r w:rsidRPr="00D1198B">
              <w:rPr>
                <w:rFonts w:ascii="Tahoma" w:eastAsia="Times New Roman" w:hAnsi="Tahoma" w:cs="Tahoma"/>
                <w:sz w:val="20"/>
                <w:szCs w:val="20"/>
                <w:lang w:val="en-AU" w:eastAsia="en-AU"/>
              </w:rPr>
              <w:t>NN</w:t>
            </w:r>
            <w:bookmarkEnd w:id="289"/>
          </w:p>
        </w:tc>
      </w:tr>
      <w:tr w:rsidR="00A16FA0" w:rsidRPr="00D1198B" w14:paraId="74248E68" w14:textId="77777777" w:rsidTr="00FE78D4">
        <w:tc>
          <w:tcPr>
            <w:tcW w:w="991" w:type="pct"/>
            <w:vMerge w:val="restart"/>
            <w:tcBorders>
              <w:top w:val="single" w:sz="4" w:space="0" w:color="auto"/>
              <w:left w:val="single" w:sz="4" w:space="0" w:color="auto"/>
              <w:right w:val="single" w:sz="4" w:space="0" w:color="auto"/>
            </w:tcBorders>
            <w:shd w:val="clear" w:color="auto" w:fill="auto"/>
          </w:tcPr>
          <w:p w14:paraId="13D5BE77"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90" w:name="_Toc377562544"/>
            <w:r w:rsidRPr="00D1198B">
              <w:rPr>
                <w:rFonts w:ascii="Tahoma" w:eastAsia="Times New Roman" w:hAnsi="Tahoma" w:cs="Tahoma"/>
                <w:b/>
                <w:sz w:val="20"/>
                <w:szCs w:val="20"/>
                <w:lang w:val="en-AU" w:eastAsia="en-AU"/>
              </w:rPr>
              <w:t>Soil Depth</w:t>
            </w:r>
            <w:bookmarkEnd w:id="290"/>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09F8A0EB"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291" w:name="_Toc377562545"/>
            <w:r w:rsidRPr="00D1198B">
              <w:rPr>
                <w:rFonts w:ascii="Tahoma" w:eastAsia="Times New Roman" w:hAnsi="Tahoma" w:cs="Tahoma"/>
                <w:sz w:val="20"/>
                <w:szCs w:val="20"/>
                <w:lang w:val="en-AU" w:eastAsia="en-AU"/>
              </w:rPr>
              <w:t>Topsoil: &lt;200 mm</w:t>
            </w:r>
            <w:bookmarkEnd w:id="291"/>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22420800"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292" w:name="_Toc377562546"/>
            <w:r w:rsidRPr="00D1198B">
              <w:rPr>
                <w:rFonts w:ascii="Tahoma" w:eastAsia="Times New Roman" w:hAnsi="Tahoma" w:cs="Tahoma"/>
                <w:sz w:val="20"/>
                <w:szCs w:val="20"/>
                <w:lang w:val="en-AU" w:eastAsia="en-AU"/>
              </w:rPr>
              <w:t>Minor</w:t>
            </w:r>
            <w:bookmarkEnd w:id="292"/>
          </w:p>
        </w:tc>
        <w:tc>
          <w:tcPr>
            <w:tcW w:w="976" w:type="pct"/>
            <w:tcBorders>
              <w:top w:val="single" w:sz="4" w:space="0" w:color="auto"/>
              <w:left w:val="single" w:sz="4" w:space="0" w:color="auto"/>
              <w:bottom w:val="single" w:sz="4" w:space="0" w:color="auto"/>
              <w:right w:val="single" w:sz="4" w:space="0" w:color="auto"/>
            </w:tcBorders>
          </w:tcPr>
          <w:p w14:paraId="5A39BD6B"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sz w:val="20"/>
                <w:szCs w:val="20"/>
                <w:highlight w:val="yellow"/>
                <w:lang w:val="en-AU" w:eastAsia="en-AU"/>
              </w:rPr>
            </w:pPr>
            <w:bookmarkStart w:id="293" w:name="_Toc377562547"/>
            <w:r w:rsidRPr="00D1198B">
              <w:rPr>
                <w:rFonts w:ascii="Tahoma" w:eastAsia="Times New Roman" w:hAnsi="Tahoma" w:cs="Tahoma"/>
                <w:sz w:val="20"/>
                <w:szCs w:val="20"/>
                <w:lang w:val="en-AU" w:eastAsia="en-AU"/>
              </w:rPr>
              <w:t>Shallow subsurface irrigation in topsoil recommended</w:t>
            </w:r>
            <w:bookmarkEnd w:id="293"/>
          </w:p>
        </w:tc>
      </w:tr>
      <w:tr w:rsidR="00A16FA0" w:rsidRPr="00D1198B" w14:paraId="13E05D22" w14:textId="77777777" w:rsidTr="00FE78D4">
        <w:tc>
          <w:tcPr>
            <w:tcW w:w="991" w:type="pct"/>
            <w:vMerge/>
            <w:tcBorders>
              <w:left w:val="single" w:sz="4" w:space="0" w:color="auto"/>
              <w:bottom w:val="single" w:sz="4" w:space="0" w:color="auto"/>
              <w:right w:val="single" w:sz="4" w:space="0" w:color="auto"/>
            </w:tcBorders>
            <w:shd w:val="clear" w:color="auto" w:fill="auto"/>
          </w:tcPr>
          <w:p w14:paraId="39781222"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4E5C80D6"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294" w:name="_Toc377562548"/>
            <w:r w:rsidRPr="00D1198B">
              <w:rPr>
                <w:rFonts w:ascii="Tahoma" w:eastAsia="Times New Roman" w:hAnsi="Tahoma" w:cs="Tahoma"/>
                <w:sz w:val="20"/>
                <w:szCs w:val="20"/>
                <w:lang w:val="en-AU" w:eastAsia="en-AU"/>
              </w:rPr>
              <w:t>Subsoil: &gt;200 mm. Total soil depth greater than 1.5 m and no hardpans occur.</w:t>
            </w:r>
            <w:bookmarkEnd w:id="294"/>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4DC76D74"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295" w:name="_Toc377562549"/>
            <w:r w:rsidRPr="00D1198B">
              <w:rPr>
                <w:rFonts w:ascii="Tahoma" w:eastAsia="Times New Roman" w:hAnsi="Tahoma" w:cs="Tahoma"/>
                <w:sz w:val="20"/>
                <w:szCs w:val="20"/>
                <w:lang w:val="en-AU" w:eastAsia="en-AU"/>
              </w:rPr>
              <w:t>Minor</w:t>
            </w:r>
            <w:bookmarkEnd w:id="295"/>
          </w:p>
        </w:tc>
        <w:tc>
          <w:tcPr>
            <w:tcW w:w="976" w:type="pct"/>
            <w:tcBorders>
              <w:top w:val="single" w:sz="4" w:space="0" w:color="auto"/>
              <w:left w:val="single" w:sz="4" w:space="0" w:color="auto"/>
              <w:bottom w:val="single" w:sz="4" w:space="0" w:color="auto"/>
              <w:right w:val="single" w:sz="4" w:space="0" w:color="auto"/>
            </w:tcBorders>
          </w:tcPr>
          <w:p w14:paraId="76BEE191"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sz w:val="20"/>
                <w:szCs w:val="20"/>
                <w:lang w:val="en-AU" w:eastAsia="en-AU"/>
              </w:rPr>
            </w:pPr>
            <w:bookmarkStart w:id="296" w:name="_Toc377562550"/>
            <w:r w:rsidRPr="00D1198B">
              <w:rPr>
                <w:rFonts w:ascii="Tahoma" w:eastAsia="Times New Roman" w:hAnsi="Tahoma" w:cs="Tahoma"/>
                <w:sz w:val="20"/>
                <w:szCs w:val="20"/>
                <w:lang w:val="en-AU" w:eastAsia="en-AU"/>
              </w:rPr>
              <w:t>NN</w:t>
            </w:r>
            <w:bookmarkEnd w:id="296"/>
          </w:p>
        </w:tc>
      </w:tr>
    </w:tbl>
    <w:p w14:paraId="21619295" w14:textId="77777777" w:rsidR="00A16FA0" w:rsidRPr="00D1198B" w:rsidRDefault="00A16FA0" w:rsidP="00A16FA0">
      <w:pPr>
        <w:spacing w:after="0" w:line="240" w:lineRule="auto"/>
        <w:jc w:val="center"/>
        <w:rPr>
          <w:rFonts w:ascii="Times New Roman" w:eastAsia="Times New Roman" w:hAnsi="Times New Roman"/>
          <w:sz w:val="24"/>
          <w:szCs w:val="24"/>
          <w:lang w:val="en-AU" w:eastAsia="en-AU"/>
        </w:rPr>
      </w:pPr>
    </w:p>
    <w:p w14:paraId="37411E91" w14:textId="77777777" w:rsidR="00A16FA0" w:rsidRPr="00D1198B" w:rsidRDefault="00A16FA0" w:rsidP="00A16FA0">
      <w:pPr>
        <w:spacing w:after="0" w:line="240" w:lineRule="auto"/>
        <w:jc w:val="center"/>
        <w:rPr>
          <w:rFonts w:ascii="Times New Roman" w:eastAsia="Times New Roman" w:hAnsi="Times New Roman"/>
          <w:sz w:val="24"/>
          <w:szCs w:val="24"/>
          <w:lang w:val="en-AU" w:eastAsia="en-AU"/>
        </w:rPr>
      </w:pPr>
    </w:p>
    <w:tbl>
      <w:tblPr>
        <w:tblpPr w:leftFromText="180" w:rightFromText="180" w:vertAnchor="text" w:horzAnchor="margin" w:tblpY="120"/>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4161"/>
        <w:gridCol w:w="1496"/>
        <w:gridCol w:w="1820"/>
      </w:tblGrid>
      <w:tr w:rsidR="00A16FA0" w:rsidRPr="00D1198B" w14:paraId="0CFF2C30" w14:textId="77777777" w:rsidTr="00FE78D4">
        <w:tc>
          <w:tcPr>
            <w:tcW w:w="991" w:type="pct"/>
            <w:tcBorders>
              <w:top w:val="single" w:sz="4" w:space="0" w:color="auto"/>
              <w:left w:val="single" w:sz="4" w:space="0" w:color="auto"/>
              <w:right w:val="single" w:sz="4" w:space="0" w:color="auto"/>
            </w:tcBorders>
            <w:shd w:val="clear" w:color="auto" w:fill="auto"/>
          </w:tcPr>
          <w:p w14:paraId="583E829B"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297" w:name="_Toc377562551"/>
            <w:r w:rsidRPr="00D1198B">
              <w:rPr>
                <w:rFonts w:ascii="Tahoma" w:eastAsia="Times New Roman" w:hAnsi="Tahoma" w:cs="Tahoma"/>
                <w:b/>
                <w:sz w:val="20"/>
                <w:szCs w:val="20"/>
                <w:lang w:val="en-AU" w:eastAsia="en-AU"/>
              </w:rPr>
              <w:lastRenderedPageBreak/>
              <w:t>Feature</w:t>
            </w:r>
            <w:bookmarkEnd w:id="297"/>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71255DA8"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298" w:name="_Toc377562552"/>
            <w:r w:rsidRPr="00D1198B">
              <w:rPr>
                <w:rFonts w:ascii="Tahoma" w:eastAsia="Times New Roman" w:hAnsi="Tahoma" w:cs="Tahoma"/>
                <w:b/>
                <w:sz w:val="20"/>
                <w:szCs w:val="20"/>
                <w:lang w:val="en-AU" w:eastAsia="en-AU"/>
              </w:rPr>
              <w:t>Assessment</w:t>
            </w:r>
            <w:bookmarkEnd w:id="298"/>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4186DEB5"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sz w:val="20"/>
                <w:szCs w:val="20"/>
                <w:lang w:val="en-AU" w:eastAsia="en-AU"/>
              </w:rPr>
            </w:pPr>
            <w:bookmarkStart w:id="299" w:name="_Toc377562553"/>
            <w:r w:rsidRPr="00D1198B">
              <w:rPr>
                <w:rFonts w:ascii="Tahoma" w:eastAsia="Times New Roman" w:hAnsi="Tahoma" w:cs="Tahoma"/>
                <w:b/>
                <w:sz w:val="20"/>
                <w:szCs w:val="20"/>
                <w:lang w:val="en-AU" w:eastAsia="en-AU"/>
              </w:rPr>
              <w:t>Level of Constraint</w:t>
            </w:r>
            <w:bookmarkEnd w:id="299"/>
          </w:p>
        </w:tc>
        <w:tc>
          <w:tcPr>
            <w:tcW w:w="976" w:type="pct"/>
            <w:tcBorders>
              <w:top w:val="single" w:sz="4" w:space="0" w:color="auto"/>
              <w:left w:val="single" w:sz="4" w:space="0" w:color="auto"/>
              <w:bottom w:val="single" w:sz="4" w:space="0" w:color="auto"/>
              <w:right w:val="single" w:sz="4" w:space="0" w:color="auto"/>
            </w:tcBorders>
          </w:tcPr>
          <w:p w14:paraId="6E1A9626"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00" w:name="_Toc377562554"/>
            <w:r w:rsidRPr="00D1198B">
              <w:rPr>
                <w:rFonts w:ascii="Tahoma" w:eastAsia="Times New Roman" w:hAnsi="Tahoma" w:cs="Tahoma"/>
                <w:b/>
                <w:sz w:val="20"/>
                <w:szCs w:val="20"/>
                <w:lang w:val="en-AU" w:eastAsia="en-AU"/>
              </w:rPr>
              <w:t>Mitigation Measures</w:t>
            </w:r>
            <w:bookmarkEnd w:id="300"/>
          </w:p>
        </w:tc>
      </w:tr>
      <w:tr w:rsidR="00A16FA0" w:rsidRPr="00D1198B" w14:paraId="03D98AA2" w14:textId="77777777" w:rsidTr="00FE78D4">
        <w:tc>
          <w:tcPr>
            <w:tcW w:w="991" w:type="pct"/>
            <w:vMerge w:val="restart"/>
            <w:tcBorders>
              <w:top w:val="single" w:sz="4" w:space="0" w:color="auto"/>
              <w:left w:val="single" w:sz="4" w:space="0" w:color="auto"/>
              <w:right w:val="single" w:sz="4" w:space="0" w:color="auto"/>
            </w:tcBorders>
            <w:shd w:val="clear" w:color="auto" w:fill="auto"/>
          </w:tcPr>
          <w:p w14:paraId="344EF4FF"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01" w:name="_Toc377562555"/>
            <w:r w:rsidRPr="00D1198B">
              <w:rPr>
                <w:rFonts w:ascii="Tahoma" w:eastAsia="Times New Roman" w:hAnsi="Tahoma" w:cs="Tahoma"/>
                <w:b/>
                <w:sz w:val="20"/>
                <w:szCs w:val="20"/>
                <w:lang w:val="en-AU" w:eastAsia="en-AU"/>
              </w:rPr>
              <w:t>Soil Permeability &amp; Design Loading Rates</w:t>
            </w:r>
            <w:bookmarkEnd w:id="301"/>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5419A005"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02" w:name="_Toc377562556"/>
            <w:r w:rsidRPr="00D1198B">
              <w:rPr>
                <w:rFonts w:ascii="Tahoma" w:eastAsia="Times New Roman" w:hAnsi="Tahoma" w:cs="Tahoma"/>
                <w:sz w:val="20"/>
                <w:szCs w:val="20"/>
                <w:lang w:val="en-AU" w:eastAsia="en-AU"/>
              </w:rPr>
              <w:t>Topsoil: Massive sandy loam: 1.4-3.0 m/day saturated conductivity (K</w:t>
            </w:r>
            <w:r w:rsidRPr="00D1198B">
              <w:rPr>
                <w:rFonts w:ascii="Tahoma" w:eastAsia="Times New Roman" w:hAnsi="Tahoma" w:cs="Tahoma"/>
                <w:sz w:val="20"/>
                <w:szCs w:val="20"/>
                <w:vertAlign w:val="subscript"/>
                <w:lang w:val="en-AU" w:eastAsia="en-AU"/>
              </w:rPr>
              <w:t>sat</w:t>
            </w:r>
            <w:r w:rsidRPr="00D1198B">
              <w:rPr>
                <w:rFonts w:ascii="Tahoma" w:eastAsia="Times New Roman" w:hAnsi="Tahoma" w:cs="Tahoma"/>
                <w:sz w:val="20"/>
                <w:szCs w:val="20"/>
                <w:lang w:val="en-AU" w:eastAsia="en-AU"/>
              </w:rPr>
              <w:t>) (AS/NZS1547:2012); 3.5 mm/day Design Loading Rate (DLR) for irrigation system (Code, 2013).</w:t>
            </w:r>
            <w:bookmarkEnd w:id="302"/>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761CC14C"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03" w:name="_Toc377562557"/>
            <w:r w:rsidRPr="00D1198B">
              <w:rPr>
                <w:rFonts w:ascii="Tahoma" w:eastAsia="Times New Roman" w:hAnsi="Tahoma" w:cs="Tahoma"/>
                <w:sz w:val="20"/>
                <w:szCs w:val="20"/>
                <w:lang w:val="en-AU" w:eastAsia="en-AU"/>
              </w:rPr>
              <w:t>Minor</w:t>
            </w:r>
            <w:bookmarkEnd w:id="303"/>
          </w:p>
        </w:tc>
        <w:tc>
          <w:tcPr>
            <w:tcW w:w="976" w:type="pct"/>
            <w:tcBorders>
              <w:top w:val="single" w:sz="4" w:space="0" w:color="auto"/>
              <w:left w:val="single" w:sz="4" w:space="0" w:color="auto"/>
              <w:bottom w:val="single" w:sz="4" w:space="0" w:color="auto"/>
              <w:right w:val="single" w:sz="4" w:space="0" w:color="auto"/>
            </w:tcBorders>
          </w:tcPr>
          <w:p w14:paraId="48306683"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04" w:name="_Toc377562558"/>
            <w:r w:rsidRPr="00D1198B">
              <w:rPr>
                <w:rFonts w:ascii="Tahoma" w:eastAsia="Times New Roman" w:hAnsi="Tahoma" w:cs="Tahoma"/>
                <w:sz w:val="20"/>
                <w:szCs w:val="20"/>
                <w:lang w:val="en-AU" w:eastAsia="en-AU"/>
              </w:rPr>
              <w:t>NN</w:t>
            </w:r>
            <w:bookmarkEnd w:id="304"/>
          </w:p>
        </w:tc>
      </w:tr>
      <w:tr w:rsidR="00A16FA0" w:rsidRPr="00D1198B" w14:paraId="0BD5266C" w14:textId="77777777" w:rsidTr="00FE78D4">
        <w:tc>
          <w:tcPr>
            <w:tcW w:w="991" w:type="pct"/>
            <w:vMerge/>
            <w:tcBorders>
              <w:left w:val="single" w:sz="4" w:space="0" w:color="auto"/>
              <w:right w:val="single" w:sz="4" w:space="0" w:color="auto"/>
            </w:tcBorders>
            <w:shd w:val="clear" w:color="auto" w:fill="auto"/>
          </w:tcPr>
          <w:p w14:paraId="4BA81090"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0990487F"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05" w:name="_Toc377562559"/>
            <w:r w:rsidRPr="00D1198B">
              <w:rPr>
                <w:rFonts w:ascii="Tahoma" w:eastAsia="Times New Roman" w:hAnsi="Tahoma" w:cs="Tahoma"/>
                <w:sz w:val="20"/>
                <w:szCs w:val="20"/>
                <w:lang w:val="en-AU" w:eastAsia="en-AU"/>
              </w:rPr>
              <w:t>Subsoil: Moderately structured medium clay: &lt;0.06 m/day saturated conductivity (K</w:t>
            </w:r>
            <w:r w:rsidRPr="00D1198B">
              <w:rPr>
                <w:rFonts w:ascii="Tahoma" w:eastAsia="Times New Roman" w:hAnsi="Tahoma" w:cs="Tahoma"/>
                <w:sz w:val="20"/>
                <w:szCs w:val="20"/>
                <w:vertAlign w:val="subscript"/>
                <w:lang w:val="en-AU" w:eastAsia="en-AU"/>
              </w:rPr>
              <w:t>sat</w:t>
            </w:r>
            <w:r w:rsidRPr="00D1198B">
              <w:rPr>
                <w:rFonts w:ascii="Tahoma" w:eastAsia="Times New Roman" w:hAnsi="Tahoma" w:cs="Tahoma"/>
                <w:sz w:val="20"/>
                <w:szCs w:val="20"/>
                <w:lang w:val="en-AU" w:eastAsia="en-AU"/>
              </w:rPr>
              <w:t>) (AS/NZS1547:2012); 2 mm/day DLR for irrigation system (Code of Practice, 2013).</w:t>
            </w:r>
            <w:bookmarkEnd w:id="305"/>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7F39DDFD"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06" w:name="_Toc377562560"/>
            <w:r w:rsidRPr="00D1198B">
              <w:rPr>
                <w:rFonts w:ascii="Tahoma" w:eastAsia="Times New Roman" w:hAnsi="Tahoma" w:cs="Tahoma"/>
                <w:sz w:val="20"/>
                <w:szCs w:val="20"/>
                <w:lang w:val="en-AU" w:eastAsia="en-AU"/>
              </w:rPr>
              <w:t>Moderate</w:t>
            </w:r>
            <w:bookmarkEnd w:id="306"/>
          </w:p>
        </w:tc>
        <w:tc>
          <w:tcPr>
            <w:tcW w:w="976" w:type="pct"/>
            <w:tcBorders>
              <w:top w:val="single" w:sz="4" w:space="0" w:color="auto"/>
              <w:left w:val="single" w:sz="4" w:space="0" w:color="auto"/>
              <w:bottom w:val="single" w:sz="4" w:space="0" w:color="auto"/>
              <w:right w:val="single" w:sz="4" w:space="0" w:color="auto"/>
            </w:tcBorders>
          </w:tcPr>
          <w:p w14:paraId="6A063967"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sz w:val="20"/>
                <w:szCs w:val="20"/>
                <w:lang w:val="en-AU" w:eastAsia="en-AU"/>
              </w:rPr>
            </w:pPr>
            <w:bookmarkStart w:id="307" w:name="_Toc377562561"/>
            <w:r w:rsidRPr="00D1198B">
              <w:rPr>
                <w:rFonts w:ascii="Tahoma" w:eastAsia="Times New Roman" w:hAnsi="Tahoma" w:cs="Tahoma"/>
                <w:sz w:val="20"/>
                <w:szCs w:val="20"/>
                <w:lang w:val="en-AU" w:eastAsia="en-AU"/>
              </w:rPr>
              <w:t>Shallow subsurface irrigation in topsoil recommended</w:t>
            </w:r>
            <w:bookmarkEnd w:id="307"/>
          </w:p>
        </w:tc>
      </w:tr>
      <w:tr w:rsidR="00A16FA0" w:rsidRPr="00D1198B" w14:paraId="653BE5F5" w14:textId="77777777" w:rsidTr="00FE78D4">
        <w:tc>
          <w:tcPr>
            <w:tcW w:w="991" w:type="pct"/>
            <w:vMerge w:val="restart"/>
            <w:tcBorders>
              <w:left w:val="single" w:sz="4" w:space="0" w:color="auto"/>
              <w:right w:val="single" w:sz="4" w:space="0" w:color="auto"/>
            </w:tcBorders>
            <w:shd w:val="clear" w:color="auto" w:fill="auto"/>
          </w:tcPr>
          <w:p w14:paraId="0B2FB655"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08" w:name="_Toc377562562"/>
            <w:r w:rsidRPr="00D1198B">
              <w:rPr>
                <w:rFonts w:ascii="Tahoma" w:eastAsia="Times New Roman" w:hAnsi="Tahoma" w:cs="Tahoma"/>
                <w:b/>
                <w:sz w:val="20"/>
                <w:szCs w:val="20"/>
                <w:lang w:val="en-AU" w:eastAsia="en-AU"/>
              </w:rPr>
              <w:t>Soil Texture &amp; Structure</w:t>
            </w:r>
            <w:bookmarkEnd w:id="308"/>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40729E17"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09" w:name="_Toc377562563"/>
            <w:r w:rsidRPr="00D1198B">
              <w:rPr>
                <w:rFonts w:ascii="Tahoma" w:eastAsia="Times New Roman" w:hAnsi="Tahoma" w:cs="Tahoma"/>
                <w:sz w:val="20"/>
                <w:szCs w:val="20"/>
                <w:lang w:val="en-AU" w:eastAsia="en-AU"/>
              </w:rPr>
              <w:t>Topsoil (&lt;200 mm): Massive ﬁne sandy loam (Category 2)</w:t>
            </w:r>
            <w:bookmarkEnd w:id="309"/>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0827AF93" w14:textId="77777777" w:rsidR="00A16FA0" w:rsidRPr="00D1198B" w:rsidDel="009C2675"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10" w:name="_Toc377562564"/>
            <w:r w:rsidRPr="00D1198B">
              <w:rPr>
                <w:rFonts w:ascii="Tahoma" w:eastAsia="Times New Roman" w:hAnsi="Tahoma" w:cs="Tahoma"/>
                <w:sz w:val="20"/>
                <w:szCs w:val="20"/>
                <w:lang w:val="en-AU" w:eastAsia="en-AU"/>
              </w:rPr>
              <w:t>Minor</w:t>
            </w:r>
            <w:bookmarkEnd w:id="310"/>
          </w:p>
        </w:tc>
        <w:tc>
          <w:tcPr>
            <w:tcW w:w="976" w:type="pct"/>
            <w:tcBorders>
              <w:top w:val="single" w:sz="4" w:space="0" w:color="auto"/>
              <w:left w:val="single" w:sz="4" w:space="0" w:color="auto"/>
              <w:bottom w:val="single" w:sz="4" w:space="0" w:color="auto"/>
              <w:right w:val="single" w:sz="4" w:space="0" w:color="auto"/>
            </w:tcBorders>
          </w:tcPr>
          <w:p w14:paraId="75875E5C"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sz w:val="20"/>
                <w:szCs w:val="20"/>
                <w:lang w:val="en-AU" w:eastAsia="en-AU"/>
              </w:rPr>
            </w:pPr>
            <w:bookmarkStart w:id="311" w:name="_Toc377562565"/>
            <w:r w:rsidRPr="00D1198B">
              <w:rPr>
                <w:rFonts w:ascii="Tahoma" w:eastAsia="Times New Roman" w:hAnsi="Tahoma" w:cs="Tahoma"/>
                <w:sz w:val="20"/>
                <w:szCs w:val="20"/>
                <w:lang w:val="en-AU" w:eastAsia="en-AU"/>
              </w:rPr>
              <w:t>NN</w:t>
            </w:r>
            <w:bookmarkEnd w:id="311"/>
          </w:p>
        </w:tc>
      </w:tr>
      <w:tr w:rsidR="00A16FA0" w:rsidRPr="00D1198B" w14:paraId="1D0A9534" w14:textId="77777777" w:rsidTr="00FE78D4">
        <w:tc>
          <w:tcPr>
            <w:tcW w:w="991" w:type="pct"/>
            <w:vMerge/>
            <w:tcBorders>
              <w:left w:val="single" w:sz="4" w:space="0" w:color="auto"/>
              <w:bottom w:val="single" w:sz="4" w:space="0" w:color="auto"/>
              <w:right w:val="single" w:sz="4" w:space="0" w:color="auto"/>
            </w:tcBorders>
            <w:shd w:val="clear" w:color="auto" w:fill="auto"/>
          </w:tcPr>
          <w:p w14:paraId="45F1CF7B"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68B1759A"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12" w:name="_Toc377562566"/>
            <w:r w:rsidRPr="00D1198B">
              <w:rPr>
                <w:rFonts w:ascii="Tahoma" w:eastAsia="Times New Roman" w:hAnsi="Tahoma" w:cs="Tahoma"/>
                <w:sz w:val="20"/>
                <w:szCs w:val="20"/>
                <w:lang w:val="en-AU" w:eastAsia="en-AU"/>
              </w:rPr>
              <w:t>Subsoil (&gt;200 mm): Moderately structured medium clay (Category 6) in accordance with AS/NZS/NZS 1547:2012</w:t>
            </w:r>
            <w:bookmarkEnd w:id="312"/>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7AF97F91" w14:textId="77777777" w:rsidR="00A16FA0" w:rsidRPr="00D1198B" w:rsidDel="009C2675"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13" w:name="_Toc377562567"/>
            <w:r w:rsidRPr="00D1198B">
              <w:rPr>
                <w:rFonts w:ascii="Tahoma" w:eastAsia="Times New Roman" w:hAnsi="Tahoma" w:cs="Tahoma"/>
                <w:sz w:val="20"/>
                <w:szCs w:val="20"/>
                <w:lang w:val="en-AU" w:eastAsia="en-AU"/>
              </w:rPr>
              <w:t>Major</w:t>
            </w:r>
            <w:bookmarkEnd w:id="313"/>
          </w:p>
        </w:tc>
        <w:tc>
          <w:tcPr>
            <w:tcW w:w="976" w:type="pct"/>
            <w:tcBorders>
              <w:top w:val="single" w:sz="4" w:space="0" w:color="auto"/>
              <w:left w:val="single" w:sz="4" w:space="0" w:color="auto"/>
              <w:bottom w:val="single" w:sz="4" w:space="0" w:color="auto"/>
              <w:right w:val="single" w:sz="4" w:space="0" w:color="auto"/>
            </w:tcBorders>
          </w:tcPr>
          <w:p w14:paraId="509FC9B9"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sz w:val="20"/>
                <w:szCs w:val="20"/>
                <w:lang w:val="en-AU" w:eastAsia="en-AU"/>
              </w:rPr>
            </w:pPr>
            <w:bookmarkStart w:id="314" w:name="_Toc377562568"/>
            <w:r w:rsidRPr="00D1198B">
              <w:rPr>
                <w:rFonts w:ascii="Tahoma" w:eastAsia="Times New Roman" w:hAnsi="Tahoma" w:cs="Tahoma"/>
                <w:sz w:val="20"/>
                <w:szCs w:val="20"/>
                <w:lang w:val="en-AU" w:eastAsia="en-AU"/>
              </w:rPr>
              <w:t>Shallow subsurface irrigation in topsoil recommended</w:t>
            </w:r>
            <w:bookmarkEnd w:id="314"/>
          </w:p>
        </w:tc>
      </w:tr>
      <w:tr w:rsidR="00A16FA0" w:rsidRPr="00D1198B" w14:paraId="668D1B8C" w14:textId="77777777" w:rsidTr="00FE78D4">
        <w:tc>
          <w:tcPr>
            <w:tcW w:w="991" w:type="pct"/>
            <w:tcBorders>
              <w:top w:val="single" w:sz="4" w:space="0" w:color="auto"/>
              <w:left w:val="single" w:sz="4" w:space="0" w:color="auto"/>
              <w:bottom w:val="single" w:sz="4" w:space="0" w:color="auto"/>
              <w:right w:val="single" w:sz="4" w:space="0" w:color="auto"/>
            </w:tcBorders>
            <w:shd w:val="clear" w:color="auto" w:fill="auto"/>
          </w:tcPr>
          <w:p w14:paraId="3A0A9AF2"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15" w:name="_Toc377562569"/>
            <w:r w:rsidRPr="00D1198B">
              <w:rPr>
                <w:rFonts w:ascii="Tahoma" w:eastAsia="Times New Roman" w:hAnsi="Tahoma" w:cs="Tahoma"/>
                <w:b/>
                <w:sz w:val="20"/>
                <w:szCs w:val="20"/>
                <w:lang w:val="en-AU" w:eastAsia="en-AU"/>
              </w:rPr>
              <w:t>Watertable</w:t>
            </w:r>
            <w:bookmarkEnd w:id="315"/>
          </w:p>
          <w:p w14:paraId="43E71273"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16" w:name="_Toc377562570"/>
            <w:r w:rsidRPr="00D1198B">
              <w:rPr>
                <w:rFonts w:ascii="Tahoma" w:eastAsia="Times New Roman" w:hAnsi="Tahoma" w:cs="Tahoma"/>
                <w:b/>
                <w:sz w:val="20"/>
                <w:szCs w:val="20"/>
                <w:lang w:val="en-AU" w:eastAsia="en-AU"/>
              </w:rPr>
              <w:t>Depth</w:t>
            </w:r>
            <w:bookmarkEnd w:id="316"/>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12BBAC22"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17" w:name="_Toc377562571"/>
            <w:r w:rsidRPr="00D1198B">
              <w:rPr>
                <w:rFonts w:ascii="Tahoma" w:eastAsia="Times New Roman" w:hAnsi="Tahoma" w:cs="Tahoma"/>
                <w:sz w:val="20"/>
                <w:szCs w:val="20"/>
                <w:lang w:val="en-AU" w:eastAsia="en-AU"/>
              </w:rPr>
              <w:t>Groundwater not encountered, pit terminated at 1.5 m. Minor (&lt;10%) yellow mottling in subsoils from 200 mm depth indicates intermittent (seasonal) saturation.</w:t>
            </w:r>
            <w:bookmarkEnd w:id="317"/>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44C74C79"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18" w:name="_Toc377562572"/>
            <w:r w:rsidRPr="00D1198B">
              <w:rPr>
                <w:rFonts w:ascii="Tahoma" w:eastAsia="Times New Roman" w:hAnsi="Tahoma" w:cs="Tahoma"/>
                <w:sz w:val="20"/>
                <w:szCs w:val="20"/>
                <w:lang w:val="en-AU" w:eastAsia="en-AU"/>
              </w:rPr>
              <w:t>Moderate</w:t>
            </w:r>
            <w:bookmarkEnd w:id="318"/>
          </w:p>
        </w:tc>
        <w:tc>
          <w:tcPr>
            <w:tcW w:w="976" w:type="pct"/>
            <w:tcBorders>
              <w:top w:val="single" w:sz="4" w:space="0" w:color="auto"/>
              <w:left w:val="single" w:sz="4" w:space="0" w:color="auto"/>
              <w:bottom w:val="single" w:sz="4" w:space="0" w:color="auto"/>
              <w:right w:val="single" w:sz="4" w:space="0" w:color="auto"/>
            </w:tcBorders>
          </w:tcPr>
          <w:p w14:paraId="2CCD99AC"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highlight w:val="yellow"/>
                <w:lang w:val="en-AU" w:eastAsia="en-AU"/>
              </w:rPr>
            </w:pPr>
            <w:bookmarkStart w:id="319" w:name="_Toc377562573"/>
            <w:r w:rsidRPr="00D1198B">
              <w:rPr>
                <w:rFonts w:ascii="Tahoma" w:eastAsia="Times New Roman" w:hAnsi="Tahoma" w:cs="Tahoma"/>
                <w:sz w:val="20"/>
                <w:szCs w:val="20"/>
                <w:lang w:val="en-AU" w:eastAsia="en-AU"/>
              </w:rPr>
              <w:t>Shallow subsurface irrigation recommended</w:t>
            </w:r>
            <w:bookmarkEnd w:id="319"/>
          </w:p>
        </w:tc>
      </w:tr>
    </w:tbl>
    <w:p w14:paraId="4E66AF50" w14:textId="77777777" w:rsidR="00A16FA0" w:rsidRPr="00D1198B" w:rsidRDefault="00A16FA0" w:rsidP="00A16FA0">
      <w:pPr>
        <w:spacing w:after="0" w:line="240" w:lineRule="auto"/>
        <w:jc w:val="both"/>
        <w:rPr>
          <w:rFonts w:ascii="Tahoma" w:eastAsia="Times New Roman" w:hAnsi="Tahoma" w:cs="Tahoma"/>
          <w:b/>
          <w:noProof/>
          <w:sz w:val="20"/>
          <w:szCs w:val="20"/>
          <w:lang w:val="en-AU" w:eastAsia="en-AU"/>
        </w:rPr>
      </w:pPr>
    </w:p>
    <w:p w14:paraId="546067A7"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NN: not needed</w:t>
      </w:r>
    </w:p>
    <w:p w14:paraId="11755879" w14:textId="77777777" w:rsidR="00A16FA0" w:rsidRPr="00D1198B" w:rsidRDefault="00A16FA0" w:rsidP="00A16FA0">
      <w:pPr>
        <w:spacing w:after="0" w:line="240" w:lineRule="auto"/>
        <w:jc w:val="both"/>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br w:type="page"/>
      </w:r>
    </w:p>
    <w:p w14:paraId="5DCFD586" w14:textId="77777777" w:rsidR="00A16FA0" w:rsidRPr="00D1198B" w:rsidRDefault="00A16FA0" w:rsidP="00A16FA0">
      <w:pPr>
        <w:keepNext/>
        <w:spacing w:after="0" w:line="240" w:lineRule="auto"/>
        <w:jc w:val="both"/>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lastRenderedPageBreak/>
        <w:t>Table 3: Soil Assessment – TP2 Black Dermosol</w:t>
      </w:r>
    </w:p>
    <w:p w14:paraId="093F5F08" w14:textId="77777777" w:rsidR="00A16FA0" w:rsidRPr="00D1198B" w:rsidRDefault="00A16FA0" w:rsidP="00A16FA0">
      <w:pPr>
        <w:keepNext/>
        <w:spacing w:after="0" w:line="240" w:lineRule="auto"/>
        <w:jc w:val="both"/>
        <w:rPr>
          <w:rFonts w:ascii="Tahoma" w:eastAsia="Times New Roman" w:hAnsi="Tahoma" w:cs="Tahoma"/>
          <w:b/>
          <w:noProof/>
          <w:sz w:val="20"/>
          <w:szCs w:val="20"/>
          <w:lang w:val="en-AU" w:eastAsia="en-AU"/>
        </w:rPr>
      </w:pPr>
    </w:p>
    <w:tbl>
      <w:tblPr>
        <w:tblpPr w:leftFromText="180" w:rightFromText="180" w:vertAnchor="text" w:horzAnchor="margin" w:tblpXSpec="center" w:tblpY="120"/>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4161"/>
        <w:gridCol w:w="1496"/>
        <w:gridCol w:w="1820"/>
      </w:tblGrid>
      <w:tr w:rsidR="00A16FA0" w:rsidRPr="00D1198B" w14:paraId="477738B6" w14:textId="77777777" w:rsidTr="00FE78D4">
        <w:tc>
          <w:tcPr>
            <w:tcW w:w="991" w:type="pct"/>
            <w:tcBorders>
              <w:top w:val="single" w:sz="4" w:space="0" w:color="auto"/>
              <w:left w:val="single" w:sz="4" w:space="0" w:color="auto"/>
              <w:bottom w:val="single" w:sz="4" w:space="0" w:color="auto"/>
              <w:right w:val="single" w:sz="4" w:space="0" w:color="auto"/>
            </w:tcBorders>
            <w:shd w:val="clear" w:color="auto" w:fill="auto"/>
          </w:tcPr>
          <w:p w14:paraId="5F2D7837"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20" w:name="_Toc377562574"/>
            <w:r w:rsidRPr="00D1198B">
              <w:rPr>
                <w:rFonts w:ascii="Tahoma" w:eastAsia="Times New Roman" w:hAnsi="Tahoma" w:cs="Tahoma"/>
                <w:b/>
                <w:sz w:val="20"/>
                <w:szCs w:val="20"/>
                <w:lang w:val="en-AU" w:eastAsia="en-AU"/>
              </w:rPr>
              <w:t>Feature</w:t>
            </w:r>
            <w:bookmarkEnd w:id="320"/>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6E69CCAA"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321" w:name="_Toc377562575"/>
            <w:r w:rsidRPr="00D1198B">
              <w:rPr>
                <w:rFonts w:ascii="Tahoma" w:eastAsia="Times New Roman" w:hAnsi="Tahoma" w:cs="Tahoma"/>
                <w:b/>
                <w:sz w:val="20"/>
                <w:szCs w:val="20"/>
                <w:lang w:val="en-AU" w:eastAsia="en-AU"/>
              </w:rPr>
              <w:t>Assessment</w:t>
            </w:r>
            <w:bookmarkEnd w:id="321"/>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6BDD8B2B"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22" w:name="_Toc377562576"/>
            <w:r w:rsidRPr="00D1198B">
              <w:rPr>
                <w:rFonts w:ascii="Tahoma" w:eastAsia="Times New Roman" w:hAnsi="Tahoma" w:cs="Tahoma"/>
                <w:b/>
                <w:sz w:val="20"/>
                <w:szCs w:val="20"/>
                <w:lang w:val="en-AU" w:eastAsia="en-AU"/>
              </w:rPr>
              <w:t>Level of Constraint</w:t>
            </w:r>
            <w:bookmarkEnd w:id="322"/>
          </w:p>
        </w:tc>
        <w:tc>
          <w:tcPr>
            <w:tcW w:w="976" w:type="pct"/>
            <w:tcBorders>
              <w:top w:val="single" w:sz="4" w:space="0" w:color="auto"/>
              <w:left w:val="single" w:sz="4" w:space="0" w:color="auto"/>
              <w:bottom w:val="single" w:sz="4" w:space="0" w:color="auto"/>
              <w:right w:val="single" w:sz="4" w:space="0" w:color="auto"/>
            </w:tcBorders>
          </w:tcPr>
          <w:p w14:paraId="2D30E2BD"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323" w:name="_Toc377562577"/>
            <w:r w:rsidRPr="00D1198B">
              <w:rPr>
                <w:rFonts w:ascii="Tahoma" w:eastAsia="Times New Roman" w:hAnsi="Tahoma" w:cs="Tahoma"/>
                <w:b/>
                <w:sz w:val="20"/>
                <w:szCs w:val="20"/>
                <w:lang w:val="en-AU" w:eastAsia="en-AU"/>
              </w:rPr>
              <w:t>Mitigation Measures</w:t>
            </w:r>
            <w:bookmarkEnd w:id="323"/>
          </w:p>
        </w:tc>
      </w:tr>
      <w:tr w:rsidR="00A16FA0" w:rsidRPr="00D1198B" w14:paraId="000E22B9" w14:textId="77777777" w:rsidTr="00FE78D4">
        <w:tc>
          <w:tcPr>
            <w:tcW w:w="991" w:type="pct"/>
            <w:tcBorders>
              <w:top w:val="single" w:sz="4" w:space="0" w:color="auto"/>
              <w:left w:val="single" w:sz="4" w:space="0" w:color="auto"/>
              <w:bottom w:val="single" w:sz="4" w:space="0" w:color="auto"/>
              <w:right w:val="single" w:sz="4" w:space="0" w:color="auto"/>
            </w:tcBorders>
            <w:shd w:val="clear" w:color="auto" w:fill="auto"/>
          </w:tcPr>
          <w:p w14:paraId="43C785F8"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24" w:name="_Toc377562578"/>
            <w:r w:rsidRPr="00D1198B">
              <w:rPr>
                <w:rFonts w:ascii="Tahoma" w:eastAsia="Times New Roman" w:hAnsi="Tahoma" w:cs="Tahoma"/>
                <w:b/>
                <w:sz w:val="20"/>
                <w:szCs w:val="20"/>
                <w:lang w:val="en-AU" w:eastAsia="en-AU"/>
              </w:rPr>
              <w:t>Electrical Conductivity</w:t>
            </w:r>
            <w:bookmarkEnd w:id="324"/>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586B4B7E"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325" w:name="_Toc377562579"/>
            <w:r w:rsidRPr="00D1198B">
              <w:rPr>
                <w:rFonts w:ascii="Tahoma" w:eastAsia="Times New Roman" w:hAnsi="Tahoma" w:cs="Tahoma"/>
                <w:sz w:val="20"/>
                <w:szCs w:val="20"/>
                <w:lang w:val="en-AU" w:eastAsia="en-AU"/>
              </w:rPr>
              <w:t>EC (1:5 soil:water suspension) range from 0.6 dS/m (subsoil), which is non-saline, to 2.5 dS/m (topsoil), which is slightly saline.</w:t>
            </w:r>
            <w:bookmarkEnd w:id="325"/>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273BF6CB"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326" w:name="_Toc377562580"/>
            <w:r w:rsidRPr="00D1198B">
              <w:rPr>
                <w:rFonts w:ascii="Tahoma" w:eastAsia="Times New Roman" w:hAnsi="Tahoma" w:cs="Tahoma"/>
                <w:sz w:val="20"/>
                <w:szCs w:val="20"/>
                <w:lang w:val="en-AU" w:eastAsia="en-AU"/>
              </w:rPr>
              <w:t>Minor - Major</w:t>
            </w:r>
            <w:bookmarkEnd w:id="326"/>
          </w:p>
        </w:tc>
        <w:tc>
          <w:tcPr>
            <w:tcW w:w="976" w:type="pct"/>
            <w:tcBorders>
              <w:top w:val="single" w:sz="4" w:space="0" w:color="auto"/>
              <w:left w:val="single" w:sz="4" w:space="0" w:color="auto"/>
              <w:bottom w:val="single" w:sz="4" w:space="0" w:color="auto"/>
              <w:right w:val="single" w:sz="4" w:space="0" w:color="auto"/>
            </w:tcBorders>
          </w:tcPr>
          <w:p w14:paraId="4277914E"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27" w:name="_Toc377562581"/>
            <w:r w:rsidRPr="00D1198B">
              <w:rPr>
                <w:rFonts w:ascii="Tahoma" w:eastAsia="Times New Roman" w:hAnsi="Tahoma" w:cs="Tahoma"/>
                <w:sz w:val="20"/>
                <w:szCs w:val="20"/>
                <w:lang w:val="en-AU" w:eastAsia="en-AU"/>
              </w:rPr>
              <w:t>Ongoing monitoring of EC to monitor salinity recommended</w:t>
            </w:r>
            <w:bookmarkEnd w:id="327"/>
          </w:p>
        </w:tc>
      </w:tr>
      <w:tr w:rsidR="00A16FA0" w:rsidRPr="00D1198B" w14:paraId="79A2044E" w14:textId="77777777" w:rsidTr="00FE78D4">
        <w:tc>
          <w:tcPr>
            <w:tcW w:w="991" w:type="pct"/>
            <w:vMerge w:val="restart"/>
            <w:tcBorders>
              <w:top w:val="single" w:sz="4" w:space="0" w:color="auto"/>
              <w:left w:val="single" w:sz="4" w:space="0" w:color="auto"/>
              <w:right w:val="single" w:sz="4" w:space="0" w:color="auto"/>
            </w:tcBorders>
            <w:shd w:val="clear" w:color="auto" w:fill="auto"/>
          </w:tcPr>
          <w:p w14:paraId="3956CE54"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28" w:name="_Toc377562582"/>
            <w:r w:rsidRPr="00D1198B">
              <w:rPr>
                <w:rFonts w:ascii="Tahoma" w:eastAsia="Times New Roman" w:hAnsi="Tahoma" w:cs="Tahoma"/>
                <w:b/>
                <w:sz w:val="20"/>
                <w:szCs w:val="20"/>
                <w:lang w:val="en-AU" w:eastAsia="en-AU"/>
              </w:rPr>
              <w:t>Emerson Aggregate Class</w:t>
            </w:r>
            <w:bookmarkEnd w:id="328"/>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52362C0E"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329" w:name="_Toc377562583"/>
            <w:r w:rsidRPr="00D1198B">
              <w:rPr>
                <w:rFonts w:ascii="Tahoma" w:eastAsia="Times New Roman" w:hAnsi="Tahoma" w:cs="Tahoma"/>
                <w:sz w:val="20"/>
                <w:szCs w:val="20"/>
                <w:lang w:val="en-AU" w:eastAsia="en-AU"/>
              </w:rPr>
              <w:t>Topsoil: EA Class 8 (no slaking, dispersion or swelling);</w:t>
            </w:r>
            <w:bookmarkEnd w:id="329"/>
            <w:r w:rsidRPr="00D1198B">
              <w:rPr>
                <w:rFonts w:ascii="Tahoma" w:eastAsia="Times New Roman" w:hAnsi="Tahoma" w:cs="Tahoma"/>
                <w:sz w:val="20"/>
                <w:szCs w:val="20"/>
                <w:lang w:val="en-AU" w:eastAsia="en-AU"/>
              </w:rPr>
              <w:t xml:space="preserve"> </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0344FDC4"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330" w:name="_Toc377562584"/>
            <w:r w:rsidRPr="00D1198B">
              <w:rPr>
                <w:rFonts w:ascii="Tahoma" w:eastAsia="Times New Roman" w:hAnsi="Tahoma" w:cs="Tahoma"/>
                <w:sz w:val="20"/>
                <w:szCs w:val="20"/>
                <w:lang w:val="en-AU" w:eastAsia="en-AU"/>
              </w:rPr>
              <w:t>Minor</w:t>
            </w:r>
            <w:bookmarkEnd w:id="330"/>
          </w:p>
        </w:tc>
        <w:tc>
          <w:tcPr>
            <w:tcW w:w="976" w:type="pct"/>
            <w:tcBorders>
              <w:top w:val="single" w:sz="4" w:space="0" w:color="auto"/>
              <w:left w:val="single" w:sz="4" w:space="0" w:color="auto"/>
              <w:bottom w:val="single" w:sz="4" w:space="0" w:color="auto"/>
              <w:right w:val="single" w:sz="4" w:space="0" w:color="auto"/>
            </w:tcBorders>
          </w:tcPr>
          <w:p w14:paraId="08C7F22B"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331" w:name="_Toc377562585"/>
            <w:r w:rsidRPr="00D1198B">
              <w:rPr>
                <w:rFonts w:ascii="Tahoma" w:eastAsia="Times New Roman" w:hAnsi="Tahoma" w:cs="Tahoma"/>
                <w:sz w:val="20"/>
                <w:szCs w:val="20"/>
                <w:lang w:val="en-AU" w:eastAsia="en-AU"/>
              </w:rPr>
              <w:t>NN</w:t>
            </w:r>
            <w:bookmarkEnd w:id="331"/>
          </w:p>
        </w:tc>
      </w:tr>
      <w:tr w:rsidR="00A16FA0" w:rsidRPr="00D1198B" w14:paraId="0210861D" w14:textId="77777777" w:rsidTr="00FE78D4">
        <w:tc>
          <w:tcPr>
            <w:tcW w:w="991" w:type="pct"/>
            <w:vMerge/>
            <w:tcBorders>
              <w:left w:val="single" w:sz="4" w:space="0" w:color="auto"/>
              <w:bottom w:val="single" w:sz="4" w:space="0" w:color="auto"/>
              <w:right w:val="single" w:sz="4" w:space="0" w:color="auto"/>
            </w:tcBorders>
            <w:shd w:val="clear" w:color="auto" w:fill="auto"/>
          </w:tcPr>
          <w:p w14:paraId="578C2D5F"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37B5689C"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332" w:name="_Toc377562586"/>
            <w:r w:rsidRPr="00D1198B">
              <w:rPr>
                <w:rFonts w:ascii="Tahoma" w:eastAsia="Times New Roman" w:hAnsi="Tahoma" w:cs="Tahoma"/>
                <w:sz w:val="20"/>
                <w:szCs w:val="20"/>
                <w:lang w:val="en-AU" w:eastAsia="en-AU"/>
              </w:rPr>
              <w:t>Subsoils: EA Class 8 (no slaking, dispersion or swelling).</w:t>
            </w:r>
            <w:bookmarkEnd w:id="332"/>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457AED02"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333" w:name="_Toc377562587"/>
            <w:r w:rsidRPr="00D1198B">
              <w:rPr>
                <w:rFonts w:ascii="Tahoma" w:eastAsia="Times New Roman" w:hAnsi="Tahoma" w:cs="Tahoma"/>
                <w:sz w:val="20"/>
                <w:szCs w:val="20"/>
                <w:lang w:val="en-AU" w:eastAsia="en-AU"/>
              </w:rPr>
              <w:t>Minor</w:t>
            </w:r>
            <w:bookmarkEnd w:id="333"/>
          </w:p>
        </w:tc>
        <w:tc>
          <w:tcPr>
            <w:tcW w:w="976" w:type="pct"/>
            <w:tcBorders>
              <w:top w:val="single" w:sz="4" w:space="0" w:color="auto"/>
              <w:left w:val="single" w:sz="4" w:space="0" w:color="auto"/>
              <w:bottom w:val="single" w:sz="4" w:space="0" w:color="auto"/>
              <w:right w:val="single" w:sz="4" w:space="0" w:color="auto"/>
            </w:tcBorders>
          </w:tcPr>
          <w:p w14:paraId="17E33262"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334" w:name="_Toc377562588"/>
            <w:r w:rsidRPr="00D1198B">
              <w:rPr>
                <w:rFonts w:ascii="Tahoma" w:eastAsia="Times New Roman" w:hAnsi="Tahoma" w:cs="Tahoma"/>
                <w:sz w:val="20"/>
                <w:szCs w:val="20"/>
                <w:lang w:val="en-AU" w:eastAsia="en-AU"/>
              </w:rPr>
              <w:t>NN</w:t>
            </w:r>
            <w:bookmarkEnd w:id="334"/>
          </w:p>
        </w:tc>
      </w:tr>
      <w:tr w:rsidR="00A16FA0" w:rsidRPr="00D1198B" w14:paraId="572BEEA7" w14:textId="77777777" w:rsidTr="00FE78D4">
        <w:tc>
          <w:tcPr>
            <w:tcW w:w="991" w:type="pct"/>
            <w:tcBorders>
              <w:left w:val="single" w:sz="4" w:space="0" w:color="auto"/>
              <w:bottom w:val="single" w:sz="4" w:space="0" w:color="auto"/>
              <w:right w:val="single" w:sz="4" w:space="0" w:color="auto"/>
            </w:tcBorders>
            <w:shd w:val="clear" w:color="auto" w:fill="auto"/>
          </w:tcPr>
          <w:p w14:paraId="4EF5B5F7"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35" w:name="_Toc377562589"/>
            <w:r w:rsidRPr="00D1198B">
              <w:rPr>
                <w:rFonts w:ascii="Tahoma" w:eastAsia="Times New Roman" w:hAnsi="Tahoma" w:cs="Tahoma"/>
                <w:b/>
                <w:sz w:val="20"/>
                <w:szCs w:val="20"/>
                <w:lang w:val="en-AU" w:eastAsia="en-AU"/>
              </w:rPr>
              <w:t>pH</w:t>
            </w:r>
            <w:bookmarkEnd w:id="335"/>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43529DBF"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36" w:name="_Toc377562590"/>
            <w:r w:rsidRPr="00D1198B">
              <w:rPr>
                <w:rFonts w:ascii="Tahoma" w:eastAsia="Times New Roman" w:hAnsi="Tahoma" w:cs="Tahoma"/>
                <w:sz w:val="20"/>
                <w:szCs w:val="20"/>
                <w:lang w:val="en-AU" w:eastAsia="en-AU"/>
              </w:rPr>
              <w:t>Topsoils range from 5.7 to 6.1 which is slightly acidic; subsoils range from 6.2 to 6.6 which is neutral. Soil conditions do not appear to be affecting plant growth.</w:t>
            </w:r>
            <w:bookmarkEnd w:id="336"/>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537A9123"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37" w:name="_Toc377562591"/>
            <w:r w:rsidRPr="00D1198B">
              <w:rPr>
                <w:rFonts w:ascii="Tahoma" w:eastAsia="Times New Roman" w:hAnsi="Tahoma" w:cs="Tahoma"/>
                <w:sz w:val="20"/>
                <w:szCs w:val="20"/>
                <w:lang w:val="en-AU" w:eastAsia="en-AU"/>
              </w:rPr>
              <w:t>Minor</w:t>
            </w:r>
            <w:bookmarkEnd w:id="337"/>
          </w:p>
        </w:tc>
        <w:tc>
          <w:tcPr>
            <w:tcW w:w="976" w:type="pct"/>
            <w:tcBorders>
              <w:top w:val="single" w:sz="4" w:space="0" w:color="auto"/>
              <w:left w:val="single" w:sz="4" w:space="0" w:color="auto"/>
              <w:bottom w:val="single" w:sz="4" w:space="0" w:color="auto"/>
              <w:right w:val="single" w:sz="4" w:space="0" w:color="auto"/>
            </w:tcBorders>
          </w:tcPr>
          <w:p w14:paraId="201EC302"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38" w:name="_Toc377562592"/>
            <w:r w:rsidRPr="00D1198B">
              <w:rPr>
                <w:rFonts w:ascii="Tahoma" w:eastAsia="Times New Roman" w:hAnsi="Tahoma" w:cs="Tahoma"/>
                <w:sz w:val="20"/>
                <w:szCs w:val="20"/>
                <w:lang w:val="en-AU" w:eastAsia="en-AU"/>
              </w:rPr>
              <w:t>NN</w:t>
            </w:r>
            <w:bookmarkEnd w:id="338"/>
          </w:p>
        </w:tc>
      </w:tr>
      <w:tr w:rsidR="00A16FA0" w:rsidRPr="00D1198B" w14:paraId="415C2DDD" w14:textId="77777777" w:rsidTr="00FE78D4">
        <w:tc>
          <w:tcPr>
            <w:tcW w:w="991" w:type="pct"/>
            <w:tcBorders>
              <w:top w:val="single" w:sz="4" w:space="0" w:color="auto"/>
              <w:left w:val="single" w:sz="4" w:space="0" w:color="auto"/>
              <w:bottom w:val="single" w:sz="4" w:space="0" w:color="auto"/>
              <w:right w:val="single" w:sz="4" w:space="0" w:color="auto"/>
            </w:tcBorders>
            <w:shd w:val="clear" w:color="auto" w:fill="auto"/>
          </w:tcPr>
          <w:p w14:paraId="4B6F6F15"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39" w:name="_Toc377562593"/>
            <w:r w:rsidRPr="00D1198B">
              <w:rPr>
                <w:rFonts w:ascii="Tahoma" w:eastAsia="Times New Roman" w:hAnsi="Tahoma" w:cs="Tahoma"/>
                <w:b/>
                <w:sz w:val="20"/>
                <w:szCs w:val="20"/>
                <w:lang w:val="en-AU" w:eastAsia="en-AU"/>
              </w:rPr>
              <w:t>Rock Fragments</w:t>
            </w:r>
            <w:bookmarkEnd w:id="339"/>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0D05607C"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340" w:name="_Toc377562594"/>
            <w:r w:rsidRPr="00D1198B">
              <w:rPr>
                <w:rFonts w:ascii="Tahoma" w:eastAsia="Times New Roman" w:hAnsi="Tahoma" w:cs="Tahoma"/>
                <w:sz w:val="20"/>
                <w:szCs w:val="20"/>
                <w:lang w:val="en-AU" w:eastAsia="en-AU"/>
              </w:rPr>
              <w:t>No coarse rock fragments throughout the proﬁle to 1.5 m.</w:t>
            </w:r>
            <w:bookmarkEnd w:id="340"/>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22531F15"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341" w:name="_Toc377562595"/>
            <w:r w:rsidRPr="00D1198B">
              <w:rPr>
                <w:rFonts w:ascii="Tahoma" w:eastAsia="Times New Roman" w:hAnsi="Tahoma" w:cs="Tahoma"/>
                <w:sz w:val="20"/>
                <w:szCs w:val="20"/>
                <w:lang w:val="en-AU" w:eastAsia="en-AU"/>
              </w:rPr>
              <w:t>Minor</w:t>
            </w:r>
            <w:bookmarkEnd w:id="341"/>
          </w:p>
        </w:tc>
        <w:tc>
          <w:tcPr>
            <w:tcW w:w="976" w:type="pct"/>
            <w:tcBorders>
              <w:top w:val="single" w:sz="4" w:space="0" w:color="auto"/>
              <w:left w:val="single" w:sz="4" w:space="0" w:color="auto"/>
              <w:bottom w:val="single" w:sz="4" w:space="0" w:color="auto"/>
              <w:right w:val="single" w:sz="4" w:space="0" w:color="auto"/>
            </w:tcBorders>
          </w:tcPr>
          <w:p w14:paraId="69DC3EA5"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b/>
                <w:sz w:val="20"/>
                <w:szCs w:val="20"/>
                <w:lang w:val="en-AU" w:eastAsia="en-AU"/>
              </w:rPr>
            </w:pPr>
            <w:bookmarkStart w:id="342" w:name="_Toc377562596"/>
            <w:r w:rsidRPr="00D1198B">
              <w:rPr>
                <w:rFonts w:ascii="Tahoma" w:eastAsia="Times New Roman" w:hAnsi="Tahoma" w:cs="Tahoma"/>
                <w:sz w:val="20"/>
                <w:szCs w:val="20"/>
                <w:lang w:val="en-AU" w:eastAsia="en-AU"/>
              </w:rPr>
              <w:t>NN</w:t>
            </w:r>
            <w:bookmarkEnd w:id="342"/>
          </w:p>
        </w:tc>
      </w:tr>
      <w:tr w:rsidR="00A16FA0" w:rsidRPr="00D1198B" w14:paraId="1B8CBE17" w14:textId="77777777" w:rsidTr="00FE78D4">
        <w:tc>
          <w:tcPr>
            <w:tcW w:w="991" w:type="pct"/>
            <w:vMerge w:val="restart"/>
            <w:tcBorders>
              <w:top w:val="single" w:sz="4" w:space="0" w:color="auto"/>
              <w:left w:val="single" w:sz="4" w:space="0" w:color="auto"/>
              <w:right w:val="single" w:sz="4" w:space="0" w:color="auto"/>
            </w:tcBorders>
            <w:shd w:val="clear" w:color="auto" w:fill="auto"/>
          </w:tcPr>
          <w:p w14:paraId="08583CAC"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43" w:name="_Toc377562597"/>
            <w:r w:rsidRPr="00D1198B">
              <w:rPr>
                <w:rFonts w:ascii="Tahoma" w:eastAsia="Times New Roman" w:hAnsi="Tahoma" w:cs="Tahoma"/>
                <w:b/>
                <w:sz w:val="20"/>
                <w:szCs w:val="20"/>
                <w:lang w:val="en-AU" w:eastAsia="en-AU"/>
              </w:rPr>
              <w:t>Soil Depth</w:t>
            </w:r>
            <w:bookmarkEnd w:id="343"/>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3C1C4D9A"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44" w:name="_Toc377562598"/>
            <w:r w:rsidRPr="00D1198B">
              <w:rPr>
                <w:rFonts w:ascii="Tahoma" w:eastAsia="Times New Roman" w:hAnsi="Tahoma" w:cs="Tahoma"/>
                <w:sz w:val="20"/>
                <w:szCs w:val="20"/>
                <w:lang w:val="en-AU" w:eastAsia="en-AU"/>
              </w:rPr>
              <w:t>Topsoil &lt;400 mm</w:t>
            </w:r>
            <w:bookmarkEnd w:id="344"/>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24D9F2DA"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45" w:name="_Toc377562599"/>
            <w:r w:rsidRPr="00D1198B">
              <w:rPr>
                <w:rFonts w:ascii="Tahoma" w:eastAsia="Times New Roman" w:hAnsi="Tahoma" w:cs="Tahoma"/>
                <w:sz w:val="20"/>
                <w:szCs w:val="20"/>
                <w:lang w:val="en-AU" w:eastAsia="en-AU"/>
              </w:rPr>
              <w:t>Minor</w:t>
            </w:r>
            <w:bookmarkEnd w:id="345"/>
          </w:p>
        </w:tc>
        <w:tc>
          <w:tcPr>
            <w:tcW w:w="976" w:type="pct"/>
            <w:tcBorders>
              <w:top w:val="single" w:sz="4" w:space="0" w:color="auto"/>
              <w:left w:val="single" w:sz="4" w:space="0" w:color="auto"/>
              <w:bottom w:val="single" w:sz="4" w:space="0" w:color="auto"/>
              <w:right w:val="single" w:sz="4" w:space="0" w:color="auto"/>
            </w:tcBorders>
          </w:tcPr>
          <w:p w14:paraId="584649DE"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highlight w:val="yellow"/>
                <w:lang w:val="en-AU" w:eastAsia="en-AU"/>
              </w:rPr>
            </w:pPr>
            <w:bookmarkStart w:id="346" w:name="_Toc377562600"/>
            <w:r w:rsidRPr="00D1198B">
              <w:rPr>
                <w:rFonts w:ascii="Tahoma" w:eastAsia="Times New Roman" w:hAnsi="Tahoma" w:cs="Tahoma"/>
                <w:sz w:val="20"/>
                <w:szCs w:val="20"/>
                <w:lang w:val="en-AU" w:eastAsia="en-AU"/>
              </w:rPr>
              <w:t>NN</w:t>
            </w:r>
            <w:bookmarkEnd w:id="346"/>
          </w:p>
        </w:tc>
      </w:tr>
      <w:tr w:rsidR="00A16FA0" w:rsidRPr="00D1198B" w14:paraId="6A1D1FB3" w14:textId="77777777" w:rsidTr="00FE78D4">
        <w:tc>
          <w:tcPr>
            <w:tcW w:w="991" w:type="pct"/>
            <w:vMerge/>
            <w:tcBorders>
              <w:left w:val="single" w:sz="4" w:space="0" w:color="auto"/>
              <w:bottom w:val="single" w:sz="4" w:space="0" w:color="auto"/>
              <w:right w:val="single" w:sz="4" w:space="0" w:color="auto"/>
            </w:tcBorders>
            <w:shd w:val="clear" w:color="auto" w:fill="auto"/>
          </w:tcPr>
          <w:p w14:paraId="0165362D"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22DC0A35"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47" w:name="_Toc377562601"/>
            <w:r w:rsidRPr="00D1198B">
              <w:rPr>
                <w:rFonts w:ascii="Tahoma" w:eastAsia="Times New Roman" w:hAnsi="Tahoma" w:cs="Tahoma"/>
                <w:sz w:val="20"/>
                <w:szCs w:val="20"/>
                <w:lang w:val="en-AU" w:eastAsia="en-AU"/>
              </w:rPr>
              <w:t>Subsoil &gt;400 mm. Total soil depth greater than 1.5 m and no hardpans occur.</w:t>
            </w:r>
            <w:bookmarkEnd w:id="347"/>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6E804D06"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48" w:name="_Toc377562602"/>
            <w:r w:rsidRPr="00D1198B">
              <w:rPr>
                <w:rFonts w:ascii="Tahoma" w:eastAsia="Times New Roman" w:hAnsi="Tahoma" w:cs="Tahoma"/>
                <w:sz w:val="20"/>
                <w:szCs w:val="20"/>
                <w:lang w:val="en-AU" w:eastAsia="en-AU"/>
              </w:rPr>
              <w:t>Minor</w:t>
            </w:r>
            <w:bookmarkEnd w:id="348"/>
          </w:p>
        </w:tc>
        <w:tc>
          <w:tcPr>
            <w:tcW w:w="976" w:type="pct"/>
            <w:tcBorders>
              <w:top w:val="single" w:sz="4" w:space="0" w:color="auto"/>
              <w:left w:val="single" w:sz="4" w:space="0" w:color="auto"/>
              <w:bottom w:val="single" w:sz="4" w:space="0" w:color="auto"/>
              <w:right w:val="single" w:sz="4" w:space="0" w:color="auto"/>
            </w:tcBorders>
          </w:tcPr>
          <w:p w14:paraId="4B17C63E"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49" w:name="_Toc377562603"/>
            <w:r w:rsidRPr="00D1198B">
              <w:rPr>
                <w:rFonts w:ascii="Tahoma" w:eastAsia="Times New Roman" w:hAnsi="Tahoma" w:cs="Tahoma"/>
                <w:sz w:val="20"/>
                <w:szCs w:val="20"/>
                <w:lang w:val="en-AU" w:eastAsia="en-AU"/>
              </w:rPr>
              <w:t>NN</w:t>
            </w:r>
            <w:bookmarkEnd w:id="349"/>
          </w:p>
        </w:tc>
      </w:tr>
      <w:tr w:rsidR="00A16FA0" w:rsidRPr="00D1198B" w14:paraId="51593057" w14:textId="77777777" w:rsidTr="00FE78D4">
        <w:tc>
          <w:tcPr>
            <w:tcW w:w="991" w:type="pct"/>
            <w:vMerge w:val="restart"/>
            <w:tcBorders>
              <w:left w:val="single" w:sz="4" w:space="0" w:color="auto"/>
              <w:right w:val="single" w:sz="4" w:space="0" w:color="auto"/>
            </w:tcBorders>
            <w:shd w:val="clear" w:color="auto" w:fill="auto"/>
          </w:tcPr>
          <w:p w14:paraId="7A55F46F"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50" w:name="_Toc377562604"/>
            <w:r w:rsidRPr="00D1198B">
              <w:rPr>
                <w:rFonts w:ascii="Tahoma" w:eastAsia="Times New Roman" w:hAnsi="Tahoma" w:cs="Tahoma"/>
                <w:b/>
                <w:sz w:val="20"/>
                <w:szCs w:val="20"/>
                <w:lang w:val="en-AU" w:eastAsia="en-AU"/>
              </w:rPr>
              <w:t>Soil Permeability &amp; Design Loading Rates</w:t>
            </w:r>
            <w:bookmarkEnd w:id="350"/>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4E8F416E"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51" w:name="_Toc377562605"/>
            <w:r w:rsidRPr="00D1198B">
              <w:rPr>
                <w:rFonts w:ascii="Tahoma" w:eastAsia="Times New Roman" w:hAnsi="Tahoma" w:cs="Tahoma"/>
                <w:sz w:val="20"/>
                <w:szCs w:val="20"/>
                <w:lang w:val="en-AU" w:eastAsia="en-AU"/>
              </w:rPr>
              <w:t>Topsoil: Moderately structured sandy loam: &gt;3 m/day K</w:t>
            </w:r>
            <w:r w:rsidRPr="00D1198B">
              <w:rPr>
                <w:rFonts w:ascii="Tahoma" w:eastAsia="Times New Roman" w:hAnsi="Tahoma" w:cs="Tahoma"/>
                <w:sz w:val="20"/>
                <w:szCs w:val="20"/>
                <w:vertAlign w:val="subscript"/>
                <w:lang w:val="en-AU" w:eastAsia="en-AU"/>
              </w:rPr>
              <w:t>sat</w:t>
            </w:r>
            <w:r w:rsidRPr="00D1198B">
              <w:rPr>
                <w:rFonts w:ascii="Tahoma" w:eastAsia="Times New Roman" w:hAnsi="Tahoma" w:cs="Tahoma"/>
                <w:sz w:val="20"/>
                <w:szCs w:val="20"/>
                <w:lang w:val="en-AU" w:eastAsia="en-AU"/>
              </w:rPr>
              <w:t xml:space="preserve"> (AS/NZS1547:2012); 3.5 mm/day Design Loading Rate (DLR) for irrigation system (Code of Practice 2013).</w:t>
            </w:r>
            <w:bookmarkEnd w:id="351"/>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68CE0395"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52" w:name="_Toc377562606"/>
            <w:r w:rsidRPr="00D1198B">
              <w:rPr>
                <w:rFonts w:ascii="Tahoma" w:eastAsia="Times New Roman" w:hAnsi="Tahoma" w:cs="Tahoma"/>
                <w:sz w:val="20"/>
                <w:szCs w:val="20"/>
                <w:lang w:val="en-AU" w:eastAsia="en-AU"/>
              </w:rPr>
              <w:t>Minor</w:t>
            </w:r>
            <w:bookmarkEnd w:id="352"/>
          </w:p>
        </w:tc>
        <w:tc>
          <w:tcPr>
            <w:tcW w:w="976" w:type="pct"/>
            <w:tcBorders>
              <w:top w:val="single" w:sz="4" w:space="0" w:color="auto"/>
              <w:left w:val="single" w:sz="4" w:space="0" w:color="auto"/>
              <w:bottom w:val="single" w:sz="4" w:space="0" w:color="auto"/>
              <w:right w:val="single" w:sz="4" w:space="0" w:color="auto"/>
            </w:tcBorders>
          </w:tcPr>
          <w:p w14:paraId="426C572D"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53" w:name="_Toc377562607"/>
            <w:r w:rsidRPr="00D1198B">
              <w:rPr>
                <w:rFonts w:ascii="Tahoma" w:eastAsia="Times New Roman" w:hAnsi="Tahoma" w:cs="Tahoma"/>
                <w:sz w:val="20"/>
                <w:szCs w:val="20"/>
                <w:lang w:val="en-AU" w:eastAsia="en-AU"/>
              </w:rPr>
              <w:t>NN</w:t>
            </w:r>
            <w:bookmarkEnd w:id="353"/>
          </w:p>
        </w:tc>
      </w:tr>
      <w:tr w:rsidR="00A16FA0" w:rsidRPr="00D1198B" w14:paraId="69F9A9FF" w14:textId="77777777" w:rsidTr="00FE78D4">
        <w:tc>
          <w:tcPr>
            <w:tcW w:w="991" w:type="pct"/>
            <w:vMerge/>
            <w:tcBorders>
              <w:left w:val="single" w:sz="4" w:space="0" w:color="auto"/>
              <w:right w:val="single" w:sz="4" w:space="0" w:color="auto"/>
            </w:tcBorders>
            <w:shd w:val="clear" w:color="auto" w:fill="auto"/>
          </w:tcPr>
          <w:p w14:paraId="65A04F06"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520475B7"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54" w:name="_Toc377562608"/>
            <w:r w:rsidRPr="00D1198B">
              <w:rPr>
                <w:rFonts w:ascii="Tahoma" w:eastAsia="Times New Roman" w:hAnsi="Tahoma" w:cs="Tahoma"/>
                <w:sz w:val="20"/>
                <w:szCs w:val="20"/>
                <w:lang w:val="en-AU" w:eastAsia="en-AU"/>
              </w:rPr>
              <w:t>Subsoil: Moderately structured light clay: 0.06-0.12 m/day K</w:t>
            </w:r>
            <w:r w:rsidRPr="00D1198B">
              <w:rPr>
                <w:rFonts w:ascii="Tahoma" w:eastAsia="Times New Roman" w:hAnsi="Tahoma" w:cs="Tahoma"/>
                <w:sz w:val="20"/>
                <w:szCs w:val="20"/>
                <w:vertAlign w:val="subscript"/>
                <w:lang w:val="en-AU" w:eastAsia="en-AU"/>
              </w:rPr>
              <w:t>sat</w:t>
            </w:r>
            <w:r w:rsidRPr="00D1198B">
              <w:rPr>
                <w:rFonts w:ascii="Tahoma" w:eastAsia="Times New Roman" w:hAnsi="Tahoma" w:cs="Tahoma"/>
                <w:sz w:val="20"/>
                <w:szCs w:val="20"/>
                <w:lang w:val="en-AU" w:eastAsia="en-AU"/>
              </w:rPr>
              <w:t xml:space="preserve"> (AS/NZS1547); 3 mm/day DLR for irrigation system (Code of Practice 2013).</w:t>
            </w:r>
            <w:bookmarkEnd w:id="354"/>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1024D3D6"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55" w:name="_Toc377562609"/>
            <w:r w:rsidRPr="00D1198B">
              <w:rPr>
                <w:rFonts w:ascii="Tahoma" w:eastAsia="Times New Roman" w:hAnsi="Tahoma" w:cs="Tahoma"/>
                <w:sz w:val="20"/>
                <w:szCs w:val="20"/>
                <w:lang w:val="en-AU" w:eastAsia="en-AU"/>
              </w:rPr>
              <w:t>Moderate</w:t>
            </w:r>
            <w:bookmarkEnd w:id="355"/>
          </w:p>
        </w:tc>
        <w:tc>
          <w:tcPr>
            <w:tcW w:w="976" w:type="pct"/>
            <w:tcBorders>
              <w:top w:val="single" w:sz="4" w:space="0" w:color="auto"/>
              <w:left w:val="single" w:sz="4" w:space="0" w:color="auto"/>
              <w:bottom w:val="single" w:sz="4" w:space="0" w:color="auto"/>
              <w:right w:val="single" w:sz="4" w:space="0" w:color="auto"/>
            </w:tcBorders>
          </w:tcPr>
          <w:p w14:paraId="6FDF70DC"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sz w:val="20"/>
                <w:szCs w:val="20"/>
                <w:lang w:val="en-AU" w:eastAsia="en-AU"/>
              </w:rPr>
            </w:pPr>
            <w:bookmarkStart w:id="356" w:name="_Toc377562610"/>
            <w:r w:rsidRPr="00D1198B">
              <w:rPr>
                <w:rFonts w:ascii="Tahoma" w:eastAsia="Times New Roman" w:hAnsi="Tahoma" w:cs="Tahoma"/>
                <w:sz w:val="20"/>
                <w:szCs w:val="20"/>
                <w:lang w:val="en-AU" w:eastAsia="en-AU"/>
              </w:rPr>
              <w:t>Shallow subsurface irrigation in topsoil recommended</w:t>
            </w:r>
            <w:bookmarkEnd w:id="356"/>
          </w:p>
        </w:tc>
      </w:tr>
      <w:tr w:rsidR="00A16FA0" w:rsidRPr="00D1198B" w14:paraId="48B0A34A" w14:textId="77777777" w:rsidTr="00FE78D4">
        <w:tc>
          <w:tcPr>
            <w:tcW w:w="991" w:type="pct"/>
            <w:vMerge w:val="restart"/>
            <w:tcBorders>
              <w:left w:val="single" w:sz="4" w:space="0" w:color="auto"/>
              <w:right w:val="single" w:sz="4" w:space="0" w:color="auto"/>
            </w:tcBorders>
            <w:shd w:val="clear" w:color="auto" w:fill="auto"/>
          </w:tcPr>
          <w:p w14:paraId="29FB8211"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57" w:name="_Toc377562611"/>
            <w:r w:rsidRPr="00D1198B">
              <w:rPr>
                <w:rFonts w:ascii="Tahoma" w:eastAsia="Times New Roman" w:hAnsi="Tahoma" w:cs="Tahoma"/>
                <w:b/>
                <w:sz w:val="20"/>
                <w:szCs w:val="20"/>
                <w:lang w:val="en-AU" w:eastAsia="en-AU"/>
              </w:rPr>
              <w:t>Soil Texture &amp; Structure</w:t>
            </w:r>
            <w:bookmarkEnd w:id="357"/>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30B98544"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58" w:name="_Toc377562612"/>
            <w:r w:rsidRPr="00D1198B">
              <w:rPr>
                <w:rFonts w:ascii="Tahoma" w:eastAsia="Times New Roman" w:hAnsi="Tahoma" w:cs="Tahoma"/>
                <w:sz w:val="20"/>
                <w:szCs w:val="20"/>
                <w:lang w:val="en-AU" w:eastAsia="en-AU"/>
              </w:rPr>
              <w:t>Topsoil (&lt;400 mm): Moderately structured ﬁne sandy loam (Category 2) to sandy clay loam (Category 4);</w:t>
            </w:r>
            <w:bookmarkEnd w:id="358"/>
            <w:r w:rsidRPr="00D1198B">
              <w:rPr>
                <w:rFonts w:ascii="Tahoma" w:eastAsia="Times New Roman" w:hAnsi="Tahoma" w:cs="Tahoma"/>
                <w:sz w:val="20"/>
                <w:szCs w:val="20"/>
                <w:lang w:val="en-AU" w:eastAsia="en-AU"/>
              </w:rPr>
              <w:t xml:space="preserve"> </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583A594B" w14:textId="77777777" w:rsidR="00A16FA0" w:rsidRPr="00D1198B" w:rsidDel="009C2675"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59" w:name="_Toc377562613"/>
            <w:r w:rsidRPr="00D1198B">
              <w:rPr>
                <w:rFonts w:ascii="Tahoma" w:eastAsia="Times New Roman" w:hAnsi="Tahoma" w:cs="Tahoma"/>
                <w:sz w:val="20"/>
                <w:szCs w:val="20"/>
                <w:lang w:val="en-AU" w:eastAsia="en-AU"/>
              </w:rPr>
              <w:t>Minor</w:t>
            </w:r>
            <w:bookmarkEnd w:id="359"/>
          </w:p>
        </w:tc>
        <w:tc>
          <w:tcPr>
            <w:tcW w:w="976" w:type="pct"/>
            <w:tcBorders>
              <w:top w:val="single" w:sz="4" w:space="0" w:color="auto"/>
              <w:left w:val="single" w:sz="4" w:space="0" w:color="auto"/>
              <w:bottom w:val="single" w:sz="4" w:space="0" w:color="auto"/>
              <w:right w:val="single" w:sz="4" w:space="0" w:color="auto"/>
            </w:tcBorders>
          </w:tcPr>
          <w:p w14:paraId="5180790C"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sz w:val="20"/>
                <w:szCs w:val="20"/>
                <w:lang w:val="en-AU" w:eastAsia="en-AU"/>
              </w:rPr>
            </w:pPr>
            <w:bookmarkStart w:id="360" w:name="_Toc377562614"/>
            <w:r w:rsidRPr="00D1198B">
              <w:rPr>
                <w:rFonts w:ascii="Tahoma" w:eastAsia="Times New Roman" w:hAnsi="Tahoma" w:cs="Tahoma"/>
                <w:sz w:val="20"/>
                <w:szCs w:val="20"/>
                <w:lang w:val="en-AU" w:eastAsia="en-AU"/>
              </w:rPr>
              <w:t>NN</w:t>
            </w:r>
            <w:bookmarkEnd w:id="360"/>
          </w:p>
        </w:tc>
      </w:tr>
      <w:tr w:rsidR="00A16FA0" w:rsidRPr="00D1198B" w14:paraId="55A35130" w14:textId="77777777" w:rsidTr="00FE78D4">
        <w:tc>
          <w:tcPr>
            <w:tcW w:w="991" w:type="pct"/>
            <w:vMerge/>
            <w:tcBorders>
              <w:left w:val="single" w:sz="4" w:space="0" w:color="auto"/>
              <w:bottom w:val="single" w:sz="4" w:space="0" w:color="auto"/>
              <w:right w:val="single" w:sz="4" w:space="0" w:color="auto"/>
            </w:tcBorders>
            <w:shd w:val="clear" w:color="auto" w:fill="auto"/>
          </w:tcPr>
          <w:p w14:paraId="3B75373C"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1AD4BB1C"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61" w:name="_Toc377562615"/>
            <w:r w:rsidRPr="00D1198B">
              <w:rPr>
                <w:rFonts w:ascii="Tahoma" w:eastAsia="Times New Roman" w:hAnsi="Tahoma" w:cs="Tahoma"/>
                <w:sz w:val="20"/>
                <w:szCs w:val="20"/>
                <w:lang w:val="en-AU" w:eastAsia="en-AU"/>
              </w:rPr>
              <w:t>Subsoil (&gt;400 mm): Moderately structured light clay (Category 5), in accordance with AS/NZS1547:2012.</w:t>
            </w:r>
            <w:bookmarkEnd w:id="361"/>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6E1AF17E" w14:textId="77777777" w:rsidR="00A16FA0" w:rsidRPr="00D1198B" w:rsidDel="009C2675"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62" w:name="_Toc377562616"/>
            <w:r w:rsidRPr="00D1198B">
              <w:rPr>
                <w:rFonts w:ascii="Tahoma" w:eastAsia="Times New Roman" w:hAnsi="Tahoma" w:cs="Tahoma"/>
                <w:sz w:val="20"/>
                <w:szCs w:val="20"/>
                <w:lang w:val="en-AU" w:eastAsia="en-AU"/>
              </w:rPr>
              <w:t>Moderate</w:t>
            </w:r>
            <w:bookmarkEnd w:id="362"/>
          </w:p>
        </w:tc>
        <w:tc>
          <w:tcPr>
            <w:tcW w:w="976" w:type="pct"/>
            <w:tcBorders>
              <w:top w:val="single" w:sz="4" w:space="0" w:color="auto"/>
              <w:left w:val="single" w:sz="4" w:space="0" w:color="auto"/>
              <w:bottom w:val="single" w:sz="4" w:space="0" w:color="auto"/>
              <w:right w:val="single" w:sz="4" w:space="0" w:color="auto"/>
            </w:tcBorders>
          </w:tcPr>
          <w:p w14:paraId="1AAF6430"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sz w:val="20"/>
                <w:szCs w:val="20"/>
                <w:lang w:val="en-AU" w:eastAsia="en-AU"/>
              </w:rPr>
            </w:pPr>
            <w:bookmarkStart w:id="363" w:name="_Toc377562617"/>
            <w:r w:rsidRPr="00D1198B">
              <w:rPr>
                <w:rFonts w:ascii="Tahoma" w:eastAsia="Times New Roman" w:hAnsi="Tahoma" w:cs="Tahoma"/>
                <w:sz w:val="20"/>
                <w:szCs w:val="20"/>
                <w:lang w:val="en-AU" w:eastAsia="en-AU"/>
              </w:rPr>
              <w:t>Shallow subsurface irrigation in topsoil recommended</w:t>
            </w:r>
            <w:bookmarkEnd w:id="363"/>
          </w:p>
        </w:tc>
      </w:tr>
      <w:tr w:rsidR="00A16FA0" w:rsidRPr="00D1198B" w14:paraId="7A233957" w14:textId="77777777" w:rsidTr="00FE78D4">
        <w:tc>
          <w:tcPr>
            <w:tcW w:w="991" w:type="pct"/>
            <w:tcBorders>
              <w:top w:val="single" w:sz="4" w:space="0" w:color="auto"/>
              <w:left w:val="single" w:sz="4" w:space="0" w:color="auto"/>
              <w:bottom w:val="single" w:sz="4" w:space="0" w:color="auto"/>
              <w:right w:val="single" w:sz="4" w:space="0" w:color="auto"/>
            </w:tcBorders>
            <w:shd w:val="clear" w:color="auto" w:fill="auto"/>
          </w:tcPr>
          <w:p w14:paraId="756E90C6"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64" w:name="_Toc377562618"/>
            <w:r w:rsidRPr="00D1198B">
              <w:rPr>
                <w:rFonts w:ascii="Tahoma" w:eastAsia="Times New Roman" w:hAnsi="Tahoma" w:cs="Tahoma"/>
                <w:b/>
                <w:sz w:val="20"/>
                <w:szCs w:val="20"/>
                <w:lang w:val="en-AU" w:eastAsia="en-AU"/>
              </w:rPr>
              <w:t>Watertable</w:t>
            </w:r>
            <w:bookmarkEnd w:id="364"/>
          </w:p>
          <w:p w14:paraId="2DB5032D" w14:textId="77777777" w:rsidR="00A16FA0" w:rsidRPr="00D1198B" w:rsidRDefault="00A16FA0" w:rsidP="00FE78D4">
            <w:pPr>
              <w:widowControl w:val="0"/>
              <w:autoSpaceDE w:val="0"/>
              <w:autoSpaceDN w:val="0"/>
              <w:adjustRightInd w:val="0"/>
              <w:spacing w:before="60" w:after="60" w:line="240" w:lineRule="auto"/>
              <w:outlineLvl w:val="0"/>
              <w:rPr>
                <w:rFonts w:ascii="Tahoma" w:eastAsia="Times New Roman" w:hAnsi="Tahoma" w:cs="Tahoma"/>
                <w:b/>
                <w:sz w:val="20"/>
                <w:szCs w:val="20"/>
                <w:lang w:val="en-AU" w:eastAsia="en-AU"/>
              </w:rPr>
            </w:pPr>
            <w:bookmarkStart w:id="365" w:name="_Toc377562619"/>
            <w:r w:rsidRPr="00D1198B">
              <w:rPr>
                <w:rFonts w:ascii="Tahoma" w:eastAsia="Times New Roman" w:hAnsi="Tahoma" w:cs="Tahoma"/>
                <w:b/>
                <w:sz w:val="20"/>
                <w:szCs w:val="20"/>
                <w:lang w:val="en-AU" w:eastAsia="en-AU"/>
              </w:rPr>
              <w:t>Depth</w:t>
            </w:r>
            <w:bookmarkEnd w:id="365"/>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1447A9F2"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66" w:name="_Toc377562620"/>
            <w:r w:rsidRPr="00D1198B">
              <w:rPr>
                <w:rFonts w:ascii="Tahoma" w:eastAsia="Times New Roman" w:hAnsi="Tahoma" w:cs="Tahoma"/>
                <w:sz w:val="20"/>
                <w:szCs w:val="20"/>
                <w:lang w:val="en-AU" w:eastAsia="en-AU"/>
              </w:rPr>
              <w:t>Groundwater not encountered, pit terminated at 1.5 m.</w:t>
            </w:r>
            <w:bookmarkEnd w:id="366"/>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1C4F5F2A"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lang w:val="en-AU" w:eastAsia="en-AU"/>
              </w:rPr>
            </w:pPr>
            <w:bookmarkStart w:id="367" w:name="_Toc377562621"/>
            <w:r w:rsidRPr="00D1198B">
              <w:rPr>
                <w:rFonts w:ascii="Tahoma" w:eastAsia="Times New Roman" w:hAnsi="Tahoma" w:cs="Tahoma"/>
                <w:sz w:val="20"/>
                <w:szCs w:val="20"/>
                <w:lang w:val="en-AU" w:eastAsia="en-AU"/>
              </w:rPr>
              <w:t>Moderate</w:t>
            </w:r>
            <w:bookmarkEnd w:id="367"/>
          </w:p>
        </w:tc>
        <w:tc>
          <w:tcPr>
            <w:tcW w:w="976" w:type="pct"/>
            <w:tcBorders>
              <w:top w:val="single" w:sz="4" w:space="0" w:color="auto"/>
              <w:left w:val="single" w:sz="4" w:space="0" w:color="auto"/>
              <w:bottom w:val="single" w:sz="4" w:space="0" w:color="auto"/>
              <w:right w:val="single" w:sz="4" w:space="0" w:color="auto"/>
            </w:tcBorders>
          </w:tcPr>
          <w:p w14:paraId="2C029537" w14:textId="77777777" w:rsidR="00A16FA0" w:rsidRPr="00D1198B" w:rsidRDefault="00A16FA0" w:rsidP="00FE78D4">
            <w:pPr>
              <w:widowControl w:val="0"/>
              <w:autoSpaceDE w:val="0"/>
              <w:autoSpaceDN w:val="0"/>
              <w:adjustRightInd w:val="0"/>
              <w:spacing w:before="60" w:after="60" w:line="240" w:lineRule="auto"/>
              <w:jc w:val="both"/>
              <w:outlineLvl w:val="0"/>
              <w:rPr>
                <w:rFonts w:ascii="Tahoma" w:eastAsia="Times New Roman" w:hAnsi="Tahoma" w:cs="Tahoma"/>
                <w:sz w:val="20"/>
                <w:szCs w:val="20"/>
                <w:highlight w:val="yellow"/>
                <w:lang w:val="en-AU" w:eastAsia="en-AU"/>
              </w:rPr>
            </w:pPr>
            <w:bookmarkStart w:id="368" w:name="_Toc377562622"/>
            <w:r w:rsidRPr="00D1198B">
              <w:rPr>
                <w:rFonts w:ascii="Tahoma" w:eastAsia="Times New Roman" w:hAnsi="Tahoma" w:cs="Tahoma"/>
                <w:sz w:val="20"/>
                <w:szCs w:val="20"/>
                <w:lang w:val="en-AU" w:eastAsia="en-AU"/>
              </w:rPr>
              <w:t>Shallow subsurface irrigation recommended</w:t>
            </w:r>
            <w:bookmarkEnd w:id="368"/>
          </w:p>
        </w:tc>
      </w:tr>
    </w:tbl>
    <w:p w14:paraId="345BC10F" w14:textId="77777777" w:rsidR="00A16FA0" w:rsidRPr="00D1198B" w:rsidRDefault="00A16FA0" w:rsidP="00A16FA0">
      <w:pPr>
        <w:spacing w:after="0" w:line="240" w:lineRule="auto"/>
        <w:jc w:val="both"/>
        <w:rPr>
          <w:rFonts w:ascii="Tahoma" w:eastAsia="Times New Roman" w:hAnsi="Tahoma" w:cs="Tahoma"/>
          <w:b/>
          <w:noProof/>
          <w:sz w:val="20"/>
          <w:szCs w:val="20"/>
          <w:lang w:val="en-AU" w:eastAsia="en-AU"/>
        </w:rPr>
      </w:pPr>
    </w:p>
    <w:p w14:paraId="3F0A1911"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sz w:val="20"/>
          <w:szCs w:val="20"/>
          <w:lang w:val="en-AU" w:eastAsia="en-AU"/>
        </w:rPr>
        <w:t>Sodicity, Cation Exchange Capacity and Sodium Absorption Ratio were not tested for the Black Dermosol in TP2 as the effluent management system will not be located in this area.</w:t>
      </w:r>
    </w:p>
    <w:p w14:paraId="017078FF"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52DE7D9E"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lastRenderedPageBreak/>
        <w:t>For the soil in the proposed land application area (the Brown Sodosol of TP1), a number of features present moderate or major constraints, but in each case a mitigation measure is presented to address the specific constraint in such a way as to present an acceptable wastewater management solution.</w:t>
      </w:r>
    </w:p>
    <w:p w14:paraId="3C85EBF8"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p>
    <w:p w14:paraId="78BA58AA" w14:textId="77777777" w:rsidR="00A16FA0" w:rsidRPr="00D1198B" w:rsidRDefault="00A16FA0" w:rsidP="00A16FA0">
      <w:pPr>
        <w:spacing w:after="0" w:line="240" w:lineRule="auto"/>
        <w:jc w:val="both"/>
        <w:rPr>
          <w:rFonts w:ascii="Tahoma" w:eastAsia="Times New Roman" w:hAnsi="Tahoma" w:cs="Tahoma"/>
          <w:b/>
          <w:noProof/>
          <w:sz w:val="20"/>
          <w:szCs w:val="20"/>
          <w:lang w:val="en-AU" w:eastAsia="en-AU"/>
        </w:rPr>
      </w:pPr>
      <w:r w:rsidRPr="00D1198B">
        <w:rPr>
          <w:rFonts w:ascii="Tahoma" w:eastAsia="Times New Roman" w:hAnsi="Tahoma" w:cs="Tahoma"/>
          <w:b/>
          <w:noProof/>
          <w:sz w:val="20"/>
          <w:szCs w:val="20"/>
          <w:lang w:val="en-AU" w:eastAsia="en-AU"/>
        </w:rPr>
        <w:t>OVERALL LAND CAPABILITY RATING</w:t>
      </w:r>
    </w:p>
    <w:p w14:paraId="1FE86E37" w14:textId="77777777" w:rsidR="00A16FA0" w:rsidRPr="00D1198B" w:rsidRDefault="00A16FA0" w:rsidP="00A16FA0">
      <w:pPr>
        <w:spacing w:after="0" w:line="240" w:lineRule="auto"/>
        <w:jc w:val="both"/>
        <w:rPr>
          <w:rFonts w:ascii="Tahoma" w:eastAsia="Times New Roman" w:hAnsi="Tahoma" w:cs="Tahoma"/>
          <w:noProof/>
          <w:sz w:val="20"/>
          <w:szCs w:val="20"/>
          <w:lang w:val="en-AU" w:eastAsia="en-AU"/>
        </w:rPr>
      </w:pPr>
      <w:r w:rsidRPr="00D1198B">
        <w:rPr>
          <w:rFonts w:ascii="Tahoma" w:eastAsia="Times New Roman" w:hAnsi="Tahoma" w:cs="Tahoma"/>
          <w:noProof/>
          <w:sz w:val="20"/>
          <w:szCs w:val="20"/>
          <w:lang w:val="en-AU" w:eastAsia="en-AU"/>
        </w:rPr>
        <w:t>Based on the results of the site and soil assessment tabled above and provided in the Appendices, the overall land capability of the proposed effluent management area is constrained. However, the effluent management system will be designed, installed and maintained in ways which will mitigate these factors.</w:t>
      </w:r>
    </w:p>
    <w:p w14:paraId="32D90295" w14:textId="77777777" w:rsidR="00A16FA0" w:rsidRPr="00D1198B" w:rsidRDefault="00A16FA0" w:rsidP="00A16FA0">
      <w:pPr>
        <w:spacing w:after="0" w:line="240" w:lineRule="auto"/>
        <w:jc w:val="both"/>
        <w:outlineLvl w:val="0"/>
        <w:rPr>
          <w:rFonts w:ascii="Tahoma" w:eastAsia="Times New Roman" w:hAnsi="Tahoma" w:cs="Tahoma"/>
          <w:b/>
          <w:noProof/>
          <w:sz w:val="28"/>
          <w:szCs w:val="28"/>
          <w:lang w:val="en-AU" w:eastAsia="en-AU"/>
        </w:rPr>
      </w:pPr>
      <w:r w:rsidRPr="00D1198B">
        <w:rPr>
          <w:rFonts w:ascii="Tahoma" w:eastAsia="Times New Roman" w:hAnsi="Tahoma" w:cs="Tahoma"/>
          <w:b/>
          <w:noProof/>
          <w:sz w:val="28"/>
          <w:szCs w:val="28"/>
          <w:lang w:val="en-AU" w:eastAsia="en-AU"/>
        </w:rPr>
        <w:br w:type="page"/>
      </w:r>
      <w:bookmarkStart w:id="369" w:name="_Toc377562623"/>
      <w:r w:rsidRPr="00D1198B">
        <w:rPr>
          <w:rFonts w:ascii="Tahoma" w:eastAsia="Times New Roman" w:hAnsi="Tahoma" w:cs="Tahoma"/>
          <w:b/>
          <w:noProof/>
          <w:sz w:val="28"/>
          <w:szCs w:val="28"/>
          <w:lang w:val="en-AU" w:eastAsia="en-AU"/>
        </w:rPr>
        <w:lastRenderedPageBreak/>
        <w:t>4  Wastewater Management System</w:t>
      </w:r>
      <w:bookmarkEnd w:id="369"/>
    </w:p>
    <w:p w14:paraId="4A44D65C"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The following sections provide an overview of a suitable onsite wastewater management system, with sizing and design considerations and justiﬁcation for its selection. Detailed design for the system should be undertaken at the time of the building application and submitted to Council.</w:t>
      </w:r>
    </w:p>
    <w:p w14:paraId="4DE06528"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3495924A" w14:textId="77777777" w:rsidR="00A16FA0" w:rsidRPr="00D1198B" w:rsidRDefault="00A16FA0" w:rsidP="00A16FA0">
      <w:pPr>
        <w:spacing w:after="0" w:line="240" w:lineRule="auto"/>
        <w:jc w:val="both"/>
        <w:rPr>
          <w:rFonts w:ascii="Tahoma" w:eastAsia="Times New Roman" w:hAnsi="Tahoma" w:cs="Tahoma"/>
          <w:b/>
          <w:sz w:val="20"/>
          <w:szCs w:val="20"/>
          <w:lang w:val="en-AU" w:eastAsia="en-AU"/>
        </w:rPr>
      </w:pPr>
      <w:r w:rsidRPr="00D1198B">
        <w:rPr>
          <w:rFonts w:ascii="Tahoma" w:eastAsia="Times New Roman" w:hAnsi="Tahoma" w:cs="Tahoma"/>
          <w:b/>
          <w:sz w:val="20"/>
          <w:szCs w:val="20"/>
          <w:lang w:val="en-AU" w:eastAsia="en-AU"/>
        </w:rPr>
        <w:t>TREATMENT SYSTEM</w:t>
      </w:r>
    </w:p>
    <w:p w14:paraId="6919E3CB"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The secondary effluent quality required is:</w:t>
      </w:r>
    </w:p>
    <w:p w14:paraId="2144C474" w14:textId="77777777" w:rsidR="00A16FA0" w:rsidRPr="00D1198B" w:rsidRDefault="00A16FA0" w:rsidP="00A16FA0">
      <w:pPr>
        <w:numPr>
          <w:ilvl w:val="0"/>
          <w:numId w:val="22"/>
        </w:numPr>
        <w:spacing w:before="120" w:after="0" w:line="240" w:lineRule="auto"/>
        <w:ind w:left="714" w:hanging="357"/>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BOD &lt; 20 mg/L;</w:t>
      </w:r>
    </w:p>
    <w:p w14:paraId="66316A95" w14:textId="77777777" w:rsidR="00A16FA0" w:rsidRPr="00D1198B" w:rsidRDefault="00A16FA0" w:rsidP="00A16FA0">
      <w:pPr>
        <w:numPr>
          <w:ilvl w:val="0"/>
          <w:numId w:val="22"/>
        </w:numPr>
        <w:spacing w:before="120" w:after="0" w:line="240" w:lineRule="auto"/>
        <w:ind w:left="714" w:hanging="357"/>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SS &lt; 30 mg/L;</w:t>
      </w:r>
    </w:p>
    <w:p w14:paraId="10D2CB2C"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01C8FFD3"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 xml:space="preserve">Refer to the EPA website for the list of approved options that are available </w:t>
      </w:r>
      <w:hyperlink r:id="rId29" w:history="1">
        <w:r w:rsidRPr="00D1198B">
          <w:rPr>
            <w:rFonts w:ascii="Tahoma" w:eastAsia="Times New Roman" w:hAnsi="Tahoma" w:cs="Tahoma"/>
            <w:color w:val="0000FF"/>
            <w:sz w:val="20"/>
            <w:szCs w:val="20"/>
            <w:u w:val="single"/>
            <w:lang w:val="en-AU" w:eastAsia="en-AU"/>
          </w:rPr>
          <w:t>http://www.epa.vic.gov.au/en/your-environment/water/onsite-wastewater</w:t>
        </w:r>
      </w:hyperlink>
      <w:r w:rsidRPr="00D1198B">
        <w:rPr>
          <w:rFonts w:ascii="Tahoma" w:eastAsia="Times New Roman" w:hAnsi="Tahoma" w:cs="Tahoma"/>
          <w:sz w:val="20"/>
          <w:szCs w:val="20"/>
          <w:lang w:val="en-AU" w:eastAsia="en-AU"/>
        </w:rPr>
        <w:t>. Any of the secondary treatment system options are capable of achieving the desired level of performance. The property owner has the responsibility for the final selection of the secondary treatment system and will include the details of it in the Septic Tank Permit to Install application form for Council approval.</w:t>
      </w:r>
    </w:p>
    <w:p w14:paraId="170AF4E8"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1A62250E" w14:textId="77777777" w:rsidR="00A16FA0" w:rsidRPr="00D1198B" w:rsidRDefault="00A16FA0" w:rsidP="00A16FA0">
      <w:pPr>
        <w:spacing w:after="0" w:line="240" w:lineRule="auto"/>
        <w:jc w:val="both"/>
        <w:rPr>
          <w:rFonts w:ascii="Tahoma" w:eastAsia="Times New Roman" w:hAnsi="Tahoma" w:cs="Tahoma"/>
          <w:b/>
          <w:sz w:val="20"/>
          <w:szCs w:val="20"/>
          <w:lang w:val="en-AU" w:eastAsia="en-AU"/>
        </w:rPr>
      </w:pPr>
      <w:r w:rsidRPr="00D1198B">
        <w:rPr>
          <w:rFonts w:ascii="Tahoma" w:eastAsia="Times New Roman" w:hAnsi="Tahoma" w:cs="Tahoma"/>
          <w:b/>
          <w:sz w:val="20"/>
          <w:szCs w:val="20"/>
          <w:lang w:val="en-AU" w:eastAsia="en-AU"/>
        </w:rPr>
        <w:t>EFFLUENT MANAGEMENT SYSTEM</w:t>
      </w:r>
    </w:p>
    <w:p w14:paraId="42343A1D"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A range of possible land application systems have been considered, such as absorption trenches, evapotranspiration/absorption (ETA) beds, subsurface irrigation and mounds. The preferred system is pressure compensating subsurface irrigation. Subsurface irrigation will provide even and widespread dispersal of the treated efﬂuent within the root-zone of plants. This system will provide beneﬁcial reuse of effluent, which is desirable given that the site is not serviced by town water. It will also ensure that the risk of efﬂuent being transported off-site will be negligible.</w:t>
      </w:r>
    </w:p>
    <w:p w14:paraId="68A654EE"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50152BF7" w14:textId="77777777" w:rsidR="00A16FA0" w:rsidRPr="00D1198B" w:rsidRDefault="00A16FA0" w:rsidP="00A16FA0">
      <w:pPr>
        <w:spacing w:after="0" w:line="240" w:lineRule="auto"/>
        <w:jc w:val="both"/>
        <w:rPr>
          <w:rFonts w:ascii="Tahoma" w:eastAsia="Times New Roman" w:hAnsi="Tahoma" w:cs="Tahoma"/>
          <w:b/>
          <w:i/>
          <w:sz w:val="20"/>
          <w:szCs w:val="20"/>
          <w:lang w:val="en-AU" w:eastAsia="en-AU"/>
        </w:rPr>
      </w:pPr>
      <w:r w:rsidRPr="00D1198B">
        <w:rPr>
          <w:rFonts w:ascii="Tahoma" w:eastAsia="Times New Roman" w:hAnsi="Tahoma" w:cs="Tahoma"/>
          <w:b/>
          <w:i/>
          <w:sz w:val="20"/>
          <w:szCs w:val="20"/>
          <w:lang w:val="en-AU" w:eastAsia="en-AU"/>
        </w:rPr>
        <w:t>Description of the Irrigation System</w:t>
      </w:r>
    </w:p>
    <w:p w14:paraId="57448616"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A detailed irrigation system design is beyond the scope of this report, however a general description of subsurface irrigation is provided here for the information of the client and Council.</w:t>
      </w:r>
    </w:p>
    <w:p w14:paraId="7AD8CE49"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6A6EAD9E"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Subsurface irrigation comprises a network of drip-irrigation lines that is specially designed for use with wastewater. The pipe contains pressure compensating emitters (drippers) that employ a biocide to prevent build-up of slimes and inhibit root penetration. The lateral pipes are usually 0.6 to 1.0 m apart, installed parallel along the contour. Installation depth is 100-150 mm in accordance with AS/NZS 1547:2012. It is critical that the irrigation pump be sized properly to ensure adequate pressure and delivery rate to the irrigation network.</w:t>
      </w:r>
    </w:p>
    <w:p w14:paraId="33078434"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426797C1"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A ﬁlter is installed in the main line to remove ﬁne particulates that could block the emitters. This must be cleaned regularly (typically monthly) following manufacturer’s instructions. Vacuum breakers should be installed at the high point/s in the system to prevent air and soil being sucked back into the drippers when the pump shuts off. Flushing valves are an important component and allow periodic ﬂushing of the lines, which should be done at six monthly intervals. Flush water can be either returned to the treatment system, or should be released to a small dedicated gravel-based trench.</w:t>
      </w:r>
    </w:p>
    <w:p w14:paraId="1B35B14A"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75DF261E"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All trenching used to install the pipes must be backﬁlled properly to prevent preferential subsurface ﬂows along trench lines. Irrigation areas must not be subject to high foot trafﬁc movement, and vehicles and livestock must not have access to the area otherwise compaction around emitters can lead to premature system failure.</w:t>
      </w:r>
    </w:p>
    <w:p w14:paraId="0CC63C9F"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2C104CA5" w14:textId="77777777" w:rsidR="00A16FA0" w:rsidRPr="00D1198B" w:rsidRDefault="00A16FA0" w:rsidP="00A16FA0">
      <w:pPr>
        <w:spacing w:after="0" w:line="240" w:lineRule="auto"/>
        <w:jc w:val="both"/>
        <w:rPr>
          <w:rFonts w:ascii="Tahoma" w:eastAsia="Times New Roman" w:hAnsi="Tahoma" w:cs="Tahoma"/>
          <w:b/>
          <w:i/>
          <w:sz w:val="20"/>
          <w:szCs w:val="20"/>
          <w:lang w:val="en-AU" w:eastAsia="en-AU"/>
        </w:rPr>
      </w:pPr>
      <w:r w:rsidRPr="00D1198B">
        <w:rPr>
          <w:rFonts w:ascii="Tahoma" w:eastAsia="Times New Roman" w:hAnsi="Tahoma" w:cs="Tahoma"/>
          <w:b/>
          <w:i/>
          <w:sz w:val="20"/>
          <w:szCs w:val="20"/>
          <w:lang w:val="en-AU" w:eastAsia="en-AU"/>
        </w:rPr>
        <w:t>Sizing the Irrigation System</w:t>
      </w:r>
    </w:p>
    <w:p w14:paraId="08592837"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To determine the necessary size of the irrigation area water balance modelling has been undertaken using the method and water balance tool in the Victorian Land Capability Assessment Framework (2013) and the EPA Code (2013). The results show that the required irrigation area is 267 m². The calculations are summarised below, with full details provided in Appendix B.</w:t>
      </w:r>
    </w:p>
    <w:p w14:paraId="5F688A63"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4891F1F3"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The water balance can be expressed by the following equation:</w:t>
      </w:r>
    </w:p>
    <w:p w14:paraId="21FBC607"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52E8D0B6" w14:textId="77777777" w:rsidR="00A16FA0" w:rsidRPr="00D1198B" w:rsidRDefault="00A16FA0" w:rsidP="00A16FA0">
      <w:pPr>
        <w:spacing w:after="0" w:line="240" w:lineRule="auto"/>
        <w:jc w:val="center"/>
        <w:rPr>
          <w:rFonts w:ascii="Tahoma" w:eastAsia="Times New Roman" w:hAnsi="Tahoma" w:cs="Tahoma"/>
          <w:b/>
          <w:sz w:val="20"/>
          <w:szCs w:val="20"/>
          <w:lang w:val="en-AU" w:eastAsia="en-AU"/>
        </w:rPr>
      </w:pPr>
      <w:r w:rsidRPr="00D1198B">
        <w:rPr>
          <w:rFonts w:ascii="Tahoma" w:eastAsia="Times New Roman" w:hAnsi="Tahoma" w:cs="Tahoma"/>
          <w:b/>
          <w:sz w:val="20"/>
          <w:szCs w:val="20"/>
          <w:lang w:val="en-AU" w:eastAsia="en-AU"/>
        </w:rPr>
        <w:t>Precipitation + Effluent Applied = Evapotranspiration + Percolation</w:t>
      </w:r>
    </w:p>
    <w:p w14:paraId="489BAB9C"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Data used in the water balance includes:</w:t>
      </w:r>
    </w:p>
    <w:p w14:paraId="1713632E" w14:textId="77777777" w:rsidR="00A16FA0" w:rsidRPr="00D1198B" w:rsidRDefault="00A16FA0" w:rsidP="00A16FA0">
      <w:pPr>
        <w:numPr>
          <w:ilvl w:val="0"/>
          <w:numId w:val="23"/>
        </w:num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Mean monthly rainfall and mean monthly pan evaporation (East Sale Airport);</w:t>
      </w:r>
    </w:p>
    <w:p w14:paraId="5DD09794" w14:textId="77777777" w:rsidR="00A16FA0" w:rsidRPr="00D1198B" w:rsidRDefault="00A16FA0" w:rsidP="00A16FA0">
      <w:pPr>
        <w:numPr>
          <w:ilvl w:val="0"/>
          <w:numId w:val="23"/>
        </w:num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Average daily efﬂuent load – 750 L (from Table 4 of the Code);</w:t>
      </w:r>
    </w:p>
    <w:p w14:paraId="2653E7A0" w14:textId="77777777" w:rsidR="00A16FA0" w:rsidRPr="00D1198B" w:rsidRDefault="00A16FA0" w:rsidP="00A16FA0">
      <w:pPr>
        <w:numPr>
          <w:ilvl w:val="0"/>
          <w:numId w:val="23"/>
        </w:num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Design irrigation rate (DIR) – 3.5 mm/day (from Table 3 of the Code);</w:t>
      </w:r>
    </w:p>
    <w:p w14:paraId="7BE9BD50" w14:textId="77777777" w:rsidR="00A16FA0" w:rsidRPr="00D1198B" w:rsidRDefault="00A16FA0" w:rsidP="00A16FA0">
      <w:pPr>
        <w:numPr>
          <w:ilvl w:val="0"/>
          <w:numId w:val="23"/>
        </w:num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Crop factor – 0.6 to 0.8; and</w:t>
      </w:r>
    </w:p>
    <w:p w14:paraId="51109E3F" w14:textId="77777777" w:rsidR="00A16FA0" w:rsidRPr="00D1198B" w:rsidRDefault="00A16FA0" w:rsidP="00A16FA0">
      <w:pPr>
        <w:numPr>
          <w:ilvl w:val="0"/>
          <w:numId w:val="23"/>
        </w:num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Retained rainfall – 100% (gently sloping site of approximately 5% gradient).</w:t>
      </w:r>
    </w:p>
    <w:p w14:paraId="0593BE37"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0FF509F7"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The nominated area method is used to calculate the area required to balance all inputs and outputs to the water balance. As a result of these calculations at least 267 m</w:t>
      </w:r>
      <w:r w:rsidRPr="00D1198B">
        <w:rPr>
          <w:rFonts w:ascii="Tahoma" w:eastAsia="Times New Roman" w:hAnsi="Tahoma" w:cs="Tahoma"/>
          <w:sz w:val="20"/>
          <w:szCs w:val="20"/>
          <w:vertAlign w:val="superscript"/>
          <w:lang w:val="en-AU" w:eastAsia="en-AU"/>
        </w:rPr>
        <w:t>2</w:t>
      </w:r>
      <w:r w:rsidRPr="00D1198B">
        <w:rPr>
          <w:rFonts w:ascii="Tahoma" w:eastAsia="Times New Roman" w:hAnsi="Tahoma" w:cs="Tahoma"/>
          <w:sz w:val="20"/>
          <w:szCs w:val="20"/>
          <w:lang w:val="en-AU" w:eastAsia="en-AU"/>
        </w:rPr>
        <w:t xml:space="preserve"> of land application area is required.</w:t>
      </w:r>
    </w:p>
    <w:p w14:paraId="468C153B"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071763BC" w14:textId="77777777" w:rsidR="00A16FA0" w:rsidRPr="00D1198B" w:rsidRDefault="00A16FA0" w:rsidP="00A16FA0">
      <w:pPr>
        <w:spacing w:after="0" w:line="240" w:lineRule="auto"/>
        <w:jc w:val="both"/>
        <w:rPr>
          <w:rFonts w:ascii="Tahoma" w:eastAsia="Times New Roman" w:hAnsi="Tahoma" w:cs="Tahoma"/>
          <w:i/>
          <w:sz w:val="20"/>
          <w:szCs w:val="20"/>
          <w:lang w:val="en-AU" w:eastAsia="en-AU"/>
        </w:rPr>
      </w:pPr>
      <w:r w:rsidRPr="00D1198B">
        <w:rPr>
          <w:rFonts w:ascii="Tahoma" w:eastAsia="Times New Roman" w:hAnsi="Tahoma" w:cs="Tahoma"/>
          <w:b/>
          <w:bCs/>
          <w:i/>
          <w:sz w:val="20"/>
          <w:szCs w:val="20"/>
          <w:lang w:val="en-AU" w:eastAsia="en-AU"/>
        </w:rPr>
        <w:t>Siting and Conﬁguration of the Irrigation System</w:t>
      </w:r>
    </w:p>
    <w:p w14:paraId="2759DAF8"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It is preferable to keep the irrigation area as high on the property as possible and a maximum distance from the two intermittent waterways. The preferred area is towards the eastern boundary. Figure 2 shows an envelope of land that is suitable for effluent management, although this envelope is much larger than the minimum required. Final placement and configuration of the irrigation system will be determined by the client and/or system installer, provided it remains within this envelope. Figure 2 shows the minimum area required according to the water balance approximately to scale.</w:t>
      </w:r>
    </w:p>
    <w:p w14:paraId="3D32345C"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4A0F8636"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Whilst there is ample area for application of the efﬂuent, it is important that appropriate buffer distances to the waterways be maintained. It is important to note that buffers are measured as the overland ﬂow path for run-off water from the efﬂuent irrigation area. Figure 2 shows the contours and ﬂow path directions on the property.</w:t>
      </w:r>
    </w:p>
    <w:p w14:paraId="509CA8D2"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25056D03"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It is recommended that the owner consult an irrigation expert familiar with effluent irrigation equipment to design the system, and an appropriately registered plumbing/drainage practitioner to install the system. The irrigation plan must ensure even application of effluent throughout the entire irrigation area.</w:t>
      </w:r>
    </w:p>
    <w:p w14:paraId="5C33D512"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4B81EA3B" w14:textId="77777777" w:rsidR="00A16FA0" w:rsidRPr="00D1198B" w:rsidRDefault="00A16FA0" w:rsidP="00A16FA0">
      <w:pPr>
        <w:spacing w:after="0" w:line="240" w:lineRule="auto"/>
        <w:jc w:val="both"/>
        <w:rPr>
          <w:rFonts w:ascii="Tahoma" w:eastAsia="Times New Roman" w:hAnsi="Tahoma" w:cs="Tahoma"/>
          <w:b/>
          <w:i/>
          <w:sz w:val="20"/>
          <w:szCs w:val="20"/>
          <w:lang w:val="en-AU" w:eastAsia="en-AU"/>
        </w:rPr>
      </w:pPr>
      <w:r w:rsidRPr="00D1198B">
        <w:rPr>
          <w:rFonts w:ascii="Tahoma" w:eastAsia="Times New Roman" w:hAnsi="Tahoma" w:cs="Tahoma"/>
          <w:b/>
          <w:i/>
          <w:sz w:val="20"/>
          <w:szCs w:val="20"/>
          <w:lang w:val="en-AU" w:eastAsia="en-AU"/>
        </w:rPr>
        <w:t>Buffer Distances</w:t>
      </w:r>
    </w:p>
    <w:p w14:paraId="5203B957"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Setback buffer distances from effluent land application areas and treatment systems are required to help prevent human contact, maintain public amenity and protect sensitive environments. The relevant buffer distances for this site, taken from Table 5 of the Code (2013) are:</w:t>
      </w:r>
    </w:p>
    <w:p w14:paraId="73EA2BA0" w14:textId="77777777" w:rsidR="00A16FA0" w:rsidRPr="00D1198B" w:rsidRDefault="00A16FA0" w:rsidP="00A16FA0">
      <w:pPr>
        <w:numPr>
          <w:ilvl w:val="0"/>
          <w:numId w:val="24"/>
        </w:numPr>
        <w:spacing w:before="120" w:after="0" w:line="240" w:lineRule="auto"/>
        <w:ind w:left="714" w:hanging="357"/>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50 metres from groundwater bores in sandy soils;</w:t>
      </w:r>
    </w:p>
    <w:p w14:paraId="79987DFA" w14:textId="77777777" w:rsidR="00A16FA0" w:rsidRPr="00D1198B" w:rsidRDefault="00A16FA0" w:rsidP="00A16FA0">
      <w:pPr>
        <w:numPr>
          <w:ilvl w:val="0"/>
          <w:numId w:val="24"/>
        </w:numPr>
        <w:spacing w:before="120" w:after="0" w:line="240" w:lineRule="auto"/>
        <w:ind w:left="714" w:hanging="357"/>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60 metres from non-potable watercourses; and</w:t>
      </w:r>
    </w:p>
    <w:p w14:paraId="6A25CC64" w14:textId="77777777" w:rsidR="00A16FA0" w:rsidRPr="00D1198B" w:rsidRDefault="00A16FA0" w:rsidP="00A16FA0">
      <w:pPr>
        <w:numPr>
          <w:ilvl w:val="0"/>
          <w:numId w:val="24"/>
        </w:numPr>
        <w:spacing w:before="120" w:after="0" w:line="240" w:lineRule="auto"/>
        <w:ind w:left="714" w:hanging="357"/>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6 metres if area up-gradient and 3 metres if area down-gradient of property boundaries, swimming pools and buildings (conservative values for primary effluent).</w:t>
      </w:r>
    </w:p>
    <w:p w14:paraId="471EF9CF"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0A62601B"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All buffer distances are achievable.</w:t>
      </w:r>
    </w:p>
    <w:p w14:paraId="7B0DA07B"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54D2831F" w14:textId="77777777" w:rsidR="00A16FA0" w:rsidRPr="00D1198B" w:rsidRDefault="00A16FA0" w:rsidP="00A16FA0">
      <w:pPr>
        <w:spacing w:after="0" w:line="240" w:lineRule="auto"/>
        <w:jc w:val="both"/>
        <w:outlineLvl w:val="0"/>
        <w:rPr>
          <w:rFonts w:ascii="Tahoma" w:eastAsia="Times New Roman" w:hAnsi="Tahoma" w:cs="Tahoma"/>
          <w:sz w:val="20"/>
          <w:szCs w:val="20"/>
          <w:lang w:val="en-AU" w:eastAsia="en-AU"/>
        </w:rPr>
      </w:pPr>
      <w:bookmarkStart w:id="370" w:name="_Toc377562624"/>
      <w:r w:rsidRPr="00D1198B">
        <w:rPr>
          <w:rFonts w:ascii="Tahoma" w:eastAsia="Times New Roman" w:hAnsi="Tahoma" w:cs="Tahoma"/>
          <w:sz w:val="20"/>
          <w:szCs w:val="20"/>
          <w:lang w:val="en-AU" w:eastAsia="en-AU"/>
        </w:rPr>
        <w:t>The site plan in Figure 2 shows the location of the proposed wastewater management system components and other relevant features.</w:t>
      </w:r>
      <w:bookmarkEnd w:id="370"/>
    </w:p>
    <w:p w14:paraId="2AFD2071" w14:textId="77777777" w:rsidR="00A16FA0" w:rsidRPr="00D1198B" w:rsidRDefault="00A16FA0" w:rsidP="00A16FA0">
      <w:pPr>
        <w:spacing w:after="0" w:line="240" w:lineRule="auto"/>
        <w:jc w:val="both"/>
        <w:outlineLvl w:val="0"/>
        <w:rPr>
          <w:rFonts w:ascii="Tahoma" w:eastAsia="Times New Roman" w:hAnsi="Tahoma" w:cs="Tahoma"/>
          <w:b/>
          <w:sz w:val="20"/>
          <w:szCs w:val="20"/>
          <w:lang w:val="en-AU" w:eastAsia="en-AU"/>
        </w:rPr>
      </w:pPr>
      <w:r w:rsidRPr="00D1198B">
        <w:rPr>
          <w:rFonts w:ascii="Tahoma" w:eastAsia="Times New Roman" w:hAnsi="Tahoma" w:cs="Tahoma"/>
          <w:b/>
          <w:sz w:val="20"/>
          <w:szCs w:val="20"/>
          <w:lang w:val="en-AU" w:eastAsia="en-AU"/>
        </w:rPr>
        <w:br w:type="page"/>
      </w:r>
      <w:bookmarkStart w:id="371" w:name="_Toc377562625"/>
      <w:r w:rsidRPr="00D1198B">
        <w:rPr>
          <w:rFonts w:ascii="Tahoma" w:eastAsia="Times New Roman" w:hAnsi="Tahoma" w:cs="Tahoma"/>
          <w:b/>
          <w:sz w:val="20"/>
          <w:szCs w:val="20"/>
          <w:lang w:val="en-AU" w:eastAsia="en-AU"/>
        </w:rPr>
        <w:lastRenderedPageBreak/>
        <w:t>Figure 2: Site Plan</w:t>
      </w:r>
      <w:bookmarkEnd w:id="371"/>
      <w:r w:rsidRPr="00D1198B">
        <w:rPr>
          <w:rFonts w:ascii="Tahoma" w:eastAsia="Times New Roman" w:hAnsi="Tahoma" w:cs="Tahoma"/>
          <w:b/>
          <w:sz w:val="20"/>
          <w:szCs w:val="20"/>
          <w:lang w:val="en-AU" w:eastAsia="en-AU"/>
        </w:rPr>
        <w:t xml:space="preserve">  </w:t>
      </w:r>
    </w:p>
    <w:p w14:paraId="61372E33" w14:textId="77777777" w:rsidR="00A16FA0" w:rsidRPr="00D1198B" w:rsidRDefault="00A16FA0" w:rsidP="00A16FA0">
      <w:pPr>
        <w:spacing w:after="0" w:line="240" w:lineRule="auto"/>
        <w:jc w:val="center"/>
        <w:outlineLvl w:val="0"/>
        <w:rPr>
          <w:rFonts w:ascii="Tahoma" w:eastAsia="Times New Roman" w:hAnsi="Tahoma" w:cs="Tahoma"/>
          <w:sz w:val="20"/>
          <w:szCs w:val="20"/>
          <w:lang w:val="en-AU" w:eastAsia="en-AU"/>
        </w:rPr>
      </w:pPr>
      <w:bookmarkStart w:id="372" w:name="_Toc377562626"/>
      <w:r w:rsidRPr="00D1198B">
        <w:rPr>
          <w:rFonts w:ascii="Tahoma" w:eastAsia="Times New Roman" w:hAnsi="Tahoma" w:cs="Tahoma"/>
          <w:noProof/>
          <w:sz w:val="20"/>
          <w:szCs w:val="20"/>
          <w:lang w:val="en-AU" w:eastAsia="en-AU"/>
        </w:rPr>
        <w:drawing>
          <wp:inline distT="0" distB="0" distL="0" distR="0" wp14:anchorId="1D36A611" wp14:editId="75ACCBBE">
            <wp:extent cx="7978980" cy="4892938"/>
            <wp:effectExtent l="0" t="0" r="317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ite Plan revised 030114.pn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7979935" cy="4893523"/>
                    </a:xfrm>
                    <a:prstGeom prst="rect">
                      <a:avLst/>
                    </a:prstGeom>
                  </pic:spPr>
                </pic:pic>
              </a:graphicData>
            </a:graphic>
          </wp:inline>
        </w:drawing>
      </w:r>
      <w:bookmarkEnd w:id="372"/>
    </w:p>
    <w:p w14:paraId="1CF43618" w14:textId="77777777" w:rsidR="00A16FA0" w:rsidRPr="00D1198B" w:rsidRDefault="00A16FA0" w:rsidP="00A16FA0">
      <w:pPr>
        <w:spacing w:after="0" w:line="240" w:lineRule="auto"/>
        <w:outlineLvl w:val="0"/>
        <w:rPr>
          <w:rFonts w:ascii="Tahoma" w:eastAsia="Times New Roman" w:hAnsi="Tahoma" w:cs="Tahoma"/>
          <w:b/>
          <w:sz w:val="20"/>
          <w:szCs w:val="20"/>
          <w:lang w:val="en-AU" w:eastAsia="en-AU"/>
        </w:rPr>
      </w:pPr>
      <w:bookmarkStart w:id="373" w:name="_Toc377562627"/>
      <w:r w:rsidRPr="00D1198B">
        <w:rPr>
          <w:rFonts w:ascii="Tahoma" w:eastAsia="Times New Roman" w:hAnsi="Tahoma" w:cs="Tahoma"/>
          <w:b/>
          <w:i/>
          <w:sz w:val="20"/>
          <w:szCs w:val="20"/>
          <w:lang w:val="en-AU" w:eastAsia="en-AU"/>
        </w:rPr>
        <w:lastRenderedPageBreak/>
        <w:t>Installation of the Irrigation System</w:t>
      </w:r>
      <w:bookmarkEnd w:id="373"/>
    </w:p>
    <w:p w14:paraId="5FCBE8D8" w14:textId="77777777" w:rsidR="00A16FA0" w:rsidRPr="00D1198B" w:rsidRDefault="00A16FA0" w:rsidP="00A16FA0">
      <w:pPr>
        <w:spacing w:after="0" w:line="240" w:lineRule="auto"/>
        <w:jc w:val="both"/>
        <w:outlineLvl w:val="0"/>
        <w:rPr>
          <w:rFonts w:ascii="Tahoma" w:eastAsia="Times New Roman" w:hAnsi="Tahoma" w:cs="Tahoma"/>
          <w:sz w:val="20"/>
          <w:szCs w:val="20"/>
          <w:lang w:val="en-AU" w:eastAsia="en-AU"/>
        </w:rPr>
      </w:pPr>
    </w:p>
    <w:p w14:paraId="2CB0942A" w14:textId="77777777" w:rsidR="00A16FA0" w:rsidRPr="00D1198B" w:rsidRDefault="00A16FA0" w:rsidP="00A16FA0">
      <w:pPr>
        <w:spacing w:after="0" w:line="240" w:lineRule="auto"/>
        <w:jc w:val="both"/>
        <w:outlineLvl w:val="0"/>
        <w:rPr>
          <w:rFonts w:ascii="Tahoma" w:eastAsia="Times New Roman" w:hAnsi="Tahoma" w:cs="Tahoma"/>
          <w:sz w:val="20"/>
          <w:szCs w:val="20"/>
          <w:lang w:val="en-AU" w:eastAsia="en-AU"/>
        </w:rPr>
      </w:pPr>
      <w:bookmarkStart w:id="374" w:name="_Toc377562628"/>
      <w:r w:rsidRPr="00D1198B">
        <w:rPr>
          <w:rFonts w:ascii="Tahoma" w:eastAsia="Times New Roman" w:hAnsi="Tahoma" w:cs="Tahoma"/>
          <w:sz w:val="20"/>
          <w:szCs w:val="20"/>
          <w:lang w:val="en-AU" w:eastAsia="en-AU"/>
        </w:rPr>
        <w:t>Installation of the irrigation system must be carried out by a suitably qualified, licensed plumber or drainer experienced with effluent irrigation systems.</w:t>
      </w:r>
      <w:bookmarkEnd w:id="374"/>
    </w:p>
    <w:p w14:paraId="0D30E61A" w14:textId="77777777" w:rsidR="00A16FA0" w:rsidRPr="00D1198B" w:rsidRDefault="00A16FA0" w:rsidP="00A16FA0">
      <w:pPr>
        <w:spacing w:after="0" w:line="240" w:lineRule="auto"/>
        <w:jc w:val="both"/>
        <w:outlineLvl w:val="0"/>
        <w:rPr>
          <w:rFonts w:ascii="Tahoma" w:eastAsia="Times New Roman" w:hAnsi="Tahoma" w:cs="Tahoma"/>
          <w:sz w:val="20"/>
          <w:szCs w:val="20"/>
          <w:lang w:val="en-AU" w:eastAsia="en-AU"/>
        </w:rPr>
      </w:pPr>
    </w:p>
    <w:p w14:paraId="27F83AEE"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r w:rsidRPr="00D1198B">
        <w:rPr>
          <w:rFonts w:ascii="Tahoma" w:eastAsia="Times New Roman" w:hAnsi="Tahoma" w:cs="Tahoma"/>
          <w:sz w:val="20"/>
          <w:szCs w:val="20"/>
          <w:lang w:val="en-AU" w:eastAsia="en-AU"/>
        </w:rPr>
        <w:t>To ensure even distribution of effluent, it is essential that the pump capacity is adequate for the size and configuration of the irrigation system, taking into account head and friction losses due to changes in elevation, pipes, valves, fittings etc. An additional, optional measure to achieve even coverage is to divide the irrigation area into two or more separate sub-zones of minimum 133.5 m² each; dosed alternately using an automatic indexing or sequencing valve.</w:t>
      </w:r>
    </w:p>
    <w:p w14:paraId="78F97AE0" w14:textId="77777777" w:rsidR="00A16FA0" w:rsidRPr="00D1198B" w:rsidRDefault="00A16FA0" w:rsidP="00A16FA0">
      <w:pPr>
        <w:spacing w:after="0" w:line="240" w:lineRule="auto"/>
        <w:jc w:val="both"/>
        <w:rPr>
          <w:rFonts w:ascii="Tahoma" w:eastAsia="Times New Roman" w:hAnsi="Tahoma" w:cs="Tahoma"/>
          <w:sz w:val="20"/>
          <w:szCs w:val="20"/>
          <w:lang w:val="en-AU" w:eastAsia="en-AU"/>
        </w:rPr>
      </w:pPr>
    </w:p>
    <w:p w14:paraId="15EBC8FB" w14:textId="77777777" w:rsidR="00A16FA0" w:rsidRPr="00D1198B" w:rsidRDefault="00A16FA0" w:rsidP="00A16FA0">
      <w:pPr>
        <w:widowControl w:val="0"/>
        <w:autoSpaceDE w:val="0"/>
        <w:autoSpaceDN w:val="0"/>
        <w:adjustRightInd w:val="0"/>
        <w:spacing w:after="0" w:line="240" w:lineRule="auto"/>
        <w:jc w:val="both"/>
        <w:outlineLvl w:val="0"/>
        <w:rPr>
          <w:rFonts w:ascii="Tahoma" w:eastAsia="Times New Roman" w:hAnsi="Tahoma" w:cs="Tahoma"/>
          <w:noProof/>
          <w:sz w:val="20"/>
          <w:szCs w:val="20"/>
          <w:lang w:val="en-AU" w:eastAsia="en-AU"/>
        </w:rPr>
      </w:pPr>
      <w:bookmarkStart w:id="375" w:name="_Toc377562629"/>
      <w:r w:rsidRPr="00D1198B">
        <w:rPr>
          <w:rFonts w:ascii="Tahoma" w:eastAsia="Times New Roman" w:hAnsi="Tahoma" w:cs="Tahoma"/>
          <w:noProof/>
          <w:sz w:val="20"/>
          <w:szCs w:val="20"/>
          <w:lang w:val="en-AU" w:eastAsia="en-AU"/>
        </w:rPr>
        <w:t>The irrigation area and surrounding area must be vegetated or revegetated immediately following installation of the system, preferably with turf. The area should be fenced or otherwise isolated (such as by landscaping), to prevent vehicle and stock access; and signs should be erected to inform householders and visitors of the extent of the effluent irrigation area and to limit their access and impact on the area.</w:t>
      </w:r>
      <w:bookmarkEnd w:id="375"/>
    </w:p>
    <w:p w14:paraId="118A045A" w14:textId="77777777" w:rsidR="00A16FA0" w:rsidRPr="00D1198B" w:rsidRDefault="00A16FA0" w:rsidP="00A16FA0">
      <w:pPr>
        <w:spacing w:after="0" w:line="240" w:lineRule="auto"/>
        <w:jc w:val="both"/>
        <w:outlineLvl w:val="0"/>
        <w:rPr>
          <w:rFonts w:ascii="Tahoma" w:eastAsia="Times New Roman" w:hAnsi="Tahoma" w:cs="Tahoma"/>
          <w:sz w:val="20"/>
          <w:szCs w:val="20"/>
          <w:lang w:val="en-AU" w:eastAsia="en-AU"/>
        </w:rPr>
      </w:pPr>
    </w:p>
    <w:p w14:paraId="76D5A8E3" w14:textId="77777777" w:rsidR="00A16FA0" w:rsidRPr="00D1198B" w:rsidRDefault="00A16FA0" w:rsidP="00A16FA0">
      <w:pPr>
        <w:spacing w:after="0" w:line="240" w:lineRule="auto"/>
        <w:jc w:val="both"/>
        <w:outlineLvl w:val="0"/>
        <w:rPr>
          <w:rFonts w:ascii="Tahoma" w:eastAsia="Times New Roman" w:hAnsi="Tahoma" w:cs="Tahoma"/>
          <w:sz w:val="20"/>
          <w:szCs w:val="20"/>
          <w:lang w:val="en-AU" w:eastAsia="en-AU"/>
        </w:rPr>
      </w:pPr>
      <w:bookmarkStart w:id="376" w:name="_Toc377562630"/>
      <w:r w:rsidRPr="00D1198B">
        <w:rPr>
          <w:rFonts w:ascii="Tahoma" w:eastAsia="Times New Roman" w:hAnsi="Tahoma" w:cs="Tahoma"/>
          <w:sz w:val="20"/>
          <w:szCs w:val="20"/>
          <w:lang w:val="en-AU" w:eastAsia="en-AU"/>
        </w:rPr>
        <w:t>Stormwater run-on is not expected to be a concern for the proposed irrigation area, due to the landform of the site and its relatively gentle slopes. However, upslope diversion berms or drains may be constructed if this is deemed to be necessary during installation of the system, or in the future. Stormwater from roofs and other impervious surfaces must not be disposed of into the wastewater treatment system or onto the effluent management system.</w:t>
      </w:r>
      <w:bookmarkEnd w:id="376"/>
    </w:p>
    <w:p w14:paraId="7DBD1581" w14:textId="77777777" w:rsidR="00A16FA0" w:rsidRPr="00D1198B" w:rsidRDefault="00A16FA0" w:rsidP="00A16FA0">
      <w:pPr>
        <w:spacing w:after="0" w:line="240" w:lineRule="auto"/>
        <w:jc w:val="both"/>
        <w:outlineLvl w:val="0"/>
        <w:rPr>
          <w:rFonts w:ascii="Tahoma" w:eastAsia="Times New Roman" w:hAnsi="Tahoma" w:cs="Tahoma"/>
          <w:sz w:val="20"/>
          <w:szCs w:val="20"/>
          <w:lang w:val="en-AU" w:eastAsia="en-AU"/>
        </w:rPr>
      </w:pPr>
    </w:p>
    <w:p w14:paraId="59EEFE9B" w14:textId="77777777" w:rsidR="00A16FA0" w:rsidRPr="00D1198B" w:rsidRDefault="00A16FA0" w:rsidP="00A16FA0">
      <w:pPr>
        <w:spacing w:after="0" w:line="240" w:lineRule="auto"/>
        <w:jc w:val="both"/>
        <w:outlineLvl w:val="0"/>
        <w:rPr>
          <w:rFonts w:ascii="Tahoma" w:eastAsia="Times New Roman" w:hAnsi="Tahoma" w:cs="Tahoma"/>
          <w:sz w:val="20"/>
          <w:szCs w:val="20"/>
          <w:lang w:val="en-AU" w:eastAsia="en-AU"/>
        </w:rPr>
      </w:pPr>
    </w:p>
    <w:p w14:paraId="40AA6D2E" w14:textId="77777777" w:rsidR="00A16FA0" w:rsidRPr="00D1198B" w:rsidRDefault="00A16FA0" w:rsidP="00A16FA0">
      <w:pPr>
        <w:spacing w:after="0" w:line="240" w:lineRule="auto"/>
        <w:outlineLvl w:val="0"/>
        <w:rPr>
          <w:rFonts w:ascii="Tahoma" w:eastAsia="Times New Roman" w:hAnsi="Tahoma" w:cs="Tahoma"/>
          <w:b/>
          <w:bCs/>
          <w:noProof/>
          <w:sz w:val="28"/>
          <w:szCs w:val="28"/>
          <w:lang w:val="en-AU" w:eastAsia="en-AU"/>
        </w:rPr>
      </w:pPr>
      <w:bookmarkStart w:id="377" w:name="_Toc377562631"/>
      <w:r w:rsidRPr="00D1198B">
        <w:rPr>
          <w:rFonts w:ascii="Tahoma" w:eastAsia="Times New Roman" w:hAnsi="Tahoma" w:cs="Tahoma"/>
          <w:b/>
          <w:noProof/>
          <w:sz w:val="28"/>
          <w:szCs w:val="28"/>
          <w:lang w:val="en-AU" w:eastAsia="en-AU"/>
        </w:rPr>
        <w:t xml:space="preserve">5  </w:t>
      </w:r>
      <w:r w:rsidRPr="00D1198B">
        <w:rPr>
          <w:rFonts w:ascii="Tahoma" w:eastAsia="Times New Roman" w:hAnsi="Tahoma" w:cs="Tahoma"/>
          <w:b/>
          <w:bCs/>
          <w:noProof/>
          <w:sz w:val="28"/>
          <w:szCs w:val="28"/>
          <w:lang w:val="en-AU" w:eastAsia="en-AU"/>
        </w:rPr>
        <w:t>Monitoring, Operation and Maintenance</w:t>
      </w:r>
      <w:bookmarkEnd w:id="377"/>
    </w:p>
    <w:p w14:paraId="652B54A0"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4A5A72F0"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bookmarkStart w:id="378" w:name="_Toc377562632"/>
      <w:r w:rsidRPr="00D1198B">
        <w:rPr>
          <w:rFonts w:ascii="Tahoma" w:eastAsia="Times New Roman" w:hAnsi="Tahoma" w:cs="Tahoma"/>
          <w:bCs/>
          <w:noProof/>
          <w:sz w:val="20"/>
          <w:szCs w:val="20"/>
          <w:lang w:val="en-AU" w:eastAsia="en-AU"/>
        </w:rPr>
        <w:t>Maintenance is to be carried out in accordance with the EPA Certiﬁcate of Approval of the selected secondary treatment system and Council’s permit conditions. The treatment system will only function adequately if appropriately and regularly maintained.</w:t>
      </w:r>
      <w:bookmarkEnd w:id="378"/>
    </w:p>
    <w:p w14:paraId="0AF841D9"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7102E172" w14:textId="77777777" w:rsidR="00A16FA0" w:rsidRPr="00D1198B" w:rsidRDefault="00A16FA0" w:rsidP="00A16FA0">
      <w:pPr>
        <w:spacing w:after="0" w:line="240" w:lineRule="auto"/>
        <w:jc w:val="both"/>
        <w:outlineLvl w:val="0"/>
        <w:rPr>
          <w:rFonts w:ascii="Tahoma" w:eastAsia="Times New Roman" w:hAnsi="Tahoma" w:cs="Tahoma"/>
          <w:bCs/>
          <w:noProof/>
          <w:sz w:val="20"/>
          <w:szCs w:val="20"/>
          <w:u w:val="single"/>
          <w:lang w:val="en-AU" w:eastAsia="en-AU"/>
        </w:rPr>
      </w:pPr>
      <w:bookmarkStart w:id="379" w:name="_Toc377562633"/>
      <w:r w:rsidRPr="00D1198B">
        <w:rPr>
          <w:rFonts w:ascii="Tahoma" w:eastAsia="Times New Roman" w:hAnsi="Tahoma" w:cs="Tahoma"/>
          <w:bCs/>
          <w:noProof/>
          <w:sz w:val="20"/>
          <w:szCs w:val="20"/>
          <w:u w:val="single"/>
          <w:lang w:val="en-AU" w:eastAsia="en-AU"/>
        </w:rPr>
        <w:t>To ensure the treatment system functions adequately, residents must:</w:t>
      </w:r>
      <w:bookmarkEnd w:id="379"/>
    </w:p>
    <w:p w14:paraId="168FB46C" w14:textId="77777777" w:rsidR="00A16FA0" w:rsidRPr="00D1198B" w:rsidRDefault="00A16FA0" w:rsidP="00A16FA0">
      <w:pPr>
        <w:numPr>
          <w:ilvl w:val="0"/>
          <w:numId w:val="25"/>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80" w:name="_Toc377562634"/>
      <w:r w:rsidRPr="00D1198B">
        <w:rPr>
          <w:rFonts w:ascii="Tahoma" w:eastAsia="Times New Roman" w:hAnsi="Tahoma" w:cs="Tahoma"/>
          <w:bCs/>
          <w:noProof/>
          <w:sz w:val="20"/>
          <w:szCs w:val="20"/>
          <w:lang w:val="en-AU" w:eastAsia="en-AU"/>
        </w:rPr>
        <w:t>Have a suitably qualiﬁed maintenance contractor service the secondary treatment system at the frequency required by Council under the permit to use;</w:t>
      </w:r>
      <w:bookmarkEnd w:id="380"/>
    </w:p>
    <w:p w14:paraId="22095D31" w14:textId="77777777" w:rsidR="00A16FA0" w:rsidRPr="00D1198B" w:rsidRDefault="00A16FA0" w:rsidP="00A16FA0">
      <w:pPr>
        <w:numPr>
          <w:ilvl w:val="0"/>
          <w:numId w:val="25"/>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81" w:name="_Toc377562635"/>
      <w:r w:rsidRPr="00D1198B">
        <w:rPr>
          <w:rFonts w:ascii="Tahoma" w:eastAsia="Times New Roman" w:hAnsi="Tahoma" w:cs="Tahoma"/>
          <w:bCs/>
          <w:noProof/>
          <w:sz w:val="20"/>
          <w:szCs w:val="20"/>
          <w:lang w:val="en-AU" w:eastAsia="en-AU"/>
        </w:rPr>
        <w:t>Use household cleaning products that are suitable for septic tanks;</w:t>
      </w:r>
      <w:bookmarkEnd w:id="381"/>
    </w:p>
    <w:p w14:paraId="5C48DEFD" w14:textId="77777777" w:rsidR="00A16FA0" w:rsidRPr="00D1198B" w:rsidRDefault="00A16FA0" w:rsidP="00A16FA0">
      <w:pPr>
        <w:numPr>
          <w:ilvl w:val="0"/>
          <w:numId w:val="25"/>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82" w:name="_Toc377562636"/>
      <w:r w:rsidRPr="00D1198B">
        <w:rPr>
          <w:rFonts w:ascii="Tahoma" w:eastAsia="Times New Roman" w:hAnsi="Tahoma" w:cs="Tahoma"/>
          <w:bCs/>
          <w:noProof/>
          <w:sz w:val="20"/>
          <w:szCs w:val="20"/>
          <w:lang w:val="en-AU" w:eastAsia="en-AU"/>
        </w:rPr>
        <w:t>Keep as much fat and oil out of the system as possible; and</w:t>
      </w:r>
      <w:bookmarkEnd w:id="382"/>
    </w:p>
    <w:p w14:paraId="729F86F8" w14:textId="77777777" w:rsidR="00A16FA0" w:rsidRPr="00D1198B" w:rsidRDefault="00A16FA0" w:rsidP="00A16FA0">
      <w:pPr>
        <w:numPr>
          <w:ilvl w:val="0"/>
          <w:numId w:val="25"/>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83" w:name="_Toc377562637"/>
      <w:r w:rsidRPr="00D1198B">
        <w:rPr>
          <w:rFonts w:ascii="Tahoma" w:eastAsia="Times New Roman" w:hAnsi="Tahoma" w:cs="Tahoma"/>
          <w:bCs/>
          <w:noProof/>
          <w:sz w:val="20"/>
          <w:szCs w:val="20"/>
          <w:lang w:val="en-AU" w:eastAsia="en-AU"/>
        </w:rPr>
        <w:t>Conserve water (AAA rated fixtures and appliances are recommended).</w:t>
      </w:r>
      <w:bookmarkEnd w:id="383"/>
    </w:p>
    <w:p w14:paraId="6D09C9FB"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2B96A5FC" w14:textId="77777777" w:rsidR="00A16FA0" w:rsidRPr="00D1198B" w:rsidRDefault="00A16FA0" w:rsidP="00A16FA0">
      <w:pPr>
        <w:spacing w:after="0" w:line="240" w:lineRule="auto"/>
        <w:jc w:val="both"/>
        <w:outlineLvl w:val="0"/>
        <w:rPr>
          <w:rFonts w:ascii="Tahoma" w:eastAsia="Times New Roman" w:hAnsi="Tahoma" w:cs="Tahoma"/>
          <w:bCs/>
          <w:noProof/>
          <w:sz w:val="20"/>
          <w:szCs w:val="20"/>
          <w:u w:val="single"/>
          <w:lang w:val="en-AU" w:eastAsia="en-AU"/>
        </w:rPr>
      </w:pPr>
      <w:bookmarkStart w:id="384" w:name="_Toc377562638"/>
      <w:r w:rsidRPr="00D1198B">
        <w:rPr>
          <w:rFonts w:ascii="Tahoma" w:eastAsia="Times New Roman" w:hAnsi="Tahoma" w:cs="Tahoma"/>
          <w:bCs/>
          <w:noProof/>
          <w:sz w:val="20"/>
          <w:szCs w:val="20"/>
          <w:u w:val="single"/>
          <w:lang w:val="en-AU" w:eastAsia="en-AU"/>
        </w:rPr>
        <w:t>To ensure the land application system functions adequately, residents must:</w:t>
      </w:r>
      <w:bookmarkEnd w:id="384"/>
    </w:p>
    <w:p w14:paraId="4D6A7B81" w14:textId="77777777" w:rsidR="00A16FA0" w:rsidRPr="00D1198B" w:rsidRDefault="00A16FA0" w:rsidP="00A16FA0">
      <w:pPr>
        <w:numPr>
          <w:ilvl w:val="0"/>
          <w:numId w:val="26"/>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85" w:name="_Toc377562639"/>
      <w:r w:rsidRPr="00D1198B">
        <w:rPr>
          <w:rFonts w:ascii="Tahoma" w:eastAsia="Times New Roman" w:hAnsi="Tahoma" w:cs="Tahoma"/>
          <w:bCs/>
          <w:noProof/>
          <w:sz w:val="20"/>
          <w:szCs w:val="20"/>
          <w:lang w:val="en-AU" w:eastAsia="en-AU"/>
        </w:rPr>
        <w:t>Regularly harvest (mow) vegetation within the LAA and remove this to maximise uptake of water and nutrients;</w:t>
      </w:r>
      <w:bookmarkEnd w:id="385"/>
    </w:p>
    <w:p w14:paraId="0910DE3B" w14:textId="77777777" w:rsidR="00A16FA0" w:rsidRPr="00D1198B" w:rsidRDefault="00A16FA0" w:rsidP="00A16FA0">
      <w:pPr>
        <w:numPr>
          <w:ilvl w:val="0"/>
          <w:numId w:val="26"/>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86" w:name="_Toc377562640"/>
      <w:r w:rsidRPr="00D1198B">
        <w:rPr>
          <w:rFonts w:ascii="Tahoma" w:eastAsia="Times New Roman" w:hAnsi="Tahoma" w:cs="Tahoma"/>
          <w:bCs/>
          <w:noProof/>
          <w:sz w:val="20"/>
          <w:szCs w:val="20"/>
          <w:lang w:val="en-AU" w:eastAsia="en-AU"/>
        </w:rPr>
        <w:t>Monitor and maintain the subsurface irrigation system following the manufacturer’s recommendations, including ﬂushing the irrigation lines;</w:t>
      </w:r>
      <w:bookmarkEnd w:id="386"/>
    </w:p>
    <w:p w14:paraId="672A3328" w14:textId="77777777" w:rsidR="00A16FA0" w:rsidRPr="00D1198B" w:rsidRDefault="00A16FA0" w:rsidP="00A16FA0">
      <w:pPr>
        <w:numPr>
          <w:ilvl w:val="0"/>
          <w:numId w:val="26"/>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87" w:name="_Toc377562641"/>
      <w:r w:rsidRPr="00D1198B">
        <w:rPr>
          <w:rFonts w:ascii="Tahoma" w:eastAsia="Times New Roman" w:hAnsi="Tahoma" w:cs="Tahoma"/>
          <w:bCs/>
          <w:noProof/>
          <w:sz w:val="20"/>
          <w:szCs w:val="20"/>
          <w:lang w:val="en-AU" w:eastAsia="en-AU"/>
        </w:rPr>
        <w:t>Regularly clean in-line ﬁlters;</w:t>
      </w:r>
      <w:bookmarkEnd w:id="387"/>
    </w:p>
    <w:p w14:paraId="58F9686F" w14:textId="77777777" w:rsidR="00A16FA0" w:rsidRPr="00D1198B" w:rsidRDefault="00A16FA0" w:rsidP="00A16FA0">
      <w:pPr>
        <w:numPr>
          <w:ilvl w:val="0"/>
          <w:numId w:val="26"/>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88" w:name="_Toc377562642"/>
      <w:r w:rsidRPr="00D1198B">
        <w:rPr>
          <w:rFonts w:ascii="Tahoma" w:eastAsia="Times New Roman" w:hAnsi="Tahoma" w:cs="Tahoma"/>
          <w:bCs/>
          <w:noProof/>
          <w:sz w:val="20"/>
          <w:szCs w:val="20"/>
          <w:lang w:val="en-AU" w:eastAsia="en-AU"/>
        </w:rPr>
        <w:t>Not erect any structures and paths over the LAA;</w:t>
      </w:r>
      <w:bookmarkEnd w:id="388"/>
    </w:p>
    <w:p w14:paraId="73286188" w14:textId="77777777" w:rsidR="00A16FA0" w:rsidRPr="00D1198B" w:rsidRDefault="00A16FA0" w:rsidP="00A16FA0">
      <w:pPr>
        <w:numPr>
          <w:ilvl w:val="0"/>
          <w:numId w:val="26"/>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89" w:name="_Toc377562643"/>
      <w:r w:rsidRPr="00D1198B">
        <w:rPr>
          <w:rFonts w:ascii="Tahoma" w:eastAsia="Times New Roman" w:hAnsi="Tahoma" w:cs="Tahoma"/>
          <w:bCs/>
          <w:noProof/>
          <w:sz w:val="20"/>
          <w:szCs w:val="20"/>
          <w:lang w:val="en-AU" w:eastAsia="en-AU"/>
        </w:rPr>
        <w:t>Avoid vehicle and livestock access to the LAA, to prevent compaction and damage; and</w:t>
      </w:r>
      <w:bookmarkEnd w:id="389"/>
    </w:p>
    <w:p w14:paraId="6F329E3B" w14:textId="77777777" w:rsidR="00A16FA0" w:rsidRPr="00D1198B" w:rsidRDefault="00A16FA0" w:rsidP="00A16FA0">
      <w:pPr>
        <w:numPr>
          <w:ilvl w:val="0"/>
          <w:numId w:val="26"/>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90" w:name="_Toc377562644"/>
      <w:r w:rsidRPr="00D1198B">
        <w:rPr>
          <w:rFonts w:ascii="Tahoma" w:eastAsia="Times New Roman" w:hAnsi="Tahoma" w:cs="Tahoma"/>
          <w:bCs/>
          <w:noProof/>
          <w:sz w:val="20"/>
          <w:szCs w:val="20"/>
          <w:lang w:val="en-AU" w:eastAsia="en-AU"/>
        </w:rPr>
        <w:t>Ensure that the LAA is kept level by ﬁlling any depressions with good quality topsoil (not clay).</w:t>
      </w:r>
      <w:bookmarkEnd w:id="390"/>
    </w:p>
    <w:p w14:paraId="03ED38FF" w14:textId="77777777" w:rsidR="00A16FA0" w:rsidRPr="00D1198B" w:rsidRDefault="00A16FA0" w:rsidP="00A16FA0">
      <w:pPr>
        <w:spacing w:after="0" w:line="240" w:lineRule="auto"/>
        <w:rPr>
          <w:rFonts w:ascii="Tahoma" w:eastAsia="Times New Roman" w:hAnsi="Tahoma" w:cs="Tahoma"/>
          <w:b/>
          <w:bCs/>
          <w:noProof/>
          <w:sz w:val="28"/>
          <w:szCs w:val="28"/>
          <w:lang w:val="en-AU" w:eastAsia="en-AU"/>
        </w:rPr>
      </w:pPr>
      <w:r w:rsidRPr="00D1198B">
        <w:rPr>
          <w:rFonts w:ascii="Tahoma" w:eastAsia="Times New Roman" w:hAnsi="Tahoma" w:cs="Tahoma"/>
          <w:b/>
          <w:bCs/>
          <w:noProof/>
          <w:sz w:val="28"/>
          <w:szCs w:val="28"/>
          <w:lang w:val="en-AU" w:eastAsia="en-AU"/>
        </w:rPr>
        <w:br w:type="page"/>
      </w:r>
    </w:p>
    <w:p w14:paraId="3EB02FFB" w14:textId="77777777" w:rsidR="00A16FA0" w:rsidRPr="00D1198B" w:rsidRDefault="00A16FA0" w:rsidP="00A16FA0">
      <w:pPr>
        <w:spacing w:after="0" w:line="240" w:lineRule="auto"/>
        <w:jc w:val="both"/>
        <w:outlineLvl w:val="0"/>
        <w:rPr>
          <w:rFonts w:ascii="Tahoma" w:eastAsia="Times New Roman" w:hAnsi="Tahoma" w:cs="Tahoma"/>
          <w:b/>
          <w:bCs/>
          <w:noProof/>
          <w:sz w:val="28"/>
          <w:szCs w:val="28"/>
          <w:lang w:val="en-AU" w:eastAsia="en-AU"/>
        </w:rPr>
      </w:pPr>
      <w:bookmarkStart w:id="391" w:name="_Toc377562645"/>
      <w:r w:rsidRPr="00D1198B">
        <w:rPr>
          <w:rFonts w:ascii="Tahoma" w:eastAsia="Times New Roman" w:hAnsi="Tahoma" w:cs="Tahoma"/>
          <w:b/>
          <w:bCs/>
          <w:noProof/>
          <w:sz w:val="28"/>
          <w:szCs w:val="28"/>
          <w:lang w:val="en-AU" w:eastAsia="en-AU"/>
        </w:rPr>
        <w:lastRenderedPageBreak/>
        <w:t>6  Conclusions</w:t>
      </w:r>
      <w:bookmarkEnd w:id="391"/>
    </w:p>
    <w:p w14:paraId="082D8382"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551AC51A"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bookmarkStart w:id="392" w:name="_Toc377562646"/>
      <w:r w:rsidRPr="00D1198B">
        <w:rPr>
          <w:rFonts w:ascii="Tahoma" w:eastAsia="Times New Roman" w:hAnsi="Tahoma" w:cs="Tahoma"/>
          <w:bCs/>
          <w:noProof/>
          <w:sz w:val="20"/>
          <w:szCs w:val="20"/>
          <w:lang w:val="en-AU" w:eastAsia="en-AU"/>
        </w:rPr>
        <w:t>As a result of our investigations we conclude that sustainable onsite wastewater management is feasible with appropriate mitigation measures, as outlined, for the proposed four-bedroom residence at Lot 565, Bundalaguah Road, Maffra.</w:t>
      </w:r>
      <w:bookmarkEnd w:id="392"/>
    </w:p>
    <w:p w14:paraId="7F085D18"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7EE85C13"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bookmarkStart w:id="393" w:name="_Toc377562647"/>
      <w:r w:rsidRPr="00D1198B">
        <w:rPr>
          <w:rFonts w:ascii="Tahoma" w:eastAsia="Times New Roman" w:hAnsi="Tahoma" w:cs="Tahoma"/>
          <w:bCs/>
          <w:noProof/>
          <w:sz w:val="20"/>
          <w:szCs w:val="20"/>
          <w:lang w:val="en-AU" w:eastAsia="en-AU"/>
        </w:rPr>
        <w:t>Speciﬁcally, we recommend the following:</w:t>
      </w:r>
      <w:bookmarkEnd w:id="393"/>
    </w:p>
    <w:p w14:paraId="33213692" w14:textId="77777777" w:rsidR="00A16FA0" w:rsidRPr="00D1198B" w:rsidRDefault="00A16FA0" w:rsidP="00A16FA0">
      <w:pPr>
        <w:numPr>
          <w:ilvl w:val="0"/>
          <w:numId w:val="27"/>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94" w:name="_Toc377562648"/>
      <w:r w:rsidRPr="00D1198B">
        <w:rPr>
          <w:rFonts w:ascii="Tahoma" w:eastAsia="Times New Roman" w:hAnsi="Tahoma" w:cs="Tahoma"/>
          <w:bCs/>
          <w:noProof/>
          <w:sz w:val="20"/>
          <w:szCs w:val="20"/>
          <w:lang w:val="en-AU" w:eastAsia="en-AU"/>
        </w:rPr>
        <w:t>Secondary treatment of wastewater by an EPA-accredited treatment system;</w:t>
      </w:r>
      <w:bookmarkEnd w:id="394"/>
    </w:p>
    <w:p w14:paraId="1C3747A6" w14:textId="77777777" w:rsidR="00A16FA0" w:rsidRPr="00D1198B" w:rsidRDefault="00A16FA0" w:rsidP="00A16FA0">
      <w:pPr>
        <w:numPr>
          <w:ilvl w:val="0"/>
          <w:numId w:val="27"/>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95" w:name="_Toc377562649"/>
      <w:r w:rsidRPr="00D1198B">
        <w:rPr>
          <w:rFonts w:ascii="Tahoma" w:eastAsia="Times New Roman" w:hAnsi="Tahoma" w:cs="Tahoma"/>
          <w:bCs/>
          <w:noProof/>
          <w:sz w:val="20"/>
          <w:szCs w:val="20"/>
          <w:lang w:val="en-AU" w:eastAsia="en-AU"/>
        </w:rPr>
        <w:t>Land application of treated effluent to a 267 m² (minimum) subsurface irrigation area (which may be subdivided into two or more evenly sized zones using an indexing or sequencing valve);</w:t>
      </w:r>
      <w:bookmarkEnd w:id="395"/>
    </w:p>
    <w:p w14:paraId="0FC45F29" w14:textId="77777777" w:rsidR="00A16FA0" w:rsidRPr="00D1198B" w:rsidRDefault="00A16FA0" w:rsidP="00A16FA0">
      <w:pPr>
        <w:numPr>
          <w:ilvl w:val="0"/>
          <w:numId w:val="27"/>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96" w:name="_Toc377562650"/>
      <w:r w:rsidRPr="00D1198B">
        <w:rPr>
          <w:rFonts w:ascii="Tahoma" w:eastAsia="Times New Roman" w:hAnsi="Tahoma" w:cs="Tahoma"/>
          <w:bCs/>
          <w:noProof/>
          <w:sz w:val="20"/>
          <w:szCs w:val="20"/>
          <w:lang w:val="en-AU" w:eastAsia="en-AU"/>
        </w:rPr>
        <w:t>Details of the irrigation design, including the filter, manifold, irrigation line location and diameter, number and length of dripper lines, number and location of vacuum breaker(s), and location of flush valve(s);</w:t>
      </w:r>
      <w:bookmarkEnd w:id="396"/>
    </w:p>
    <w:p w14:paraId="7B834FAE" w14:textId="77777777" w:rsidR="00A16FA0" w:rsidRPr="00D1198B" w:rsidRDefault="00A16FA0" w:rsidP="00A16FA0">
      <w:pPr>
        <w:numPr>
          <w:ilvl w:val="0"/>
          <w:numId w:val="27"/>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97" w:name="_Toc377562651"/>
      <w:r w:rsidRPr="00D1198B">
        <w:rPr>
          <w:rFonts w:ascii="Tahoma" w:eastAsia="Times New Roman" w:hAnsi="Tahoma" w:cs="Tahoma"/>
          <w:bCs/>
          <w:noProof/>
          <w:sz w:val="20"/>
          <w:szCs w:val="20"/>
          <w:lang w:val="en-AU" w:eastAsia="en-AU"/>
        </w:rPr>
        <w:t>Installation of water saving fixtures and appliances in the new residence to reduce the efﬂuent load;</w:t>
      </w:r>
      <w:bookmarkEnd w:id="397"/>
      <w:r w:rsidRPr="00D1198B">
        <w:rPr>
          <w:rFonts w:ascii="Tahoma" w:eastAsia="Times New Roman" w:hAnsi="Tahoma" w:cs="Tahoma"/>
          <w:bCs/>
          <w:noProof/>
          <w:sz w:val="20"/>
          <w:szCs w:val="20"/>
          <w:lang w:val="en-AU" w:eastAsia="en-AU"/>
        </w:rPr>
        <w:t xml:space="preserve"> </w:t>
      </w:r>
    </w:p>
    <w:p w14:paraId="7794B15B" w14:textId="77777777" w:rsidR="00A16FA0" w:rsidRPr="00D1198B" w:rsidRDefault="00A16FA0" w:rsidP="00A16FA0">
      <w:pPr>
        <w:numPr>
          <w:ilvl w:val="0"/>
          <w:numId w:val="27"/>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98" w:name="_Toc377562652"/>
      <w:r w:rsidRPr="00D1198B">
        <w:rPr>
          <w:rFonts w:ascii="Tahoma" w:eastAsia="Times New Roman" w:hAnsi="Tahoma" w:cs="Tahoma"/>
          <w:bCs/>
          <w:noProof/>
          <w:sz w:val="20"/>
          <w:szCs w:val="20"/>
          <w:lang w:val="en-AU" w:eastAsia="en-AU"/>
        </w:rPr>
        <w:t>Use of low phosphorus and low sodium (liquid) detergents to improve effluent quality and maintain soil properties for growing plants; and</w:t>
      </w:r>
      <w:bookmarkEnd w:id="398"/>
    </w:p>
    <w:p w14:paraId="1E64E686" w14:textId="77777777" w:rsidR="00A16FA0" w:rsidRPr="00D1198B" w:rsidRDefault="00A16FA0" w:rsidP="00A16FA0">
      <w:pPr>
        <w:numPr>
          <w:ilvl w:val="0"/>
          <w:numId w:val="27"/>
        </w:numPr>
        <w:spacing w:before="120" w:after="0" w:line="240" w:lineRule="auto"/>
        <w:ind w:left="714" w:hanging="357"/>
        <w:jc w:val="both"/>
        <w:outlineLvl w:val="0"/>
        <w:rPr>
          <w:rFonts w:ascii="Tahoma" w:eastAsia="Times New Roman" w:hAnsi="Tahoma" w:cs="Tahoma"/>
          <w:bCs/>
          <w:noProof/>
          <w:sz w:val="20"/>
          <w:szCs w:val="20"/>
          <w:lang w:val="en-AU" w:eastAsia="en-AU"/>
        </w:rPr>
      </w:pPr>
      <w:bookmarkStart w:id="399" w:name="_Toc377562653"/>
      <w:r w:rsidRPr="00D1198B">
        <w:rPr>
          <w:rFonts w:ascii="Tahoma" w:eastAsia="Times New Roman" w:hAnsi="Tahoma" w:cs="Tahoma"/>
          <w:bCs/>
          <w:noProof/>
          <w:sz w:val="20"/>
          <w:szCs w:val="20"/>
          <w:lang w:val="en-AU" w:eastAsia="en-AU"/>
        </w:rPr>
        <w:t>Operation and management of the treatment and disposal system in accordance with manufacturer’s recommendations, the EPA Certificate of Approval, the EPA Code of Practice (2013) and the recommendations made in this report.</w:t>
      </w:r>
      <w:bookmarkEnd w:id="399"/>
    </w:p>
    <w:p w14:paraId="1FEC5CE7"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49B4C290"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3698F471" w14:textId="77777777" w:rsidR="00A16FA0" w:rsidRPr="00D1198B" w:rsidRDefault="00A16FA0" w:rsidP="00A16FA0">
      <w:pPr>
        <w:spacing w:after="0" w:line="240" w:lineRule="auto"/>
        <w:jc w:val="both"/>
        <w:outlineLvl w:val="0"/>
        <w:rPr>
          <w:rFonts w:ascii="Tahoma" w:eastAsia="Times New Roman" w:hAnsi="Tahoma" w:cs="Tahoma"/>
          <w:b/>
          <w:bCs/>
          <w:noProof/>
          <w:sz w:val="28"/>
          <w:szCs w:val="28"/>
          <w:lang w:val="en-AU" w:eastAsia="en-AU"/>
        </w:rPr>
      </w:pPr>
      <w:bookmarkStart w:id="400" w:name="_Toc377562654"/>
      <w:r w:rsidRPr="00D1198B">
        <w:rPr>
          <w:rFonts w:ascii="Tahoma" w:eastAsia="Times New Roman" w:hAnsi="Tahoma" w:cs="Tahoma"/>
          <w:b/>
          <w:bCs/>
          <w:noProof/>
          <w:sz w:val="28"/>
          <w:szCs w:val="28"/>
          <w:lang w:val="en-AU" w:eastAsia="en-AU"/>
        </w:rPr>
        <w:t>7  References</w:t>
      </w:r>
      <w:bookmarkEnd w:id="400"/>
    </w:p>
    <w:p w14:paraId="24E65CA2"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347C7491" w14:textId="77777777" w:rsidR="00A16FA0" w:rsidRPr="00D1198B" w:rsidRDefault="00A16FA0" w:rsidP="00A16FA0">
      <w:pPr>
        <w:spacing w:after="0" w:line="240" w:lineRule="auto"/>
        <w:jc w:val="both"/>
        <w:outlineLvl w:val="0"/>
        <w:rPr>
          <w:rFonts w:ascii="Tahoma" w:eastAsia="Times New Roman" w:hAnsi="Tahoma" w:cs="Tahoma"/>
          <w:bCs/>
          <w:iCs/>
          <w:noProof/>
          <w:sz w:val="20"/>
          <w:szCs w:val="20"/>
          <w:lang w:val="en-AU" w:eastAsia="en-AU"/>
        </w:rPr>
      </w:pPr>
      <w:bookmarkStart w:id="401" w:name="_Toc377562655"/>
      <w:r w:rsidRPr="00D1198B">
        <w:rPr>
          <w:rFonts w:ascii="Tahoma" w:eastAsia="Times New Roman" w:hAnsi="Tahoma" w:cs="Tahoma"/>
          <w:bCs/>
          <w:noProof/>
          <w:sz w:val="20"/>
          <w:szCs w:val="20"/>
          <w:lang w:val="en-AU" w:eastAsia="en-AU"/>
        </w:rPr>
        <w:t>Environment Protection Authority (2003).</w:t>
      </w:r>
      <w:r w:rsidRPr="00D1198B">
        <w:rPr>
          <w:rFonts w:ascii="Tahoma" w:eastAsia="Times New Roman" w:hAnsi="Tahoma" w:cs="Tahoma"/>
          <w:bCs/>
          <w:i/>
          <w:iCs/>
          <w:noProof/>
          <w:sz w:val="20"/>
          <w:szCs w:val="20"/>
          <w:lang w:val="en-AU" w:eastAsia="en-AU"/>
        </w:rPr>
        <w:t xml:space="preserve"> Guidelines for Environmental Management: Use of Reclaimed Water </w:t>
      </w:r>
      <w:r w:rsidRPr="00D1198B">
        <w:rPr>
          <w:rFonts w:ascii="Tahoma" w:eastAsia="Times New Roman" w:hAnsi="Tahoma" w:cs="Tahoma"/>
          <w:bCs/>
          <w:iCs/>
          <w:noProof/>
          <w:sz w:val="20"/>
          <w:szCs w:val="20"/>
          <w:lang w:val="en-AU" w:eastAsia="en-AU"/>
        </w:rPr>
        <w:t>Publication 464.2.</w:t>
      </w:r>
      <w:bookmarkEnd w:id="401"/>
    </w:p>
    <w:p w14:paraId="25909D9E" w14:textId="77777777" w:rsidR="00A16FA0" w:rsidRPr="00D1198B" w:rsidRDefault="00A16FA0" w:rsidP="00A16FA0">
      <w:pPr>
        <w:spacing w:after="0" w:line="240" w:lineRule="auto"/>
        <w:jc w:val="both"/>
        <w:outlineLvl w:val="0"/>
        <w:rPr>
          <w:rFonts w:ascii="Tahoma" w:eastAsia="Times New Roman" w:hAnsi="Tahoma" w:cs="Tahoma"/>
          <w:bCs/>
          <w:i/>
          <w:iCs/>
          <w:noProof/>
          <w:sz w:val="20"/>
          <w:szCs w:val="20"/>
          <w:lang w:val="en-AU" w:eastAsia="en-AU"/>
        </w:rPr>
      </w:pPr>
    </w:p>
    <w:p w14:paraId="37FB800E"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bookmarkStart w:id="402" w:name="_Toc377562656"/>
      <w:r w:rsidRPr="00D1198B">
        <w:rPr>
          <w:rFonts w:ascii="Tahoma" w:eastAsia="Times New Roman" w:hAnsi="Tahoma" w:cs="Tahoma"/>
          <w:bCs/>
          <w:noProof/>
          <w:sz w:val="20"/>
          <w:szCs w:val="20"/>
          <w:lang w:val="en-AU" w:eastAsia="en-AU"/>
        </w:rPr>
        <w:t>Environment Protection Authority (1991).</w:t>
      </w:r>
      <w:r w:rsidRPr="00D1198B">
        <w:rPr>
          <w:rFonts w:ascii="Tahoma" w:eastAsia="Times New Roman" w:hAnsi="Tahoma" w:cs="Tahoma"/>
          <w:bCs/>
          <w:i/>
          <w:iCs/>
          <w:noProof/>
          <w:sz w:val="20"/>
          <w:szCs w:val="20"/>
          <w:lang w:val="en-AU" w:eastAsia="en-AU"/>
        </w:rPr>
        <w:t xml:space="preserve"> Guidelines for Wastewater Irrigation</w:t>
      </w:r>
      <w:r w:rsidRPr="00D1198B">
        <w:rPr>
          <w:rFonts w:ascii="Tahoma" w:eastAsia="Times New Roman" w:hAnsi="Tahoma" w:cs="Tahoma"/>
          <w:bCs/>
          <w:noProof/>
          <w:sz w:val="20"/>
          <w:szCs w:val="20"/>
          <w:lang w:val="en-AU" w:eastAsia="en-AU"/>
        </w:rPr>
        <w:t xml:space="preserve"> Publication 168.</w:t>
      </w:r>
      <w:bookmarkEnd w:id="402"/>
    </w:p>
    <w:p w14:paraId="466C61C4"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46EF7D63" w14:textId="77777777" w:rsidR="00A16FA0" w:rsidRPr="00D1198B" w:rsidRDefault="00A16FA0" w:rsidP="00A16FA0">
      <w:pPr>
        <w:spacing w:after="0" w:line="240" w:lineRule="auto"/>
        <w:jc w:val="both"/>
        <w:outlineLvl w:val="0"/>
        <w:rPr>
          <w:rFonts w:ascii="Tahoma" w:eastAsia="Times New Roman" w:hAnsi="Tahoma" w:cs="Tahoma"/>
          <w:bCs/>
          <w:i/>
          <w:noProof/>
          <w:sz w:val="20"/>
          <w:szCs w:val="20"/>
          <w:lang w:val="en-AU" w:eastAsia="en-AU"/>
        </w:rPr>
      </w:pPr>
      <w:bookmarkStart w:id="403" w:name="_Toc377562657"/>
      <w:r w:rsidRPr="00D1198B">
        <w:rPr>
          <w:rFonts w:ascii="Tahoma" w:eastAsia="Times New Roman" w:hAnsi="Tahoma" w:cs="Tahoma"/>
          <w:bCs/>
          <w:noProof/>
          <w:sz w:val="20"/>
          <w:szCs w:val="20"/>
          <w:lang w:val="en-AU" w:eastAsia="en-AU"/>
        </w:rPr>
        <w:t>Environment Protection Authority (2013). Publication 891.3</w:t>
      </w:r>
      <w:r w:rsidRPr="00D1198B">
        <w:rPr>
          <w:rFonts w:ascii="Tahoma" w:eastAsia="Times New Roman" w:hAnsi="Tahoma" w:cs="Tahoma"/>
          <w:bCs/>
          <w:i/>
          <w:iCs/>
          <w:noProof/>
          <w:sz w:val="20"/>
          <w:szCs w:val="20"/>
          <w:lang w:val="en-AU" w:eastAsia="en-AU"/>
        </w:rPr>
        <w:t xml:space="preserve"> Code of Practice</w:t>
      </w:r>
      <w:r w:rsidRPr="00D1198B">
        <w:rPr>
          <w:rFonts w:ascii="Tahoma" w:eastAsia="Times New Roman" w:hAnsi="Tahoma" w:cs="Tahoma"/>
          <w:bCs/>
          <w:i/>
          <w:noProof/>
          <w:sz w:val="20"/>
          <w:szCs w:val="20"/>
          <w:lang w:val="en-AU" w:eastAsia="en-AU"/>
        </w:rPr>
        <w:t xml:space="preserve"> for Onsite Wastewater Management.</w:t>
      </w:r>
      <w:bookmarkEnd w:id="403"/>
    </w:p>
    <w:p w14:paraId="6CAA08FE"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5227E3CB"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bookmarkStart w:id="404" w:name="_Toc377562658"/>
      <w:r w:rsidRPr="00D1198B">
        <w:rPr>
          <w:rFonts w:ascii="Tahoma" w:eastAsia="Times New Roman" w:hAnsi="Tahoma" w:cs="Tahoma"/>
          <w:bCs/>
          <w:noProof/>
          <w:sz w:val="20"/>
          <w:szCs w:val="20"/>
          <w:lang w:val="en-AU" w:eastAsia="en-AU"/>
        </w:rPr>
        <w:t>Geary, P. and Gardner, E. (1996). On-site Disposal of Efﬂuent. In Proceedings from the one day conference</w:t>
      </w:r>
      <w:r w:rsidRPr="00D1198B">
        <w:rPr>
          <w:rFonts w:ascii="Tahoma" w:eastAsia="Times New Roman" w:hAnsi="Tahoma" w:cs="Tahoma"/>
          <w:bCs/>
          <w:i/>
          <w:iCs/>
          <w:noProof/>
          <w:sz w:val="20"/>
          <w:szCs w:val="20"/>
          <w:lang w:val="en-AU" w:eastAsia="en-AU"/>
        </w:rPr>
        <w:t xml:space="preserve"> Innovative Approaches to the Management of Waste and Water</w:t>
      </w:r>
      <w:r w:rsidRPr="00D1198B">
        <w:rPr>
          <w:rFonts w:ascii="Tahoma" w:eastAsia="Times New Roman" w:hAnsi="Tahoma" w:cs="Tahoma"/>
          <w:bCs/>
          <w:noProof/>
          <w:sz w:val="20"/>
          <w:szCs w:val="20"/>
          <w:lang w:val="en-AU" w:eastAsia="en-AU"/>
        </w:rPr>
        <w:t>, Lismore 1996.</w:t>
      </w:r>
      <w:bookmarkEnd w:id="404"/>
    </w:p>
    <w:p w14:paraId="5F5AD5C2"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3AC76CB6"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bookmarkStart w:id="405" w:name="_Toc377562659"/>
      <w:r w:rsidRPr="00D1198B">
        <w:rPr>
          <w:rFonts w:ascii="Tahoma" w:eastAsia="Times New Roman" w:hAnsi="Tahoma" w:cs="Tahoma"/>
          <w:bCs/>
          <w:noProof/>
          <w:sz w:val="20"/>
          <w:szCs w:val="20"/>
          <w:lang w:val="en-AU" w:eastAsia="en-AU"/>
        </w:rPr>
        <w:t>Isbell, R.F. (1996). The Australian Soil Classiﬁcation. CSIRO Publishing, Melbourne.</w:t>
      </w:r>
      <w:bookmarkEnd w:id="405"/>
    </w:p>
    <w:p w14:paraId="0FA257EA"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62135EA8"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bookmarkStart w:id="406" w:name="_Toc377562660"/>
      <w:r w:rsidRPr="00D1198B">
        <w:rPr>
          <w:rFonts w:ascii="Tahoma" w:eastAsia="Times New Roman" w:hAnsi="Tahoma" w:cs="Tahoma"/>
          <w:bCs/>
          <w:noProof/>
          <w:sz w:val="20"/>
          <w:szCs w:val="20"/>
          <w:lang w:val="en-AU" w:eastAsia="en-AU"/>
        </w:rPr>
        <w:t xml:space="preserve">Municipal Association of Victoria, Department of Environment and Sustainability and EPA Victoria (2013) </w:t>
      </w:r>
      <w:r w:rsidRPr="00D1198B">
        <w:rPr>
          <w:rFonts w:ascii="Tahoma" w:eastAsia="Times New Roman" w:hAnsi="Tahoma" w:cs="Tahoma"/>
          <w:i/>
          <w:sz w:val="20"/>
          <w:szCs w:val="20"/>
          <w:lang w:val="en-AU" w:eastAsia="en-AU"/>
        </w:rPr>
        <w:t>Victorian Land Capability Assessment Framework.</w:t>
      </w:r>
      <w:bookmarkEnd w:id="406"/>
    </w:p>
    <w:p w14:paraId="1C234B25"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11068470"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bookmarkStart w:id="407" w:name="_Toc377562661"/>
      <w:r w:rsidRPr="00D1198B">
        <w:rPr>
          <w:rFonts w:ascii="Tahoma" w:eastAsia="Times New Roman" w:hAnsi="Tahoma" w:cs="Tahoma"/>
          <w:bCs/>
          <w:noProof/>
          <w:sz w:val="20"/>
          <w:szCs w:val="20"/>
          <w:lang w:val="en-AU" w:eastAsia="en-AU"/>
        </w:rPr>
        <w:t>Sargeant and Imhof (2000).</w:t>
      </w:r>
      <w:r w:rsidRPr="00D1198B">
        <w:rPr>
          <w:rFonts w:ascii="Tahoma" w:eastAsia="Times New Roman" w:hAnsi="Tahoma" w:cs="Tahoma"/>
          <w:bCs/>
          <w:i/>
          <w:iCs/>
          <w:noProof/>
          <w:sz w:val="20"/>
          <w:szCs w:val="20"/>
          <w:lang w:val="en-AU" w:eastAsia="en-AU"/>
        </w:rPr>
        <w:t xml:space="preserve"> Major Agricultural Soils of the Maffra Region</w:t>
      </w:r>
      <w:r w:rsidRPr="00D1198B">
        <w:rPr>
          <w:rFonts w:ascii="Tahoma" w:eastAsia="Times New Roman" w:hAnsi="Tahoma" w:cs="Tahoma"/>
          <w:bCs/>
          <w:noProof/>
          <w:sz w:val="20"/>
          <w:szCs w:val="20"/>
          <w:lang w:val="en-AU" w:eastAsia="en-AU"/>
        </w:rPr>
        <w:t>. Department of Natural Resources and Environment, Victoria, Australia.</w:t>
      </w:r>
      <w:bookmarkEnd w:id="407"/>
    </w:p>
    <w:p w14:paraId="421386CB"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0226E5E1" w14:textId="77777777" w:rsidR="00A16FA0" w:rsidRPr="00D1198B" w:rsidRDefault="00A16FA0" w:rsidP="00A16FA0">
      <w:pPr>
        <w:spacing w:after="0" w:line="240" w:lineRule="auto"/>
        <w:jc w:val="both"/>
        <w:outlineLvl w:val="0"/>
        <w:rPr>
          <w:rFonts w:ascii="Tahoma" w:eastAsia="Times New Roman" w:hAnsi="Tahoma" w:cs="Tahoma"/>
          <w:bCs/>
          <w:iCs/>
          <w:noProof/>
          <w:sz w:val="20"/>
          <w:szCs w:val="20"/>
          <w:lang w:val="en-AU" w:eastAsia="en-AU"/>
        </w:rPr>
      </w:pPr>
      <w:bookmarkStart w:id="408" w:name="_Toc377562662"/>
      <w:r w:rsidRPr="00D1198B">
        <w:rPr>
          <w:rFonts w:ascii="Tahoma" w:eastAsia="Times New Roman" w:hAnsi="Tahoma" w:cs="Tahoma"/>
          <w:bCs/>
          <w:noProof/>
          <w:sz w:val="20"/>
          <w:szCs w:val="20"/>
          <w:lang w:val="en-AU" w:eastAsia="en-AU"/>
        </w:rPr>
        <w:t>Standards Australia / Standards New Zealand (2012). AS/NZS 1547:2012</w:t>
      </w:r>
      <w:r w:rsidRPr="00D1198B">
        <w:rPr>
          <w:rFonts w:ascii="Tahoma" w:eastAsia="Times New Roman" w:hAnsi="Tahoma" w:cs="Tahoma"/>
          <w:bCs/>
          <w:i/>
          <w:iCs/>
          <w:noProof/>
          <w:sz w:val="20"/>
          <w:szCs w:val="20"/>
          <w:lang w:val="en-AU" w:eastAsia="en-AU"/>
        </w:rPr>
        <w:t xml:space="preserve"> On-site domestic-wastewater management</w:t>
      </w:r>
      <w:r w:rsidRPr="00D1198B">
        <w:rPr>
          <w:rFonts w:ascii="Tahoma" w:eastAsia="Times New Roman" w:hAnsi="Tahoma" w:cs="Tahoma"/>
          <w:bCs/>
          <w:noProof/>
          <w:sz w:val="20"/>
          <w:szCs w:val="20"/>
          <w:lang w:val="en-AU" w:eastAsia="en-AU"/>
        </w:rPr>
        <w:t>.</w:t>
      </w:r>
      <w:bookmarkEnd w:id="408"/>
    </w:p>
    <w:p w14:paraId="294D8AD5"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1ED3D9A9"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bookmarkStart w:id="409" w:name="_Toc377562663"/>
      <w:r w:rsidRPr="00D1198B">
        <w:rPr>
          <w:rFonts w:ascii="Tahoma" w:eastAsia="Times New Roman" w:hAnsi="Tahoma" w:cs="Tahoma"/>
          <w:bCs/>
          <w:noProof/>
          <w:sz w:val="20"/>
          <w:szCs w:val="20"/>
          <w:lang w:val="en-AU" w:eastAsia="en-AU"/>
        </w:rPr>
        <w:t>USEPA (2002).</w:t>
      </w:r>
      <w:r w:rsidRPr="00D1198B">
        <w:rPr>
          <w:rFonts w:ascii="Tahoma" w:eastAsia="Times New Roman" w:hAnsi="Tahoma" w:cs="Tahoma"/>
          <w:bCs/>
          <w:i/>
          <w:iCs/>
          <w:noProof/>
          <w:sz w:val="20"/>
          <w:szCs w:val="20"/>
          <w:lang w:val="en-AU" w:eastAsia="en-AU"/>
        </w:rPr>
        <w:t xml:space="preserve"> Onsite Wastewater Treatment Systems Manual</w:t>
      </w:r>
      <w:r w:rsidRPr="00D1198B">
        <w:rPr>
          <w:rFonts w:ascii="Tahoma" w:eastAsia="Times New Roman" w:hAnsi="Tahoma" w:cs="Tahoma"/>
          <w:bCs/>
          <w:noProof/>
          <w:sz w:val="20"/>
          <w:szCs w:val="20"/>
          <w:lang w:val="en-AU" w:eastAsia="en-AU"/>
        </w:rPr>
        <w:t>. United States Environmental Protection Agency.</w:t>
      </w:r>
      <w:bookmarkEnd w:id="409"/>
    </w:p>
    <w:p w14:paraId="225B09EF" w14:textId="2568F6D3" w:rsidR="00A16FA0" w:rsidRPr="00D1198B" w:rsidRDefault="00515487" w:rsidP="00515487">
      <w:pPr>
        <w:spacing w:after="0" w:line="240" w:lineRule="auto"/>
        <w:rPr>
          <w:rFonts w:ascii="Tahoma" w:eastAsia="Times New Roman" w:hAnsi="Tahoma" w:cs="Tahoma"/>
          <w:b/>
          <w:bCs/>
          <w:noProof/>
          <w:sz w:val="28"/>
          <w:szCs w:val="28"/>
          <w:lang w:val="en-AU" w:eastAsia="en-AU"/>
        </w:rPr>
      </w:pPr>
      <w:bookmarkStart w:id="410" w:name="_Toc377562664"/>
      <w:r>
        <w:rPr>
          <w:rFonts w:ascii="Tahoma" w:eastAsia="Times New Roman" w:hAnsi="Tahoma" w:cs="Tahoma"/>
          <w:b/>
          <w:bCs/>
          <w:noProof/>
          <w:sz w:val="28"/>
          <w:szCs w:val="28"/>
          <w:lang w:val="en-AU" w:eastAsia="en-AU"/>
        </w:rPr>
        <w:br w:type="page"/>
      </w:r>
      <w:bookmarkEnd w:id="410"/>
    </w:p>
    <w:p w14:paraId="1998C76E" w14:textId="77777777" w:rsidR="00A16FA0" w:rsidRPr="00D1198B" w:rsidRDefault="00A16FA0" w:rsidP="00A16FA0">
      <w:pPr>
        <w:spacing w:after="0" w:line="240" w:lineRule="auto"/>
        <w:jc w:val="both"/>
        <w:outlineLvl w:val="0"/>
        <w:rPr>
          <w:rFonts w:ascii="Tahoma" w:eastAsia="Times New Roman" w:hAnsi="Tahoma" w:cs="Tahoma"/>
          <w:b/>
          <w:bCs/>
          <w:noProof/>
          <w:sz w:val="28"/>
          <w:szCs w:val="28"/>
          <w:lang w:val="en-AU" w:eastAsia="en-AU"/>
        </w:rPr>
      </w:pPr>
      <w:bookmarkStart w:id="411" w:name="_Toc377562665"/>
      <w:r w:rsidRPr="00D1198B">
        <w:rPr>
          <w:rFonts w:ascii="Tahoma" w:eastAsia="Times New Roman" w:hAnsi="Tahoma" w:cs="Tahoma"/>
          <w:b/>
          <w:bCs/>
          <w:noProof/>
          <w:sz w:val="28"/>
          <w:szCs w:val="28"/>
          <w:lang w:val="en-AU" w:eastAsia="en-AU"/>
        </w:rPr>
        <w:lastRenderedPageBreak/>
        <w:t>Appendix A: Soil Bore Logs</w:t>
      </w:r>
      <w:bookmarkEnd w:id="411"/>
    </w:p>
    <w:p w14:paraId="152783E1"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p>
    <w:p w14:paraId="27FB1C11"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bookmarkStart w:id="412" w:name="_Toc377562666"/>
      <w:r w:rsidRPr="00D1198B">
        <w:rPr>
          <w:rFonts w:ascii="Times New Roman" w:eastAsia="Times New Roman" w:hAnsi="Times New Roman"/>
          <w:noProof/>
          <w:sz w:val="24"/>
          <w:szCs w:val="24"/>
          <w:lang w:val="en-AU" w:eastAsia="en-AU"/>
        </w:rPr>
        <w:drawing>
          <wp:inline distT="0" distB="0" distL="0" distR="0" wp14:anchorId="57269E54" wp14:editId="7F94DDEB">
            <wp:extent cx="5941695" cy="6616112"/>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695" cy="6616112"/>
                    </a:xfrm>
                    <a:prstGeom prst="rect">
                      <a:avLst/>
                    </a:prstGeom>
                    <a:noFill/>
                    <a:ln>
                      <a:noFill/>
                    </a:ln>
                  </pic:spPr>
                </pic:pic>
              </a:graphicData>
            </a:graphic>
          </wp:inline>
        </w:drawing>
      </w:r>
      <w:bookmarkEnd w:id="412"/>
    </w:p>
    <w:p w14:paraId="67707D08" w14:textId="77777777" w:rsidR="00A16FA0" w:rsidRPr="00D1198B" w:rsidRDefault="00A16FA0" w:rsidP="00A16FA0">
      <w:pPr>
        <w:spacing w:after="0" w:line="240" w:lineRule="auto"/>
        <w:jc w:val="both"/>
        <w:outlineLvl w:val="0"/>
        <w:rPr>
          <w:rFonts w:ascii="Times New Roman" w:eastAsia="Times New Roman" w:hAnsi="Times New Roman"/>
          <w:noProof/>
          <w:sz w:val="24"/>
          <w:szCs w:val="24"/>
          <w:lang w:val="en-AU" w:eastAsia="en-AU"/>
        </w:rPr>
      </w:pPr>
    </w:p>
    <w:p w14:paraId="61799956" w14:textId="77777777" w:rsidR="00A16FA0" w:rsidRPr="00D1198B" w:rsidRDefault="00A16FA0" w:rsidP="00A16FA0">
      <w:pPr>
        <w:spacing w:after="0" w:line="240" w:lineRule="auto"/>
        <w:jc w:val="both"/>
        <w:outlineLvl w:val="0"/>
        <w:rPr>
          <w:rFonts w:ascii="Times New Roman" w:eastAsia="Times New Roman" w:hAnsi="Times New Roman"/>
          <w:noProof/>
          <w:sz w:val="24"/>
          <w:szCs w:val="24"/>
          <w:lang w:val="en-AU" w:eastAsia="en-AU"/>
        </w:rPr>
      </w:pPr>
    </w:p>
    <w:p w14:paraId="10FC54A2" w14:textId="77777777" w:rsidR="00A16FA0" w:rsidRPr="00D1198B" w:rsidRDefault="00A16FA0" w:rsidP="00A16FA0">
      <w:pPr>
        <w:spacing w:after="0" w:line="240" w:lineRule="auto"/>
        <w:jc w:val="both"/>
        <w:outlineLvl w:val="0"/>
        <w:rPr>
          <w:rFonts w:ascii="Times New Roman" w:eastAsia="Times New Roman" w:hAnsi="Times New Roman"/>
          <w:noProof/>
          <w:sz w:val="24"/>
          <w:szCs w:val="24"/>
          <w:lang w:val="en-AU" w:eastAsia="en-AU"/>
        </w:rPr>
      </w:pPr>
      <w:bookmarkStart w:id="413" w:name="_Toc377562667"/>
      <w:r w:rsidRPr="00D1198B">
        <w:rPr>
          <w:rFonts w:ascii="Times New Roman" w:eastAsia="Times New Roman" w:hAnsi="Times New Roman"/>
          <w:noProof/>
          <w:sz w:val="24"/>
          <w:szCs w:val="24"/>
          <w:lang w:val="en-AU" w:eastAsia="en-AU"/>
        </w:rPr>
        <w:lastRenderedPageBreak/>
        <w:drawing>
          <wp:inline distT="0" distB="0" distL="0" distR="0" wp14:anchorId="0D1285AC" wp14:editId="1A9ED05C">
            <wp:extent cx="5941695" cy="6616112"/>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695" cy="6616112"/>
                    </a:xfrm>
                    <a:prstGeom prst="rect">
                      <a:avLst/>
                    </a:prstGeom>
                    <a:noFill/>
                    <a:ln>
                      <a:noFill/>
                    </a:ln>
                  </pic:spPr>
                </pic:pic>
              </a:graphicData>
            </a:graphic>
          </wp:inline>
        </w:drawing>
      </w:r>
      <w:bookmarkEnd w:id="413"/>
    </w:p>
    <w:p w14:paraId="3B477CE7" w14:textId="77777777" w:rsidR="00A16FA0" w:rsidRPr="00D1198B" w:rsidRDefault="00A16FA0" w:rsidP="00A16FA0">
      <w:pPr>
        <w:spacing w:after="0" w:line="240" w:lineRule="auto"/>
        <w:jc w:val="both"/>
        <w:outlineLvl w:val="0"/>
        <w:rPr>
          <w:rFonts w:ascii="Times New Roman" w:eastAsia="Times New Roman" w:hAnsi="Times New Roman"/>
          <w:noProof/>
          <w:sz w:val="24"/>
          <w:szCs w:val="24"/>
          <w:lang w:val="en-AU" w:eastAsia="en-AU"/>
        </w:rPr>
      </w:pPr>
      <w:bookmarkStart w:id="414" w:name="_Toc377562668"/>
      <w:r w:rsidRPr="00D1198B">
        <w:rPr>
          <w:rFonts w:ascii="Times New Roman" w:eastAsia="Times New Roman" w:hAnsi="Times New Roman"/>
          <w:noProof/>
          <w:sz w:val="24"/>
          <w:szCs w:val="24"/>
          <w:lang w:val="en-AU" w:eastAsia="en-AU"/>
        </w:rPr>
        <w:lastRenderedPageBreak/>
        <w:drawing>
          <wp:inline distT="0" distB="0" distL="0" distR="0" wp14:anchorId="59AC07BA" wp14:editId="37B14E27">
            <wp:extent cx="5734050" cy="434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4343400"/>
                    </a:xfrm>
                    <a:prstGeom prst="rect">
                      <a:avLst/>
                    </a:prstGeom>
                    <a:noFill/>
                    <a:ln>
                      <a:noFill/>
                    </a:ln>
                  </pic:spPr>
                </pic:pic>
              </a:graphicData>
            </a:graphic>
          </wp:inline>
        </w:drawing>
      </w:r>
      <w:bookmarkEnd w:id="414"/>
    </w:p>
    <w:p w14:paraId="408F90A5" w14:textId="77777777" w:rsidR="00A16FA0" w:rsidRPr="00D1198B" w:rsidRDefault="00A16FA0" w:rsidP="00A16FA0">
      <w:pPr>
        <w:spacing w:after="0" w:line="240" w:lineRule="auto"/>
        <w:rPr>
          <w:rFonts w:ascii="Times New Roman" w:eastAsia="Times New Roman" w:hAnsi="Times New Roman"/>
          <w:noProof/>
          <w:sz w:val="24"/>
          <w:szCs w:val="24"/>
          <w:lang w:val="en-AU" w:eastAsia="en-AU"/>
        </w:rPr>
      </w:pPr>
      <w:r w:rsidRPr="00D1198B">
        <w:rPr>
          <w:rFonts w:ascii="Times New Roman" w:eastAsia="Times New Roman" w:hAnsi="Times New Roman"/>
          <w:noProof/>
          <w:sz w:val="24"/>
          <w:szCs w:val="24"/>
          <w:lang w:val="en-AU" w:eastAsia="en-AU"/>
        </w:rPr>
        <w:br w:type="page"/>
      </w:r>
    </w:p>
    <w:p w14:paraId="5EACE4E7" w14:textId="77777777" w:rsidR="00A16FA0" w:rsidRPr="00D1198B" w:rsidRDefault="00A16FA0" w:rsidP="00A16FA0">
      <w:pPr>
        <w:spacing w:after="0" w:line="240" w:lineRule="auto"/>
        <w:jc w:val="both"/>
        <w:outlineLvl w:val="0"/>
        <w:rPr>
          <w:rFonts w:ascii="Tahoma" w:eastAsia="Times New Roman" w:hAnsi="Tahoma" w:cs="Tahoma"/>
          <w:b/>
          <w:bCs/>
          <w:noProof/>
          <w:sz w:val="28"/>
          <w:szCs w:val="28"/>
          <w:lang w:val="en-AU" w:eastAsia="en-AU"/>
        </w:rPr>
      </w:pPr>
      <w:bookmarkStart w:id="415" w:name="_Toc377562669"/>
      <w:r w:rsidRPr="00D1198B">
        <w:rPr>
          <w:rFonts w:ascii="Tahoma" w:eastAsia="Times New Roman" w:hAnsi="Tahoma" w:cs="Tahoma"/>
          <w:b/>
          <w:bCs/>
          <w:noProof/>
          <w:sz w:val="28"/>
          <w:szCs w:val="28"/>
          <w:lang w:val="en-AU" w:eastAsia="en-AU"/>
        </w:rPr>
        <w:lastRenderedPageBreak/>
        <w:t>Appendix B: Water and Nitrogen Balance Calculations</w:t>
      </w:r>
      <w:bookmarkEnd w:id="415"/>
    </w:p>
    <w:p w14:paraId="10D2A18D" w14:textId="09BA8BB4" w:rsidR="00A16FA0" w:rsidRPr="00D1198B" w:rsidRDefault="00B75EF3" w:rsidP="00515487">
      <w:pPr>
        <w:spacing w:after="0" w:line="240" w:lineRule="auto"/>
        <w:jc w:val="both"/>
        <w:outlineLvl w:val="0"/>
        <w:rPr>
          <w:rFonts w:ascii="Tahoma" w:eastAsia="Times New Roman" w:hAnsi="Tahoma" w:cs="Tahoma"/>
          <w:b/>
          <w:bCs/>
          <w:noProof/>
          <w:sz w:val="28"/>
          <w:szCs w:val="28"/>
          <w:lang w:val="en-AU" w:eastAsia="en-AU"/>
        </w:rPr>
      </w:pPr>
      <w:r>
        <w:rPr>
          <w:rFonts w:ascii="Tahoma" w:eastAsia="Times New Roman" w:hAnsi="Tahoma" w:cs="Tahoma"/>
          <w:b/>
          <w:bCs/>
          <w:noProof/>
          <w:sz w:val="28"/>
          <w:szCs w:val="28"/>
          <w:lang w:val="en-AU" w:eastAsia="en-AU"/>
        </w:rPr>
        <w:drawing>
          <wp:inline distT="0" distB="0" distL="0" distR="0" wp14:anchorId="4EA4AB4E" wp14:editId="4A3A92B6">
            <wp:extent cx="5876925" cy="792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6925" cy="7924800"/>
                    </a:xfrm>
                    <a:prstGeom prst="rect">
                      <a:avLst/>
                    </a:prstGeom>
                    <a:noFill/>
                    <a:ln>
                      <a:noFill/>
                    </a:ln>
                  </pic:spPr>
                </pic:pic>
              </a:graphicData>
            </a:graphic>
          </wp:inline>
        </w:drawing>
      </w:r>
    </w:p>
    <w:p w14:paraId="7B8C5B83" w14:textId="77777777" w:rsidR="00A16FA0" w:rsidRPr="00D1198B" w:rsidRDefault="00A16FA0" w:rsidP="00A16FA0">
      <w:pPr>
        <w:spacing w:after="0" w:line="240" w:lineRule="auto"/>
        <w:jc w:val="both"/>
        <w:outlineLvl w:val="0"/>
        <w:rPr>
          <w:rFonts w:ascii="Tahoma" w:eastAsia="Times New Roman" w:hAnsi="Tahoma" w:cs="Tahoma"/>
          <w:bCs/>
          <w:noProof/>
          <w:sz w:val="20"/>
          <w:szCs w:val="20"/>
          <w:lang w:val="en-AU" w:eastAsia="en-AU"/>
        </w:rPr>
      </w:pPr>
      <w:bookmarkStart w:id="416" w:name="_Toc377562671"/>
      <w:r w:rsidRPr="00D1198B">
        <w:rPr>
          <w:rFonts w:ascii="Times New Roman" w:eastAsia="Times New Roman" w:hAnsi="Times New Roman"/>
          <w:noProof/>
          <w:sz w:val="24"/>
          <w:szCs w:val="24"/>
          <w:lang w:val="en-AU" w:eastAsia="en-AU"/>
        </w:rPr>
        <w:lastRenderedPageBreak/>
        <w:drawing>
          <wp:inline distT="0" distB="0" distL="0" distR="0" wp14:anchorId="65615402" wp14:editId="61E0C563">
            <wp:extent cx="5878285" cy="4033589"/>
            <wp:effectExtent l="0" t="0" r="825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5062" cy="4038239"/>
                    </a:xfrm>
                    <a:prstGeom prst="rect">
                      <a:avLst/>
                    </a:prstGeom>
                    <a:noFill/>
                    <a:ln>
                      <a:noFill/>
                    </a:ln>
                  </pic:spPr>
                </pic:pic>
              </a:graphicData>
            </a:graphic>
          </wp:inline>
        </w:drawing>
      </w:r>
      <w:bookmarkEnd w:id="416"/>
    </w:p>
    <w:p w14:paraId="529FA0C2" w14:textId="77777777" w:rsidR="00A16FA0" w:rsidRPr="00D1198B" w:rsidRDefault="00A16FA0" w:rsidP="00A16FA0">
      <w:pPr>
        <w:widowControl w:val="0"/>
        <w:autoSpaceDE w:val="0"/>
        <w:autoSpaceDN w:val="0"/>
        <w:adjustRightInd w:val="0"/>
        <w:spacing w:after="0" w:line="240" w:lineRule="auto"/>
        <w:jc w:val="both"/>
        <w:outlineLvl w:val="0"/>
        <w:rPr>
          <w:rFonts w:ascii="Tahoma" w:eastAsia="Times New Roman" w:hAnsi="Tahoma" w:cs="Tahoma"/>
          <w:sz w:val="20"/>
          <w:szCs w:val="20"/>
          <w:lang w:val="en-AU" w:eastAsia="en-AU"/>
        </w:rPr>
      </w:pPr>
    </w:p>
    <w:p w14:paraId="4D098EB0" w14:textId="77777777" w:rsidR="00A16FA0" w:rsidRPr="00A16FA0" w:rsidRDefault="00A16FA0" w:rsidP="00A16FA0"/>
    <w:sectPr w:rsidR="00A16FA0" w:rsidRPr="00A16FA0" w:rsidSect="00A442B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E9718" w14:textId="77777777" w:rsidR="009F0893" w:rsidRDefault="009F0893" w:rsidP="00286BB4">
      <w:pPr>
        <w:spacing w:after="0" w:line="240" w:lineRule="auto"/>
      </w:pPr>
      <w:r>
        <w:separator/>
      </w:r>
    </w:p>
  </w:endnote>
  <w:endnote w:type="continuationSeparator" w:id="0">
    <w:p w14:paraId="465FF957" w14:textId="77777777" w:rsidR="009F0893" w:rsidRDefault="009F0893" w:rsidP="00286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DD475" w14:textId="0A6B71D3" w:rsidR="009F0893" w:rsidRPr="000453D9" w:rsidRDefault="00A522BC" w:rsidP="000453D9">
    <w:pPr>
      <w:pStyle w:val="Footer"/>
      <w:jc w:val="right"/>
      <w:rPr>
        <w:rFonts w:cs="Arial"/>
        <w:sz w:val="18"/>
        <w:szCs w:val="18"/>
      </w:rPr>
    </w:pPr>
    <w:sdt>
      <w:sdtPr>
        <w:rPr>
          <w:rFonts w:cs="Arial"/>
          <w:sz w:val="18"/>
          <w:szCs w:val="18"/>
        </w:rPr>
        <w:alias w:val="Document Title"/>
        <w:tag w:val="Document Title"/>
        <w:id w:val="7414068"/>
        <w:placeholder>
          <w:docPart w:val="6029388401774343971B0CA3F07CD90A"/>
        </w:placeholder>
        <w:dataBinding w:prefixMappings="xmlns:ns0='http://purl.org/dc/elements/1.1/' xmlns:ns1='http://schemas.openxmlformats.org/package/2006/metadata/core-properties' " w:xpath="/ns1:coreProperties[1]/ns0:title[1]" w:storeItemID="{6C3C8BC8-F283-45AE-878A-BAB7291924A1}"/>
        <w:text/>
      </w:sdtPr>
      <w:sdtEndPr/>
      <w:sdtContent>
        <w:r w:rsidR="009F0893">
          <w:rPr>
            <w:rFonts w:cs="Arial"/>
            <w:sz w:val="18"/>
            <w:szCs w:val="18"/>
            <w:lang w:val="en-AU"/>
          </w:rPr>
          <w:t>Victorian land capability assessment framework w EPA edits</w:t>
        </w:r>
      </w:sdtContent>
    </w:sdt>
    <w:r w:rsidR="009F0893">
      <w:rPr>
        <w:rFonts w:cs="Arial"/>
        <w:sz w:val="18"/>
        <w:szCs w:val="18"/>
      </w:rPr>
      <w:t>:</w:t>
    </w:r>
    <w:r w:rsidR="009F0893" w:rsidRPr="000453D9">
      <w:rPr>
        <w:rFonts w:cs="Arial"/>
        <w:b/>
        <w:szCs w:val="24"/>
      </w:rPr>
      <w:t xml:space="preserve"> </w:t>
    </w:r>
    <w:sdt>
      <w:sdtPr>
        <w:rPr>
          <w:rFonts w:cs="Arial"/>
          <w:sz w:val="18"/>
          <w:szCs w:val="18"/>
        </w:rPr>
        <w:alias w:val="Publish Date"/>
        <w:tag w:val="Publish Date"/>
        <w:id w:val="7414151"/>
        <w:placeholder>
          <w:docPart w:val="E5E2CC15751A4C1EA27C7E36CAA8E3CA"/>
        </w:placeholder>
        <w:dataBinding w:prefixMappings="xmlns:ns0='http://schemas.microsoft.com/office/2006/coverPageProps' " w:xpath="/ns0:CoverPageProperties[1]/ns0:PublishDate[1]" w:storeItemID="{55AF091B-3C7A-41E3-B477-F2FDAA23CFDA}"/>
        <w:date w:fullDate="2014-01-01T00:00:00Z">
          <w:dateFormat w:val="MMMM yyyy"/>
          <w:lid w:val="en-AU"/>
          <w:storeMappedDataAs w:val="dateTime"/>
          <w:calendar w:val="gregorian"/>
        </w:date>
      </w:sdtPr>
      <w:sdtEndPr/>
      <w:sdtContent>
        <w:r w:rsidR="009F0893">
          <w:rPr>
            <w:rFonts w:cs="Arial"/>
            <w:sz w:val="18"/>
            <w:szCs w:val="18"/>
            <w:lang w:val="en-AU"/>
          </w:rPr>
          <w:t>January 2014</w:t>
        </w:r>
      </w:sdtContent>
    </w:sdt>
  </w:p>
  <w:p w14:paraId="104C775B" w14:textId="77777777" w:rsidR="009F0893" w:rsidRPr="00B873B6" w:rsidRDefault="009F0893" w:rsidP="000453D9">
    <w:pPr>
      <w:pStyle w:val="Footer"/>
      <w:jc w:val="right"/>
      <w:rPr>
        <w:rFonts w:cs="Arial"/>
        <w:b/>
        <w:sz w:val="18"/>
        <w:szCs w:val="18"/>
      </w:rPr>
    </w:pPr>
  </w:p>
  <w:p w14:paraId="608B9248" w14:textId="77777777" w:rsidR="009F0893" w:rsidRDefault="009F0893" w:rsidP="00C400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0102C" w14:textId="5D069355" w:rsidR="009F0893" w:rsidRPr="000453D9" w:rsidRDefault="009F0893" w:rsidP="000453D9">
    <w:pPr>
      <w:pStyle w:val="Footer"/>
      <w:rPr>
        <w:rFonts w:cs="Arial"/>
        <w:sz w:val="18"/>
        <w:szCs w:val="18"/>
      </w:rPr>
    </w:pPr>
    <w:r>
      <w:fldChar w:fldCharType="begin"/>
    </w:r>
    <w:r>
      <w:instrText xml:space="preserve"> PAGE   \* MERGEFORMAT </w:instrText>
    </w:r>
    <w:r>
      <w:fldChar w:fldCharType="separate"/>
    </w:r>
    <w:r w:rsidR="00A522BC">
      <w:rPr>
        <w:noProof/>
      </w:rPr>
      <w:t>66</w:t>
    </w:r>
    <w:r>
      <w:rPr>
        <w:noProof/>
      </w:rPr>
      <w:fldChar w:fldCharType="end"/>
    </w:r>
    <w:r>
      <w:tab/>
    </w:r>
    <w:r>
      <w:tab/>
    </w:r>
    <w:sdt>
      <w:sdtPr>
        <w:rPr>
          <w:rFonts w:cs="Arial"/>
          <w:sz w:val="18"/>
          <w:szCs w:val="18"/>
        </w:rPr>
        <w:alias w:val="Document Title"/>
        <w:tag w:val="Document Title"/>
        <w:id w:val="223183090"/>
        <w:placeholder>
          <w:docPart w:val="6029388401774343971B0CA3F07CD90A"/>
        </w:placeholder>
        <w:dataBinding w:prefixMappings="xmlns:ns0='http://purl.org/dc/elements/1.1/' xmlns:ns1='http://schemas.openxmlformats.org/package/2006/metadata/core-properties' " w:xpath="/ns1:coreProperties[1]/ns0:title[1]" w:storeItemID="{6C3C8BC8-F283-45AE-878A-BAB7291924A1}"/>
        <w:text/>
      </w:sdtPr>
      <w:sdtEndPr/>
      <w:sdtContent>
        <w:r>
          <w:rPr>
            <w:rFonts w:cs="Arial"/>
            <w:sz w:val="18"/>
            <w:szCs w:val="18"/>
            <w:lang w:val="en-AU"/>
          </w:rPr>
          <w:t>Victorian land capability assessment framework w EPA edits</w:t>
        </w:r>
      </w:sdtContent>
    </w:sdt>
    <w:r>
      <w:rPr>
        <w:rFonts w:cs="Arial"/>
        <w:sz w:val="18"/>
        <w:szCs w:val="18"/>
      </w:rPr>
      <w:t>:</w:t>
    </w:r>
    <w:r w:rsidRPr="000453D9">
      <w:rPr>
        <w:rFonts w:cs="Arial"/>
        <w:b/>
        <w:szCs w:val="24"/>
      </w:rPr>
      <w:t xml:space="preserve"> </w:t>
    </w:r>
    <w:sdt>
      <w:sdtPr>
        <w:rPr>
          <w:rFonts w:cs="Arial"/>
          <w:sz w:val="18"/>
          <w:szCs w:val="18"/>
        </w:rPr>
        <w:alias w:val="Publish Date"/>
        <w:tag w:val="Publish Date"/>
        <w:id w:val="546803287"/>
        <w:placeholder>
          <w:docPart w:val="E5E2CC15751A4C1EA27C7E36CAA8E3CA"/>
        </w:placeholder>
        <w:dataBinding w:prefixMappings="xmlns:ns0='http://schemas.microsoft.com/office/2006/coverPageProps' " w:xpath="/ns0:CoverPageProperties[1]/ns0:PublishDate[1]" w:storeItemID="{55AF091B-3C7A-41E3-B477-F2FDAA23CFDA}"/>
        <w:date w:fullDate="2014-01-01T00:00:00Z">
          <w:dateFormat w:val="MMMM yyyy"/>
          <w:lid w:val="en-AU"/>
          <w:storeMappedDataAs w:val="dateTime"/>
          <w:calendar w:val="gregorian"/>
        </w:date>
      </w:sdtPr>
      <w:sdtEndPr/>
      <w:sdtContent>
        <w:r>
          <w:rPr>
            <w:rFonts w:cs="Arial"/>
            <w:sz w:val="18"/>
            <w:szCs w:val="18"/>
            <w:lang w:val="en-AU"/>
          </w:rPr>
          <w:t>January 2014</w:t>
        </w:r>
      </w:sdtContent>
    </w:sdt>
  </w:p>
  <w:p w14:paraId="7B6925DF" w14:textId="77777777" w:rsidR="009F0893" w:rsidRDefault="009F0893" w:rsidP="00271AF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C5F8C" w14:textId="77777777" w:rsidR="009F0893" w:rsidRDefault="009F0893" w:rsidP="00286BB4">
      <w:pPr>
        <w:spacing w:after="0" w:line="240" w:lineRule="auto"/>
      </w:pPr>
      <w:r>
        <w:separator/>
      </w:r>
    </w:p>
  </w:footnote>
  <w:footnote w:type="continuationSeparator" w:id="0">
    <w:p w14:paraId="0CAE4D36" w14:textId="77777777" w:rsidR="009F0893" w:rsidRDefault="009F0893" w:rsidP="00286B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CA83D" w14:textId="75BF3E48" w:rsidR="009F0893" w:rsidRDefault="009F0893" w:rsidP="0094028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3447"/>
    <w:multiLevelType w:val="hybridMultilevel"/>
    <w:tmpl w:val="0C8E0770"/>
    <w:lvl w:ilvl="0" w:tplc="0C090005">
      <w:start w:val="1"/>
      <w:numFmt w:val="bullet"/>
      <w:lvlText w:val=""/>
      <w:lvlJc w:val="left"/>
      <w:pPr>
        <w:tabs>
          <w:tab w:val="num" w:pos="720"/>
        </w:tabs>
        <w:ind w:left="72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47F37B4"/>
    <w:multiLevelType w:val="hybridMultilevel"/>
    <w:tmpl w:val="61B253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6AF2A6E"/>
    <w:multiLevelType w:val="hybridMultilevel"/>
    <w:tmpl w:val="DA8E0FFE"/>
    <w:lvl w:ilvl="0" w:tplc="0C090005">
      <w:start w:val="1"/>
      <w:numFmt w:val="bullet"/>
      <w:lvlText w:val=""/>
      <w:lvlJc w:val="left"/>
      <w:pPr>
        <w:tabs>
          <w:tab w:val="num" w:pos="720"/>
        </w:tabs>
        <w:ind w:left="72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7B600A4"/>
    <w:multiLevelType w:val="hybridMultilevel"/>
    <w:tmpl w:val="9E0A9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8957452"/>
    <w:multiLevelType w:val="hybridMultilevel"/>
    <w:tmpl w:val="67244D4C"/>
    <w:name w:val="Adam136"/>
    <w:lvl w:ilvl="0" w:tplc="0C09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C472121"/>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C5A0FE4"/>
    <w:multiLevelType w:val="hybridMultilevel"/>
    <w:tmpl w:val="50FC33B8"/>
    <w:lvl w:ilvl="0" w:tplc="0C090005">
      <w:start w:val="1"/>
      <w:numFmt w:val="bullet"/>
      <w:lvlText w:val=""/>
      <w:lvlJc w:val="left"/>
      <w:pPr>
        <w:tabs>
          <w:tab w:val="num" w:pos="720"/>
        </w:tabs>
        <w:ind w:left="72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95C0292"/>
    <w:multiLevelType w:val="hybridMultilevel"/>
    <w:tmpl w:val="9ECC9B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1B234E6C"/>
    <w:multiLevelType w:val="hybridMultilevel"/>
    <w:tmpl w:val="AB880BCE"/>
    <w:lvl w:ilvl="0" w:tplc="AA32B1F2">
      <w:start w:val="1"/>
      <w:numFmt w:val="decimal"/>
      <w:lvlText w:val="2.%1"/>
      <w:lvlJc w:val="left"/>
      <w:pPr>
        <w:ind w:left="36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9">
    <w:nsid w:val="1F9E2069"/>
    <w:multiLevelType w:val="hybridMultilevel"/>
    <w:tmpl w:val="11380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A2218C"/>
    <w:multiLevelType w:val="hybridMultilevel"/>
    <w:tmpl w:val="435A3C76"/>
    <w:lvl w:ilvl="0" w:tplc="B8CE6CB0">
      <w:start w:val="1"/>
      <w:numFmt w:val="decimal"/>
      <w:lvlText w:val="4.%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5F14CFF"/>
    <w:multiLevelType w:val="multilevel"/>
    <w:tmpl w:val="B24E0B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31B10831"/>
    <w:multiLevelType w:val="hybridMultilevel"/>
    <w:tmpl w:val="DA3239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35B23095"/>
    <w:multiLevelType w:val="hybridMultilevel"/>
    <w:tmpl w:val="F88CAC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365A59F3"/>
    <w:multiLevelType w:val="hybridMultilevel"/>
    <w:tmpl w:val="200846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72A15DE"/>
    <w:multiLevelType w:val="hybridMultilevel"/>
    <w:tmpl w:val="2FC4E5E2"/>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6">
    <w:nsid w:val="386D5CCD"/>
    <w:multiLevelType w:val="hybridMultilevel"/>
    <w:tmpl w:val="D1F64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0814DE6"/>
    <w:multiLevelType w:val="hybridMultilevel"/>
    <w:tmpl w:val="BFF80CFE"/>
    <w:lvl w:ilvl="0" w:tplc="ED6E54F8">
      <w:start w:val="1"/>
      <w:numFmt w:val="bullet"/>
      <w:pStyle w:val="Builtpointstyle1"/>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3E86D81"/>
    <w:multiLevelType w:val="hybridMultilevel"/>
    <w:tmpl w:val="EC18D938"/>
    <w:lvl w:ilvl="0" w:tplc="D20CB860">
      <w:start w:val="1"/>
      <w:numFmt w:val="decimal"/>
      <w:pStyle w:val="TOC2"/>
      <w:lvlText w:val="%1."/>
      <w:lvlJc w:val="left"/>
      <w:pPr>
        <w:ind w:left="360" w:hanging="360"/>
      </w:pPr>
      <w:rPr>
        <w:rFonts w:ascii="Arial" w:hAnsi="Arial" w:cs="Arial"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57C768A"/>
    <w:multiLevelType w:val="hybridMultilevel"/>
    <w:tmpl w:val="CA98DA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64A4130"/>
    <w:multiLevelType w:val="hybridMultilevel"/>
    <w:tmpl w:val="C7D84D50"/>
    <w:lvl w:ilvl="0" w:tplc="0C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1">
    <w:nsid w:val="4A902808"/>
    <w:multiLevelType w:val="hybridMultilevel"/>
    <w:tmpl w:val="CD84F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C477A3B"/>
    <w:multiLevelType w:val="hybridMultilevel"/>
    <w:tmpl w:val="02E2E138"/>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3">
    <w:nsid w:val="511F526E"/>
    <w:multiLevelType w:val="hybridMultilevel"/>
    <w:tmpl w:val="1A0EE5A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4">
    <w:nsid w:val="587A12FB"/>
    <w:multiLevelType w:val="hybridMultilevel"/>
    <w:tmpl w:val="BEE012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A48527B"/>
    <w:multiLevelType w:val="hybridMultilevel"/>
    <w:tmpl w:val="3314E620"/>
    <w:lvl w:ilvl="0" w:tplc="0C090005">
      <w:start w:val="1"/>
      <w:numFmt w:val="bullet"/>
      <w:lvlText w:val=""/>
      <w:lvlJc w:val="left"/>
      <w:pPr>
        <w:tabs>
          <w:tab w:val="num" w:pos="720"/>
        </w:tabs>
        <w:ind w:left="72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FB32BBB"/>
    <w:multiLevelType w:val="hybridMultilevel"/>
    <w:tmpl w:val="BABE820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61427888"/>
    <w:multiLevelType w:val="hybridMultilevel"/>
    <w:tmpl w:val="758C176A"/>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8">
    <w:nsid w:val="629A72B4"/>
    <w:multiLevelType w:val="hybridMultilevel"/>
    <w:tmpl w:val="D7C89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5D84D06"/>
    <w:multiLevelType w:val="hybridMultilevel"/>
    <w:tmpl w:val="4888E63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nsid w:val="68BB2B69"/>
    <w:multiLevelType w:val="hybridMultilevel"/>
    <w:tmpl w:val="333C13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8E8687C"/>
    <w:multiLevelType w:val="hybridMultilevel"/>
    <w:tmpl w:val="4A0AB798"/>
    <w:lvl w:ilvl="0" w:tplc="0C090005">
      <w:start w:val="1"/>
      <w:numFmt w:val="bullet"/>
      <w:lvlText w:val=""/>
      <w:lvlJc w:val="left"/>
      <w:pPr>
        <w:tabs>
          <w:tab w:val="num" w:pos="720"/>
        </w:tabs>
        <w:ind w:left="72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B45063D"/>
    <w:multiLevelType w:val="multilevel"/>
    <w:tmpl w:val="053C1EF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71DD743A"/>
    <w:multiLevelType w:val="hybridMultilevel"/>
    <w:tmpl w:val="85408DCC"/>
    <w:lvl w:ilvl="0" w:tplc="0C090005">
      <w:start w:val="1"/>
      <w:numFmt w:val="bullet"/>
      <w:lvlText w:val=""/>
      <w:lvlJc w:val="left"/>
      <w:pPr>
        <w:tabs>
          <w:tab w:val="num" w:pos="720"/>
        </w:tabs>
        <w:ind w:left="72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44F5579"/>
    <w:multiLevelType w:val="hybridMultilevel"/>
    <w:tmpl w:val="80CCA0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764043A3"/>
    <w:multiLevelType w:val="hybridMultilevel"/>
    <w:tmpl w:val="0B5C107E"/>
    <w:lvl w:ilvl="0" w:tplc="0C090005">
      <w:start w:val="1"/>
      <w:numFmt w:val="bullet"/>
      <w:lvlText w:val=""/>
      <w:lvlJc w:val="left"/>
      <w:pPr>
        <w:tabs>
          <w:tab w:val="num" w:pos="720"/>
        </w:tabs>
        <w:ind w:left="72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770F5A43"/>
    <w:multiLevelType w:val="hybridMultilevel"/>
    <w:tmpl w:val="60BEBDA0"/>
    <w:lvl w:ilvl="0" w:tplc="55BA5B66">
      <w:start w:val="1"/>
      <w:numFmt w:val="bullet"/>
      <w:pStyle w:val="Bulletpointstyle1"/>
      <w:lvlText w:val=""/>
      <w:lvlJc w:val="left"/>
      <w:pPr>
        <w:tabs>
          <w:tab w:val="num" w:pos="360"/>
        </w:tabs>
        <w:ind w:left="360" w:hanging="360"/>
      </w:pPr>
      <w:rPr>
        <w:rFonts w:ascii="Wingdings" w:hAnsi="Wingdings" w:hint="default"/>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DDB00CB"/>
    <w:multiLevelType w:val="hybridMultilevel"/>
    <w:tmpl w:val="1EE6C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36"/>
  </w:num>
  <w:num w:numId="3">
    <w:abstractNumId w:val="29"/>
  </w:num>
  <w:num w:numId="4">
    <w:abstractNumId w:val="9"/>
  </w:num>
  <w:num w:numId="5">
    <w:abstractNumId w:val="16"/>
  </w:num>
  <w:num w:numId="6">
    <w:abstractNumId w:val="34"/>
  </w:num>
  <w:num w:numId="7">
    <w:abstractNumId w:val="7"/>
  </w:num>
  <w:num w:numId="8">
    <w:abstractNumId w:val="13"/>
  </w:num>
  <w:num w:numId="9">
    <w:abstractNumId w:val="30"/>
  </w:num>
  <w:num w:numId="10">
    <w:abstractNumId w:val="14"/>
  </w:num>
  <w:num w:numId="11">
    <w:abstractNumId w:val="21"/>
  </w:num>
  <w:num w:numId="12">
    <w:abstractNumId w:val="1"/>
  </w:num>
  <w:num w:numId="13">
    <w:abstractNumId w:val="19"/>
  </w:num>
  <w:num w:numId="14">
    <w:abstractNumId w:val="12"/>
  </w:num>
  <w:num w:numId="15">
    <w:abstractNumId w:val="37"/>
  </w:num>
  <w:num w:numId="16">
    <w:abstractNumId w:val="22"/>
  </w:num>
  <w:num w:numId="17">
    <w:abstractNumId w:val="27"/>
  </w:num>
  <w:num w:numId="18">
    <w:abstractNumId w:val="20"/>
  </w:num>
  <w:num w:numId="19">
    <w:abstractNumId w:val="23"/>
  </w:num>
  <w:num w:numId="20">
    <w:abstractNumId w:val="15"/>
  </w:num>
  <w:num w:numId="21">
    <w:abstractNumId w:val="0"/>
  </w:num>
  <w:num w:numId="22">
    <w:abstractNumId w:val="33"/>
  </w:num>
  <w:num w:numId="23">
    <w:abstractNumId w:val="31"/>
  </w:num>
  <w:num w:numId="24">
    <w:abstractNumId w:val="35"/>
  </w:num>
  <w:num w:numId="25">
    <w:abstractNumId w:val="25"/>
  </w:num>
  <w:num w:numId="26">
    <w:abstractNumId w:val="6"/>
  </w:num>
  <w:num w:numId="27">
    <w:abstractNumId w:val="2"/>
  </w:num>
  <w:num w:numId="28">
    <w:abstractNumId w:val="18"/>
  </w:num>
  <w:num w:numId="29">
    <w:abstractNumId w:val="26"/>
  </w:num>
  <w:num w:numId="30">
    <w:abstractNumId w:val="3"/>
  </w:num>
  <w:num w:numId="31">
    <w:abstractNumId w:val="28"/>
  </w:num>
  <w:num w:numId="32">
    <w:abstractNumId w:val="24"/>
  </w:num>
  <w:num w:numId="33">
    <w:abstractNumId w:val="5"/>
  </w:num>
  <w:num w:numId="34">
    <w:abstractNumId w:val="32"/>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0"/>
  </w:num>
  <w:num w:numId="45">
    <w:abstractNumId w:val="11"/>
  </w:num>
  <w:num w:numId="46">
    <w:abstractNumId w:val="8"/>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h.West">
    <w15:presenceInfo w15:providerId="None" w15:userId="Sarah.We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hideSpellingErrors/>
  <w:hideGrammaticalErrors/>
  <w:attachedTemplate r:id="rId1"/>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B22"/>
    <w:rsid w:val="00005B13"/>
    <w:rsid w:val="0002686B"/>
    <w:rsid w:val="000453D9"/>
    <w:rsid w:val="00051B2B"/>
    <w:rsid w:val="000C3436"/>
    <w:rsid w:val="000C7877"/>
    <w:rsid w:val="0011373A"/>
    <w:rsid w:val="00127845"/>
    <w:rsid w:val="001667C7"/>
    <w:rsid w:val="00170172"/>
    <w:rsid w:val="00182B22"/>
    <w:rsid w:val="001865E7"/>
    <w:rsid w:val="001B6353"/>
    <w:rsid w:val="001C0A22"/>
    <w:rsid w:val="001E13F5"/>
    <w:rsid w:val="00207081"/>
    <w:rsid w:val="00233FCC"/>
    <w:rsid w:val="00234B73"/>
    <w:rsid w:val="00261DD3"/>
    <w:rsid w:val="002627CC"/>
    <w:rsid w:val="00271AF4"/>
    <w:rsid w:val="00272FF2"/>
    <w:rsid w:val="00280C81"/>
    <w:rsid w:val="00286BB4"/>
    <w:rsid w:val="002A1D84"/>
    <w:rsid w:val="002C104E"/>
    <w:rsid w:val="002E0F44"/>
    <w:rsid w:val="00334B10"/>
    <w:rsid w:val="00354BAF"/>
    <w:rsid w:val="003804F8"/>
    <w:rsid w:val="003833FA"/>
    <w:rsid w:val="00384FAD"/>
    <w:rsid w:val="003D07E7"/>
    <w:rsid w:val="00432966"/>
    <w:rsid w:val="00433E75"/>
    <w:rsid w:val="0043667C"/>
    <w:rsid w:val="00440DDC"/>
    <w:rsid w:val="00456BD1"/>
    <w:rsid w:val="00497EF4"/>
    <w:rsid w:val="00515487"/>
    <w:rsid w:val="00536548"/>
    <w:rsid w:val="005570B6"/>
    <w:rsid w:val="00582E4F"/>
    <w:rsid w:val="0058633E"/>
    <w:rsid w:val="00593D06"/>
    <w:rsid w:val="005A5847"/>
    <w:rsid w:val="005B0AC3"/>
    <w:rsid w:val="005D6C8F"/>
    <w:rsid w:val="005E43F3"/>
    <w:rsid w:val="0062115A"/>
    <w:rsid w:val="00684C48"/>
    <w:rsid w:val="00687996"/>
    <w:rsid w:val="00695919"/>
    <w:rsid w:val="006A62CB"/>
    <w:rsid w:val="006B324C"/>
    <w:rsid w:val="006C7994"/>
    <w:rsid w:val="006D594A"/>
    <w:rsid w:val="0070753F"/>
    <w:rsid w:val="007155DD"/>
    <w:rsid w:val="007247A2"/>
    <w:rsid w:val="00734469"/>
    <w:rsid w:val="0073644F"/>
    <w:rsid w:val="0074397E"/>
    <w:rsid w:val="00773756"/>
    <w:rsid w:val="00774DC2"/>
    <w:rsid w:val="007A7583"/>
    <w:rsid w:val="007B599D"/>
    <w:rsid w:val="007B6413"/>
    <w:rsid w:val="007D09D2"/>
    <w:rsid w:val="00802937"/>
    <w:rsid w:val="00851973"/>
    <w:rsid w:val="00856CD6"/>
    <w:rsid w:val="00871A83"/>
    <w:rsid w:val="008954FE"/>
    <w:rsid w:val="008A6E86"/>
    <w:rsid w:val="008D40D7"/>
    <w:rsid w:val="008E2731"/>
    <w:rsid w:val="008F074A"/>
    <w:rsid w:val="00903C87"/>
    <w:rsid w:val="00920DF2"/>
    <w:rsid w:val="009365EF"/>
    <w:rsid w:val="00940288"/>
    <w:rsid w:val="0096018B"/>
    <w:rsid w:val="009751E6"/>
    <w:rsid w:val="009C0A61"/>
    <w:rsid w:val="009E0C04"/>
    <w:rsid w:val="009E4853"/>
    <w:rsid w:val="009F0893"/>
    <w:rsid w:val="00A1338E"/>
    <w:rsid w:val="00A16FA0"/>
    <w:rsid w:val="00A3460F"/>
    <w:rsid w:val="00A442B0"/>
    <w:rsid w:val="00A522BC"/>
    <w:rsid w:val="00A86F9C"/>
    <w:rsid w:val="00A91CEF"/>
    <w:rsid w:val="00AB1B54"/>
    <w:rsid w:val="00AB4826"/>
    <w:rsid w:val="00AC3500"/>
    <w:rsid w:val="00AD2B12"/>
    <w:rsid w:val="00AD6A6E"/>
    <w:rsid w:val="00AD77A4"/>
    <w:rsid w:val="00AF608D"/>
    <w:rsid w:val="00B11370"/>
    <w:rsid w:val="00B13173"/>
    <w:rsid w:val="00B238C5"/>
    <w:rsid w:val="00B244A9"/>
    <w:rsid w:val="00B36A42"/>
    <w:rsid w:val="00B375CE"/>
    <w:rsid w:val="00B44581"/>
    <w:rsid w:val="00B60EAA"/>
    <w:rsid w:val="00B75EF3"/>
    <w:rsid w:val="00B873B6"/>
    <w:rsid w:val="00BC6CD0"/>
    <w:rsid w:val="00BF141B"/>
    <w:rsid w:val="00C00622"/>
    <w:rsid w:val="00C0733C"/>
    <w:rsid w:val="00C4007E"/>
    <w:rsid w:val="00C45565"/>
    <w:rsid w:val="00C64902"/>
    <w:rsid w:val="00CA0701"/>
    <w:rsid w:val="00CB3A67"/>
    <w:rsid w:val="00CC2C7D"/>
    <w:rsid w:val="00CE2037"/>
    <w:rsid w:val="00D1198B"/>
    <w:rsid w:val="00D4531C"/>
    <w:rsid w:val="00DB6542"/>
    <w:rsid w:val="00E34CC3"/>
    <w:rsid w:val="00E47927"/>
    <w:rsid w:val="00E72AA1"/>
    <w:rsid w:val="00E81770"/>
    <w:rsid w:val="00EC0646"/>
    <w:rsid w:val="00F052E8"/>
    <w:rsid w:val="00F07943"/>
    <w:rsid w:val="00F30DB8"/>
    <w:rsid w:val="00F566C3"/>
    <w:rsid w:val="00F5743A"/>
    <w:rsid w:val="00F77E3C"/>
    <w:rsid w:val="00F82A46"/>
    <w:rsid w:val="00FB5037"/>
    <w:rsid w:val="00FD4947"/>
    <w:rsid w:val="00FE78D4"/>
    <w:rsid w:val="00FF25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DC1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86F9C"/>
    <w:pPr>
      <w:spacing w:after="200" w:line="276" w:lineRule="auto"/>
    </w:pPr>
    <w:rPr>
      <w:rFonts w:ascii="Arial" w:hAnsi="Arial"/>
      <w:sz w:val="22"/>
      <w:szCs w:val="22"/>
      <w:lang w:val="en-US"/>
    </w:rPr>
  </w:style>
  <w:style w:type="paragraph" w:styleId="Heading1">
    <w:name w:val="heading 1"/>
    <w:basedOn w:val="Normal"/>
    <w:next w:val="Normal"/>
    <w:link w:val="Heading1Char"/>
    <w:qFormat/>
    <w:rsid w:val="0073644F"/>
    <w:pPr>
      <w:keepNext/>
      <w:keepLines/>
      <w:spacing w:before="480" w:after="240"/>
      <w:outlineLvl w:val="0"/>
    </w:pPr>
    <w:rPr>
      <w:rFonts w:eastAsia="Times New Roman" w:cs="Arial"/>
      <w:b/>
      <w:bCs/>
      <w:sz w:val="28"/>
      <w:szCs w:val="28"/>
    </w:rPr>
  </w:style>
  <w:style w:type="paragraph" w:styleId="Heading2">
    <w:name w:val="heading 2"/>
    <w:basedOn w:val="Normal"/>
    <w:next w:val="Body3"/>
    <w:link w:val="Heading2Char"/>
    <w:unhideWhenUsed/>
    <w:qFormat/>
    <w:rsid w:val="0073644F"/>
    <w:pPr>
      <w:keepNext/>
      <w:keepLines/>
      <w:spacing w:after="0"/>
      <w:ind w:left="720"/>
      <w:outlineLvl w:val="1"/>
    </w:pPr>
    <w:rPr>
      <w:rFonts w:eastAsia="Times New Roman" w:cs="Arial"/>
      <w:b/>
      <w:bCs/>
      <w:szCs w:val="26"/>
    </w:rPr>
  </w:style>
  <w:style w:type="paragraph" w:styleId="Heading3">
    <w:name w:val="heading 3"/>
    <w:basedOn w:val="Normal"/>
    <w:next w:val="Normal"/>
    <w:link w:val="Heading3Char"/>
    <w:uiPriority w:val="9"/>
    <w:unhideWhenUsed/>
    <w:qFormat/>
    <w:rsid w:val="0073644F"/>
    <w:pPr>
      <w:keepNext/>
      <w:keepLines/>
      <w:spacing w:after="0"/>
      <w:ind w:left="1440"/>
      <w:outlineLvl w:val="2"/>
    </w:pPr>
    <w:rPr>
      <w:rFonts w:eastAsia="Times New Roman" w:cs="Arial"/>
      <w:bCs/>
      <w:u w:val="single"/>
    </w:rPr>
  </w:style>
  <w:style w:type="paragraph" w:styleId="Heading4">
    <w:name w:val="heading 4"/>
    <w:basedOn w:val="Normal"/>
    <w:next w:val="Normal"/>
    <w:link w:val="Heading4Char"/>
    <w:uiPriority w:val="9"/>
    <w:unhideWhenUsed/>
    <w:rsid w:val="001667C7"/>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AD2B12"/>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86B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BB4"/>
    <w:rPr>
      <w:rFonts w:ascii="Tahoma" w:hAnsi="Tahoma" w:cs="Tahoma"/>
      <w:sz w:val="16"/>
      <w:szCs w:val="16"/>
    </w:rPr>
  </w:style>
  <w:style w:type="paragraph" w:styleId="Header">
    <w:name w:val="header"/>
    <w:basedOn w:val="Normal"/>
    <w:link w:val="HeaderChar"/>
    <w:unhideWhenUsed/>
    <w:rsid w:val="00286BB4"/>
    <w:pPr>
      <w:tabs>
        <w:tab w:val="center" w:pos="4680"/>
        <w:tab w:val="right" w:pos="9360"/>
      </w:tabs>
      <w:spacing w:after="0" w:line="240" w:lineRule="auto"/>
    </w:pPr>
  </w:style>
  <w:style w:type="character" w:customStyle="1" w:styleId="HeaderChar">
    <w:name w:val="Header Char"/>
    <w:basedOn w:val="DefaultParagraphFont"/>
    <w:link w:val="Header"/>
    <w:rsid w:val="00286BB4"/>
  </w:style>
  <w:style w:type="paragraph" w:styleId="Footer">
    <w:name w:val="footer"/>
    <w:basedOn w:val="Normal"/>
    <w:link w:val="FooterChar"/>
    <w:uiPriority w:val="99"/>
    <w:unhideWhenUsed/>
    <w:rsid w:val="00286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BB4"/>
  </w:style>
  <w:style w:type="paragraph" w:customStyle="1" w:styleId="Disclaimer">
    <w:name w:val="Disclaimer"/>
    <w:basedOn w:val="Normal"/>
    <w:rsid w:val="00940288"/>
    <w:pPr>
      <w:autoSpaceDE w:val="0"/>
      <w:autoSpaceDN w:val="0"/>
      <w:adjustRightInd w:val="0"/>
      <w:spacing w:after="0" w:line="240" w:lineRule="auto"/>
      <w:ind w:left="720"/>
    </w:pPr>
    <w:rPr>
      <w:rFonts w:eastAsia="Times New Roman" w:cs="Arial"/>
      <w:i/>
      <w:iCs/>
      <w:color w:val="000000"/>
      <w:sz w:val="20"/>
      <w:szCs w:val="20"/>
      <w:lang w:val="en-AU"/>
    </w:rPr>
  </w:style>
  <w:style w:type="paragraph" w:customStyle="1" w:styleId="DisclaimerBold">
    <w:name w:val="Disclaimer Bold"/>
    <w:basedOn w:val="Disclaimer"/>
    <w:rsid w:val="00940288"/>
    <w:rPr>
      <w:b/>
    </w:rPr>
  </w:style>
  <w:style w:type="character" w:customStyle="1" w:styleId="Heading1Char">
    <w:name w:val="Heading 1 Char"/>
    <w:basedOn w:val="DefaultParagraphFont"/>
    <w:link w:val="Heading1"/>
    <w:rsid w:val="0073644F"/>
    <w:rPr>
      <w:rFonts w:ascii="Arial" w:eastAsia="Times New Roman" w:hAnsi="Arial" w:cs="Arial"/>
      <w:b/>
      <w:bCs/>
      <w:sz w:val="28"/>
      <w:szCs w:val="28"/>
      <w:lang w:val="en-US" w:eastAsia="en-US"/>
    </w:rPr>
  </w:style>
  <w:style w:type="paragraph" w:styleId="TOCHeading">
    <w:name w:val="TOC Heading"/>
    <w:basedOn w:val="Heading1"/>
    <w:next w:val="Normal"/>
    <w:uiPriority w:val="39"/>
    <w:unhideWhenUsed/>
    <w:qFormat/>
    <w:rsid w:val="00940288"/>
    <w:pPr>
      <w:outlineLvl w:val="9"/>
    </w:pPr>
  </w:style>
  <w:style w:type="character" w:customStyle="1" w:styleId="Heading2Char">
    <w:name w:val="Heading 2 Char"/>
    <w:basedOn w:val="DefaultParagraphFont"/>
    <w:link w:val="Heading2"/>
    <w:rsid w:val="0073644F"/>
    <w:rPr>
      <w:rFonts w:ascii="Arial" w:eastAsia="Times New Roman" w:hAnsi="Arial" w:cs="Arial"/>
      <w:b/>
      <w:bCs/>
      <w:sz w:val="22"/>
      <w:szCs w:val="26"/>
      <w:lang w:val="en-US" w:eastAsia="en-US"/>
    </w:rPr>
  </w:style>
  <w:style w:type="paragraph" w:styleId="TOC1">
    <w:name w:val="toc 1"/>
    <w:basedOn w:val="Normal"/>
    <w:next w:val="Normal"/>
    <w:autoRedefine/>
    <w:uiPriority w:val="39"/>
    <w:unhideWhenUsed/>
    <w:qFormat/>
    <w:rsid w:val="00AD77A4"/>
    <w:pPr>
      <w:tabs>
        <w:tab w:val="right" w:leader="dot" w:pos="9350"/>
      </w:tabs>
      <w:spacing w:after="100"/>
      <w:ind w:left="360"/>
    </w:pPr>
    <w:rPr>
      <w:i/>
    </w:rPr>
  </w:style>
  <w:style w:type="paragraph" w:customStyle="1" w:styleId="TableHeading">
    <w:name w:val="Table Heading"/>
    <w:basedOn w:val="Normal"/>
    <w:rsid w:val="001C0A22"/>
    <w:pPr>
      <w:spacing w:before="40" w:after="40" w:line="240" w:lineRule="auto"/>
    </w:pPr>
    <w:rPr>
      <w:rFonts w:eastAsia="Times New Roman" w:cs="Arial"/>
      <w:b/>
      <w:lang w:val="en-AU"/>
    </w:rPr>
  </w:style>
  <w:style w:type="paragraph" w:customStyle="1" w:styleId="Tabletext">
    <w:name w:val="Table text"/>
    <w:basedOn w:val="Normal"/>
    <w:rsid w:val="001C0A22"/>
    <w:pPr>
      <w:spacing w:before="40" w:after="40" w:line="240" w:lineRule="auto"/>
    </w:pPr>
    <w:rPr>
      <w:rFonts w:eastAsia="Times New Roman" w:cs="Arial"/>
      <w:lang w:val="en-AU"/>
    </w:rPr>
  </w:style>
  <w:style w:type="paragraph" w:customStyle="1" w:styleId="Source">
    <w:name w:val="Source"/>
    <w:basedOn w:val="Normal"/>
    <w:rsid w:val="001C0A22"/>
    <w:pPr>
      <w:spacing w:before="120" w:after="120" w:line="240" w:lineRule="auto"/>
      <w:jc w:val="both"/>
    </w:pPr>
    <w:rPr>
      <w:rFonts w:eastAsia="Times New Roman" w:cs="Arial"/>
      <w:i/>
      <w:iCs/>
      <w:sz w:val="16"/>
      <w:szCs w:val="20"/>
      <w:lang w:val="en-AU"/>
    </w:rPr>
  </w:style>
  <w:style w:type="paragraph" w:styleId="TOC2">
    <w:name w:val="toc 2"/>
    <w:basedOn w:val="Normal"/>
    <w:next w:val="Normal"/>
    <w:autoRedefine/>
    <w:uiPriority w:val="39"/>
    <w:unhideWhenUsed/>
    <w:qFormat/>
    <w:rsid w:val="009F0893"/>
    <w:pPr>
      <w:numPr>
        <w:numId w:val="28"/>
      </w:numPr>
      <w:tabs>
        <w:tab w:val="right" w:leader="dot" w:pos="9350"/>
      </w:tabs>
      <w:spacing w:after="100"/>
    </w:pPr>
    <w:rPr>
      <w:noProof/>
    </w:rPr>
  </w:style>
  <w:style w:type="character" w:styleId="Hyperlink">
    <w:name w:val="Hyperlink"/>
    <w:basedOn w:val="DefaultParagraphFont"/>
    <w:uiPriority w:val="99"/>
    <w:unhideWhenUsed/>
    <w:rsid w:val="001C0A22"/>
    <w:rPr>
      <w:color w:val="0000FF"/>
      <w:u w:val="single"/>
    </w:rPr>
  </w:style>
  <w:style w:type="paragraph" w:styleId="TOC3">
    <w:name w:val="toc 3"/>
    <w:basedOn w:val="Normal"/>
    <w:next w:val="Normal"/>
    <w:autoRedefine/>
    <w:uiPriority w:val="39"/>
    <w:unhideWhenUsed/>
    <w:qFormat/>
    <w:rsid w:val="001C0A22"/>
    <w:pPr>
      <w:spacing w:after="100"/>
      <w:ind w:left="440"/>
    </w:pPr>
    <w:rPr>
      <w:rFonts w:eastAsia="Times New Roman"/>
    </w:rPr>
  </w:style>
  <w:style w:type="character" w:customStyle="1" w:styleId="Heading3Char">
    <w:name w:val="Heading 3 Char"/>
    <w:basedOn w:val="DefaultParagraphFont"/>
    <w:link w:val="Heading3"/>
    <w:uiPriority w:val="9"/>
    <w:rsid w:val="0073644F"/>
    <w:rPr>
      <w:rFonts w:ascii="Arial" w:eastAsia="Times New Roman" w:hAnsi="Arial" w:cs="Arial"/>
      <w:bCs/>
      <w:sz w:val="22"/>
      <w:szCs w:val="22"/>
      <w:u w:val="single"/>
      <w:lang w:val="en-US" w:eastAsia="en-US"/>
    </w:rPr>
  </w:style>
  <w:style w:type="character" w:customStyle="1" w:styleId="Heading4Char">
    <w:name w:val="Heading 4 Char"/>
    <w:basedOn w:val="DefaultParagraphFont"/>
    <w:link w:val="Heading4"/>
    <w:uiPriority w:val="9"/>
    <w:rsid w:val="001667C7"/>
    <w:rPr>
      <w:rFonts w:ascii="Cambria" w:eastAsia="Times New Roman" w:hAnsi="Cambria" w:cs="Times New Roman"/>
      <w:b/>
      <w:bCs/>
      <w:i/>
      <w:iCs/>
      <w:color w:val="4F81BD"/>
    </w:rPr>
  </w:style>
  <w:style w:type="paragraph" w:customStyle="1" w:styleId="References">
    <w:name w:val="References"/>
    <w:basedOn w:val="Normal"/>
    <w:rsid w:val="00005B13"/>
    <w:pPr>
      <w:spacing w:before="120" w:after="120" w:line="240" w:lineRule="auto"/>
      <w:ind w:left="567" w:hanging="567"/>
      <w:jc w:val="both"/>
    </w:pPr>
    <w:rPr>
      <w:rFonts w:eastAsia="Times New Roman" w:cs="Arial"/>
      <w:szCs w:val="20"/>
      <w:lang w:val="en-AU"/>
    </w:rPr>
  </w:style>
  <w:style w:type="character" w:customStyle="1" w:styleId="Heading5Char">
    <w:name w:val="Heading 5 Char"/>
    <w:basedOn w:val="DefaultParagraphFont"/>
    <w:link w:val="Heading5"/>
    <w:rsid w:val="00AD2B12"/>
    <w:rPr>
      <w:rFonts w:ascii="Cambria" w:eastAsia="Times New Roman" w:hAnsi="Cambria" w:cs="Times New Roman"/>
      <w:color w:val="243F60"/>
    </w:rPr>
  </w:style>
  <w:style w:type="paragraph" w:customStyle="1" w:styleId="Bulletpointstyle1">
    <w:name w:val="Bullet point style 1"/>
    <w:basedOn w:val="Normal"/>
    <w:link w:val="Bulletpointstyle1Char"/>
    <w:qFormat/>
    <w:rsid w:val="00A86F9C"/>
    <w:pPr>
      <w:numPr>
        <w:numId w:val="2"/>
      </w:numPr>
      <w:overflowPunct w:val="0"/>
      <w:autoSpaceDE w:val="0"/>
      <w:autoSpaceDN w:val="0"/>
      <w:adjustRightInd w:val="0"/>
      <w:spacing w:after="0" w:line="240" w:lineRule="auto"/>
      <w:ind w:left="357" w:hanging="357"/>
      <w:textAlignment w:val="baseline"/>
    </w:pPr>
    <w:rPr>
      <w:rFonts w:cs="Arial"/>
    </w:rPr>
  </w:style>
  <w:style w:type="paragraph" w:customStyle="1" w:styleId="Builtpointstyle1">
    <w:name w:val="Built point style 1"/>
    <w:basedOn w:val="Normal"/>
    <w:link w:val="Builtpointstyle1Char"/>
    <w:qFormat/>
    <w:rsid w:val="00A86F9C"/>
    <w:pPr>
      <w:numPr>
        <w:numId w:val="1"/>
      </w:numPr>
      <w:overflowPunct w:val="0"/>
      <w:autoSpaceDE w:val="0"/>
      <w:autoSpaceDN w:val="0"/>
      <w:adjustRightInd w:val="0"/>
      <w:spacing w:after="0" w:line="240" w:lineRule="auto"/>
      <w:textAlignment w:val="baseline"/>
    </w:pPr>
    <w:rPr>
      <w:rFonts w:cs="Arial"/>
    </w:rPr>
  </w:style>
  <w:style w:type="character" w:customStyle="1" w:styleId="Bulletpointstyle1Char">
    <w:name w:val="Bullet point style 1 Char"/>
    <w:basedOn w:val="DefaultParagraphFont"/>
    <w:link w:val="Bulletpointstyle1"/>
    <w:rsid w:val="00A86F9C"/>
    <w:rPr>
      <w:rFonts w:ascii="Arial" w:hAnsi="Arial" w:cs="Arial"/>
      <w:sz w:val="22"/>
      <w:szCs w:val="22"/>
      <w:lang w:val="en-US" w:eastAsia="en-US"/>
    </w:rPr>
  </w:style>
  <w:style w:type="paragraph" w:styleId="Title">
    <w:name w:val="Title"/>
    <w:basedOn w:val="TOCHeading"/>
    <w:next w:val="Normal"/>
    <w:link w:val="TitleChar"/>
    <w:uiPriority w:val="10"/>
    <w:qFormat/>
    <w:rsid w:val="00A86F9C"/>
  </w:style>
  <w:style w:type="character" w:customStyle="1" w:styleId="Builtpointstyle1Char">
    <w:name w:val="Built point style 1 Char"/>
    <w:basedOn w:val="DefaultParagraphFont"/>
    <w:link w:val="Builtpointstyle1"/>
    <w:rsid w:val="00A86F9C"/>
    <w:rPr>
      <w:rFonts w:ascii="Arial" w:hAnsi="Arial" w:cs="Arial"/>
      <w:sz w:val="22"/>
      <w:szCs w:val="22"/>
      <w:lang w:val="en-US" w:eastAsia="en-US"/>
    </w:rPr>
  </w:style>
  <w:style w:type="character" w:customStyle="1" w:styleId="TitleChar">
    <w:name w:val="Title Char"/>
    <w:basedOn w:val="DefaultParagraphFont"/>
    <w:link w:val="Title"/>
    <w:uiPriority w:val="10"/>
    <w:rsid w:val="00A86F9C"/>
    <w:rPr>
      <w:rFonts w:ascii="Arial" w:eastAsia="Times New Roman" w:hAnsi="Arial" w:cs="Arial"/>
      <w:b/>
      <w:bCs/>
      <w:sz w:val="28"/>
      <w:szCs w:val="28"/>
      <w:lang w:val="en-US" w:eastAsia="en-US"/>
    </w:rPr>
  </w:style>
  <w:style w:type="character" w:styleId="PlaceholderText">
    <w:name w:val="Placeholder Text"/>
    <w:basedOn w:val="DefaultParagraphFont"/>
    <w:uiPriority w:val="99"/>
    <w:semiHidden/>
    <w:rsid w:val="00F052E8"/>
    <w:rPr>
      <w:color w:val="808080"/>
    </w:rPr>
  </w:style>
  <w:style w:type="paragraph" w:styleId="NormalWeb">
    <w:name w:val="Normal (Web)"/>
    <w:basedOn w:val="Normal"/>
    <w:uiPriority w:val="99"/>
    <w:semiHidden/>
    <w:unhideWhenUsed/>
    <w:rsid w:val="00C0733C"/>
    <w:pPr>
      <w:spacing w:before="100" w:beforeAutospacing="1" w:after="100" w:afterAutospacing="1" w:line="240" w:lineRule="auto"/>
    </w:pPr>
    <w:rPr>
      <w:rFonts w:ascii="Times New Roman" w:eastAsiaTheme="minorHAnsi" w:hAnsi="Times New Roman"/>
      <w:sz w:val="24"/>
      <w:szCs w:val="24"/>
      <w:lang w:val="en-AU" w:eastAsia="en-AU"/>
    </w:rPr>
  </w:style>
  <w:style w:type="paragraph" w:styleId="CommentText">
    <w:name w:val="annotation text"/>
    <w:basedOn w:val="Normal"/>
    <w:link w:val="CommentTextChar"/>
    <w:unhideWhenUsed/>
    <w:rsid w:val="009751E6"/>
    <w:pPr>
      <w:spacing w:line="240" w:lineRule="auto"/>
    </w:pPr>
    <w:rPr>
      <w:sz w:val="20"/>
      <w:szCs w:val="20"/>
    </w:rPr>
  </w:style>
  <w:style w:type="character" w:customStyle="1" w:styleId="CommentTextChar">
    <w:name w:val="Comment Text Char"/>
    <w:basedOn w:val="DefaultParagraphFont"/>
    <w:link w:val="CommentText"/>
    <w:rsid w:val="009751E6"/>
    <w:rPr>
      <w:rFonts w:ascii="Arial" w:hAnsi="Arial"/>
      <w:lang w:val="en-US" w:eastAsia="en-US"/>
    </w:rPr>
  </w:style>
  <w:style w:type="paragraph" w:styleId="CommentSubject">
    <w:name w:val="annotation subject"/>
    <w:basedOn w:val="CommentText"/>
    <w:next w:val="CommentText"/>
    <w:link w:val="CommentSubjectChar"/>
    <w:rsid w:val="009751E6"/>
    <w:pPr>
      <w:spacing w:after="0"/>
    </w:pPr>
    <w:rPr>
      <w:rFonts w:ascii="Times New Roman" w:eastAsia="Times New Roman" w:hAnsi="Times New Roman"/>
      <w:b/>
      <w:bCs/>
      <w:lang w:val="en-AU" w:eastAsia="en-AU"/>
    </w:rPr>
  </w:style>
  <w:style w:type="character" w:customStyle="1" w:styleId="CommentSubjectChar">
    <w:name w:val="Comment Subject Char"/>
    <w:basedOn w:val="CommentTextChar"/>
    <w:link w:val="CommentSubject"/>
    <w:rsid w:val="009751E6"/>
    <w:rPr>
      <w:rFonts w:ascii="Times New Roman" w:eastAsia="Times New Roman" w:hAnsi="Times New Roman"/>
      <w:b/>
      <w:bCs/>
      <w:lang w:val="en-US" w:eastAsia="en-US"/>
    </w:rPr>
  </w:style>
  <w:style w:type="paragraph" w:customStyle="1" w:styleId="Body">
    <w:name w:val="Body"/>
    <w:basedOn w:val="DisclaimerBold"/>
    <w:qFormat/>
    <w:rsid w:val="008A6E86"/>
    <w:pPr>
      <w:ind w:left="0"/>
    </w:pPr>
    <w:rPr>
      <w:rFonts w:eastAsia="Calibri" w:cs="Times New Roman"/>
      <w:b w:val="0"/>
      <w:i w:val="0"/>
      <w:iCs w:val="0"/>
      <w:color w:val="auto"/>
      <w:sz w:val="22"/>
      <w:szCs w:val="22"/>
      <w:lang w:val="en-US"/>
    </w:rPr>
  </w:style>
  <w:style w:type="paragraph" w:styleId="ListParagraph">
    <w:name w:val="List Paragraph"/>
    <w:basedOn w:val="Normal"/>
    <w:uiPriority w:val="34"/>
    <w:qFormat/>
    <w:rsid w:val="00AF608D"/>
    <w:pPr>
      <w:ind w:left="720"/>
      <w:contextualSpacing/>
    </w:pPr>
  </w:style>
  <w:style w:type="paragraph" w:styleId="FootnoteText">
    <w:name w:val="footnote text"/>
    <w:basedOn w:val="Normal"/>
    <w:link w:val="FootnoteTextChar"/>
    <w:rsid w:val="00BC6CD0"/>
    <w:pPr>
      <w:spacing w:after="0" w:line="240" w:lineRule="auto"/>
    </w:pPr>
    <w:rPr>
      <w:rFonts w:ascii="Times New Roman" w:eastAsia="Times New Roman" w:hAnsi="Times New Roman"/>
      <w:sz w:val="20"/>
      <w:szCs w:val="20"/>
      <w:lang w:val="en-AU" w:eastAsia="en-AU"/>
    </w:rPr>
  </w:style>
  <w:style w:type="character" w:customStyle="1" w:styleId="FootnoteTextChar">
    <w:name w:val="Footnote Text Char"/>
    <w:basedOn w:val="DefaultParagraphFont"/>
    <w:link w:val="FootnoteText"/>
    <w:rsid w:val="00BC6CD0"/>
    <w:rPr>
      <w:rFonts w:ascii="Times New Roman" w:eastAsia="Times New Roman" w:hAnsi="Times New Roman"/>
    </w:rPr>
  </w:style>
  <w:style w:type="character" w:styleId="PageNumber">
    <w:name w:val="page number"/>
    <w:basedOn w:val="DefaultParagraphFont"/>
    <w:rsid w:val="00871A83"/>
  </w:style>
  <w:style w:type="table" w:styleId="TableGrid">
    <w:name w:val="Table Grid"/>
    <w:basedOn w:val="TableNormal"/>
    <w:rsid w:val="00871A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871A83"/>
    <w:pPr>
      <w:shd w:val="clear" w:color="auto" w:fill="000080"/>
      <w:spacing w:after="0" w:line="240" w:lineRule="auto"/>
    </w:pPr>
    <w:rPr>
      <w:rFonts w:ascii="Tahoma" w:eastAsia="Times New Roman" w:hAnsi="Tahoma" w:cs="Tahoma"/>
      <w:sz w:val="20"/>
      <w:szCs w:val="20"/>
      <w:lang w:val="en-AU" w:eastAsia="en-AU"/>
    </w:rPr>
  </w:style>
  <w:style w:type="character" w:customStyle="1" w:styleId="DocumentMapChar">
    <w:name w:val="Document Map Char"/>
    <w:basedOn w:val="DefaultParagraphFont"/>
    <w:link w:val="DocumentMap"/>
    <w:semiHidden/>
    <w:rsid w:val="00871A83"/>
    <w:rPr>
      <w:rFonts w:ascii="Tahoma" w:eastAsia="Times New Roman" w:hAnsi="Tahoma" w:cs="Tahoma"/>
      <w:shd w:val="clear" w:color="auto" w:fill="000080"/>
    </w:rPr>
  </w:style>
  <w:style w:type="paragraph" w:styleId="Revision">
    <w:name w:val="Revision"/>
    <w:hidden/>
    <w:uiPriority w:val="99"/>
    <w:semiHidden/>
    <w:rsid w:val="00871A83"/>
    <w:rPr>
      <w:rFonts w:ascii="Times New Roman" w:eastAsia="Times New Roman" w:hAnsi="Times New Roman"/>
      <w:sz w:val="24"/>
      <w:szCs w:val="24"/>
    </w:rPr>
  </w:style>
  <w:style w:type="character" w:styleId="CommentReference">
    <w:name w:val="annotation reference"/>
    <w:rsid w:val="00871A83"/>
    <w:rPr>
      <w:sz w:val="16"/>
      <w:szCs w:val="16"/>
    </w:rPr>
  </w:style>
  <w:style w:type="paragraph" w:styleId="TOC4">
    <w:name w:val="toc 4"/>
    <w:basedOn w:val="Normal"/>
    <w:next w:val="Normal"/>
    <w:autoRedefine/>
    <w:uiPriority w:val="39"/>
    <w:unhideWhenUsed/>
    <w:rsid w:val="00871A83"/>
    <w:pPr>
      <w:spacing w:after="100"/>
      <w:ind w:left="660"/>
    </w:pPr>
    <w:rPr>
      <w:rFonts w:ascii="Calibri" w:eastAsia="Times New Roman" w:hAnsi="Calibri"/>
      <w:lang w:val="en-AU" w:eastAsia="en-AU"/>
    </w:rPr>
  </w:style>
  <w:style w:type="paragraph" w:styleId="TOC5">
    <w:name w:val="toc 5"/>
    <w:basedOn w:val="Normal"/>
    <w:next w:val="Normal"/>
    <w:autoRedefine/>
    <w:uiPriority w:val="39"/>
    <w:unhideWhenUsed/>
    <w:rsid w:val="00871A83"/>
    <w:pPr>
      <w:spacing w:after="100"/>
      <w:ind w:left="880"/>
    </w:pPr>
    <w:rPr>
      <w:rFonts w:ascii="Calibri" w:eastAsia="Times New Roman" w:hAnsi="Calibri"/>
      <w:lang w:val="en-AU" w:eastAsia="en-AU"/>
    </w:rPr>
  </w:style>
  <w:style w:type="paragraph" w:styleId="TOC6">
    <w:name w:val="toc 6"/>
    <w:basedOn w:val="Normal"/>
    <w:next w:val="Normal"/>
    <w:autoRedefine/>
    <w:uiPriority w:val="39"/>
    <w:unhideWhenUsed/>
    <w:rsid w:val="00871A83"/>
    <w:pPr>
      <w:spacing w:after="100"/>
      <w:ind w:left="1100"/>
    </w:pPr>
    <w:rPr>
      <w:rFonts w:ascii="Calibri" w:eastAsia="Times New Roman" w:hAnsi="Calibri"/>
      <w:lang w:val="en-AU" w:eastAsia="en-AU"/>
    </w:rPr>
  </w:style>
  <w:style w:type="paragraph" w:styleId="TOC7">
    <w:name w:val="toc 7"/>
    <w:basedOn w:val="Normal"/>
    <w:next w:val="Normal"/>
    <w:autoRedefine/>
    <w:uiPriority w:val="39"/>
    <w:unhideWhenUsed/>
    <w:rsid w:val="00871A83"/>
    <w:pPr>
      <w:spacing w:after="100"/>
      <w:ind w:left="1320"/>
    </w:pPr>
    <w:rPr>
      <w:rFonts w:ascii="Calibri" w:eastAsia="Times New Roman" w:hAnsi="Calibri"/>
      <w:lang w:val="en-AU" w:eastAsia="en-AU"/>
    </w:rPr>
  </w:style>
  <w:style w:type="paragraph" w:styleId="TOC8">
    <w:name w:val="toc 8"/>
    <w:basedOn w:val="Normal"/>
    <w:next w:val="Normal"/>
    <w:autoRedefine/>
    <w:uiPriority w:val="39"/>
    <w:unhideWhenUsed/>
    <w:rsid w:val="00871A83"/>
    <w:pPr>
      <w:spacing w:after="100"/>
      <w:ind w:left="1540"/>
    </w:pPr>
    <w:rPr>
      <w:rFonts w:ascii="Calibri" w:eastAsia="Times New Roman" w:hAnsi="Calibri"/>
      <w:lang w:val="en-AU" w:eastAsia="en-AU"/>
    </w:rPr>
  </w:style>
  <w:style w:type="paragraph" w:styleId="TOC9">
    <w:name w:val="toc 9"/>
    <w:basedOn w:val="Normal"/>
    <w:next w:val="Normal"/>
    <w:autoRedefine/>
    <w:uiPriority w:val="39"/>
    <w:unhideWhenUsed/>
    <w:rsid w:val="00871A83"/>
    <w:pPr>
      <w:spacing w:after="100"/>
      <w:ind w:left="1760"/>
    </w:pPr>
    <w:rPr>
      <w:rFonts w:ascii="Calibri" w:eastAsia="Times New Roman" w:hAnsi="Calibri"/>
      <w:lang w:val="en-AU" w:eastAsia="en-AU"/>
    </w:rPr>
  </w:style>
  <w:style w:type="character" w:styleId="FootnoteReference">
    <w:name w:val="footnote reference"/>
    <w:rsid w:val="00871A83"/>
    <w:rPr>
      <w:vertAlign w:val="superscript"/>
    </w:rPr>
  </w:style>
  <w:style w:type="paragraph" w:customStyle="1" w:styleId="Body2">
    <w:name w:val="Body2"/>
    <w:basedOn w:val="Normal"/>
    <w:qFormat/>
    <w:rsid w:val="009E4853"/>
    <w:pPr>
      <w:widowControl w:val="0"/>
      <w:autoSpaceDE w:val="0"/>
      <w:autoSpaceDN w:val="0"/>
      <w:adjustRightInd w:val="0"/>
      <w:ind w:left="720"/>
      <w:jc w:val="both"/>
      <w:outlineLvl w:val="0"/>
    </w:pPr>
    <w:rPr>
      <w:rFonts w:cs="Arial"/>
      <w:color w:val="231F20"/>
      <w:szCs w:val="20"/>
    </w:rPr>
  </w:style>
  <w:style w:type="paragraph" w:customStyle="1" w:styleId="Body3">
    <w:name w:val="Body3"/>
    <w:basedOn w:val="Body2"/>
    <w:qFormat/>
    <w:rsid w:val="0073644F"/>
    <w:pPr>
      <w:spacing w:line="240" w:lineRule="auto"/>
      <w:ind w:left="1440"/>
    </w:pPr>
  </w:style>
  <w:style w:type="paragraph" w:styleId="NoSpacing">
    <w:name w:val="No Spacing"/>
    <w:uiPriority w:val="1"/>
    <w:qFormat/>
    <w:rsid w:val="003D07E7"/>
    <w:rPr>
      <w:rFonts w:ascii="Arial" w:hAnsi="Arial"/>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86F9C"/>
    <w:pPr>
      <w:spacing w:after="200" w:line="276" w:lineRule="auto"/>
    </w:pPr>
    <w:rPr>
      <w:rFonts w:ascii="Arial" w:hAnsi="Arial"/>
      <w:sz w:val="22"/>
      <w:szCs w:val="22"/>
      <w:lang w:val="en-US"/>
    </w:rPr>
  </w:style>
  <w:style w:type="paragraph" w:styleId="Heading1">
    <w:name w:val="heading 1"/>
    <w:basedOn w:val="Normal"/>
    <w:next w:val="Normal"/>
    <w:link w:val="Heading1Char"/>
    <w:qFormat/>
    <w:rsid w:val="0073644F"/>
    <w:pPr>
      <w:keepNext/>
      <w:keepLines/>
      <w:spacing w:before="480" w:after="240"/>
      <w:outlineLvl w:val="0"/>
    </w:pPr>
    <w:rPr>
      <w:rFonts w:eastAsia="Times New Roman" w:cs="Arial"/>
      <w:b/>
      <w:bCs/>
      <w:sz w:val="28"/>
      <w:szCs w:val="28"/>
    </w:rPr>
  </w:style>
  <w:style w:type="paragraph" w:styleId="Heading2">
    <w:name w:val="heading 2"/>
    <w:basedOn w:val="Normal"/>
    <w:next w:val="Body3"/>
    <w:link w:val="Heading2Char"/>
    <w:unhideWhenUsed/>
    <w:qFormat/>
    <w:rsid w:val="0073644F"/>
    <w:pPr>
      <w:keepNext/>
      <w:keepLines/>
      <w:spacing w:after="0"/>
      <w:ind w:left="720"/>
      <w:outlineLvl w:val="1"/>
    </w:pPr>
    <w:rPr>
      <w:rFonts w:eastAsia="Times New Roman" w:cs="Arial"/>
      <w:b/>
      <w:bCs/>
      <w:szCs w:val="26"/>
    </w:rPr>
  </w:style>
  <w:style w:type="paragraph" w:styleId="Heading3">
    <w:name w:val="heading 3"/>
    <w:basedOn w:val="Normal"/>
    <w:next w:val="Normal"/>
    <w:link w:val="Heading3Char"/>
    <w:uiPriority w:val="9"/>
    <w:unhideWhenUsed/>
    <w:qFormat/>
    <w:rsid w:val="0073644F"/>
    <w:pPr>
      <w:keepNext/>
      <w:keepLines/>
      <w:spacing w:after="0"/>
      <w:ind w:left="1440"/>
      <w:outlineLvl w:val="2"/>
    </w:pPr>
    <w:rPr>
      <w:rFonts w:eastAsia="Times New Roman" w:cs="Arial"/>
      <w:bCs/>
      <w:u w:val="single"/>
    </w:rPr>
  </w:style>
  <w:style w:type="paragraph" w:styleId="Heading4">
    <w:name w:val="heading 4"/>
    <w:basedOn w:val="Normal"/>
    <w:next w:val="Normal"/>
    <w:link w:val="Heading4Char"/>
    <w:uiPriority w:val="9"/>
    <w:unhideWhenUsed/>
    <w:rsid w:val="001667C7"/>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AD2B12"/>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86B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BB4"/>
    <w:rPr>
      <w:rFonts w:ascii="Tahoma" w:hAnsi="Tahoma" w:cs="Tahoma"/>
      <w:sz w:val="16"/>
      <w:szCs w:val="16"/>
    </w:rPr>
  </w:style>
  <w:style w:type="paragraph" w:styleId="Header">
    <w:name w:val="header"/>
    <w:basedOn w:val="Normal"/>
    <w:link w:val="HeaderChar"/>
    <w:unhideWhenUsed/>
    <w:rsid w:val="00286BB4"/>
    <w:pPr>
      <w:tabs>
        <w:tab w:val="center" w:pos="4680"/>
        <w:tab w:val="right" w:pos="9360"/>
      </w:tabs>
      <w:spacing w:after="0" w:line="240" w:lineRule="auto"/>
    </w:pPr>
  </w:style>
  <w:style w:type="character" w:customStyle="1" w:styleId="HeaderChar">
    <w:name w:val="Header Char"/>
    <w:basedOn w:val="DefaultParagraphFont"/>
    <w:link w:val="Header"/>
    <w:rsid w:val="00286BB4"/>
  </w:style>
  <w:style w:type="paragraph" w:styleId="Footer">
    <w:name w:val="footer"/>
    <w:basedOn w:val="Normal"/>
    <w:link w:val="FooterChar"/>
    <w:uiPriority w:val="99"/>
    <w:unhideWhenUsed/>
    <w:rsid w:val="00286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BB4"/>
  </w:style>
  <w:style w:type="paragraph" w:customStyle="1" w:styleId="Disclaimer">
    <w:name w:val="Disclaimer"/>
    <w:basedOn w:val="Normal"/>
    <w:rsid w:val="00940288"/>
    <w:pPr>
      <w:autoSpaceDE w:val="0"/>
      <w:autoSpaceDN w:val="0"/>
      <w:adjustRightInd w:val="0"/>
      <w:spacing w:after="0" w:line="240" w:lineRule="auto"/>
      <w:ind w:left="720"/>
    </w:pPr>
    <w:rPr>
      <w:rFonts w:eastAsia="Times New Roman" w:cs="Arial"/>
      <w:i/>
      <w:iCs/>
      <w:color w:val="000000"/>
      <w:sz w:val="20"/>
      <w:szCs w:val="20"/>
      <w:lang w:val="en-AU"/>
    </w:rPr>
  </w:style>
  <w:style w:type="paragraph" w:customStyle="1" w:styleId="DisclaimerBold">
    <w:name w:val="Disclaimer Bold"/>
    <w:basedOn w:val="Disclaimer"/>
    <w:rsid w:val="00940288"/>
    <w:rPr>
      <w:b/>
    </w:rPr>
  </w:style>
  <w:style w:type="character" w:customStyle="1" w:styleId="Heading1Char">
    <w:name w:val="Heading 1 Char"/>
    <w:basedOn w:val="DefaultParagraphFont"/>
    <w:link w:val="Heading1"/>
    <w:rsid w:val="0073644F"/>
    <w:rPr>
      <w:rFonts w:ascii="Arial" w:eastAsia="Times New Roman" w:hAnsi="Arial" w:cs="Arial"/>
      <w:b/>
      <w:bCs/>
      <w:sz w:val="28"/>
      <w:szCs w:val="28"/>
      <w:lang w:val="en-US" w:eastAsia="en-US"/>
    </w:rPr>
  </w:style>
  <w:style w:type="paragraph" w:styleId="TOCHeading">
    <w:name w:val="TOC Heading"/>
    <w:basedOn w:val="Heading1"/>
    <w:next w:val="Normal"/>
    <w:uiPriority w:val="39"/>
    <w:unhideWhenUsed/>
    <w:qFormat/>
    <w:rsid w:val="00940288"/>
    <w:pPr>
      <w:outlineLvl w:val="9"/>
    </w:pPr>
  </w:style>
  <w:style w:type="character" w:customStyle="1" w:styleId="Heading2Char">
    <w:name w:val="Heading 2 Char"/>
    <w:basedOn w:val="DefaultParagraphFont"/>
    <w:link w:val="Heading2"/>
    <w:rsid w:val="0073644F"/>
    <w:rPr>
      <w:rFonts w:ascii="Arial" w:eastAsia="Times New Roman" w:hAnsi="Arial" w:cs="Arial"/>
      <w:b/>
      <w:bCs/>
      <w:sz w:val="22"/>
      <w:szCs w:val="26"/>
      <w:lang w:val="en-US" w:eastAsia="en-US"/>
    </w:rPr>
  </w:style>
  <w:style w:type="paragraph" w:styleId="TOC1">
    <w:name w:val="toc 1"/>
    <w:basedOn w:val="Normal"/>
    <w:next w:val="Normal"/>
    <w:autoRedefine/>
    <w:uiPriority w:val="39"/>
    <w:unhideWhenUsed/>
    <w:qFormat/>
    <w:rsid w:val="00AD77A4"/>
    <w:pPr>
      <w:tabs>
        <w:tab w:val="right" w:leader="dot" w:pos="9350"/>
      </w:tabs>
      <w:spacing w:after="100"/>
      <w:ind w:left="360"/>
    </w:pPr>
    <w:rPr>
      <w:i/>
    </w:rPr>
  </w:style>
  <w:style w:type="paragraph" w:customStyle="1" w:styleId="TableHeading">
    <w:name w:val="Table Heading"/>
    <w:basedOn w:val="Normal"/>
    <w:rsid w:val="001C0A22"/>
    <w:pPr>
      <w:spacing w:before="40" w:after="40" w:line="240" w:lineRule="auto"/>
    </w:pPr>
    <w:rPr>
      <w:rFonts w:eastAsia="Times New Roman" w:cs="Arial"/>
      <w:b/>
      <w:lang w:val="en-AU"/>
    </w:rPr>
  </w:style>
  <w:style w:type="paragraph" w:customStyle="1" w:styleId="Tabletext">
    <w:name w:val="Table text"/>
    <w:basedOn w:val="Normal"/>
    <w:rsid w:val="001C0A22"/>
    <w:pPr>
      <w:spacing w:before="40" w:after="40" w:line="240" w:lineRule="auto"/>
    </w:pPr>
    <w:rPr>
      <w:rFonts w:eastAsia="Times New Roman" w:cs="Arial"/>
      <w:lang w:val="en-AU"/>
    </w:rPr>
  </w:style>
  <w:style w:type="paragraph" w:customStyle="1" w:styleId="Source">
    <w:name w:val="Source"/>
    <w:basedOn w:val="Normal"/>
    <w:rsid w:val="001C0A22"/>
    <w:pPr>
      <w:spacing w:before="120" w:after="120" w:line="240" w:lineRule="auto"/>
      <w:jc w:val="both"/>
    </w:pPr>
    <w:rPr>
      <w:rFonts w:eastAsia="Times New Roman" w:cs="Arial"/>
      <w:i/>
      <w:iCs/>
      <w:sz w:val="16"/>
      <w:szCs w:val="20"/>
      <w:lang w:val="en-AU"/>
    </w:rPr>
  </w:style>
  <w:style w:type="paragraph" w:styleId="TOC2">
    <w:name w:val="toc 2"/>
    <w:basedOn w:val="Normal"/>
    <w:next w:val="Normal"/>
    <w:autoRedefine/>
    <w:uiPriority w:val="39"/>
    <w:unhideWhenUsed/>
    <w:qFormat/>
    <w:rsid w:val="009F0893"/>
    <w:pPr>
      <w:numPr>
        <w:numId w:val="28"/>
      </w:numPr>
      <w:tabs>
        <w:tab w:val="right" w:leader="dot" w:pos="9350"/>
      </w:tabs>
      <w:spacing w:after="100"/>
    </w:pPr>
    <w:rPr>
      <w:noProof/>
    </w:rPr>
  </w:style>
  <w:style w:type="character" w:styleId="Hyperlink">
    <w:name w:val="Hyperlink"/>
    <w:basedOn w:val="DefaultParagraphFont"/>
    <w:uiPriority w:val="99"/>
    <w:unhideWhenUsed/>
    <w:rsid w:val="001C0A22"/>
    <w:rPr>
      <w:color w:val="0000FF"/>
      <w:u w:val="single"/>
    </w:rPr>
  </w:style>
  <w:style w:type="paragraph" w:styleId="TOC3">
    <w:name w:val="toc 3"/>
    <w:basedOn w:val="Normal"/>
    <w:next w:val="Normal"/>
    <w:autoRedefine/>
    <w:uiPriority w:val="39"/>
    <w:unhideWhenUsed/>
    <w:qFormat/>
    <w:rsid w:val="001C0A22"/>
    <w:pPr>
      <w:spacing w:after="100"/>
      <w:ind w:left="440"/>
    </w:pPr>
    <w:rPr>
      <w:rFonts w:eastAsia="Times New Roman"/>
    </w:rPr>
  </w:style>
  <w:style w:type="character" w:customStyle="1" w:styleId="Heading3Char">
    <w:name w:val="Heading 3 Char"/>
    <w:basedOn w:val="DefaultParagraphFont"/>
    <w:link w:val="Heading3"/>
    <w:uiPriority w:val="9"/>
    <w:rsid w:val="0073644F"/>
    <w:rPr>
      <w:rFonts w:ascii="Arial" w:eastAsia="Times New Roman" w:hAnsi="Arial" w:cs="Arial"/>
      <w:bCs/>
      <w:sz w:val="22"/>
      <w:szCs w:val="22"/>
      <w:u w:val="single"/>
      <w:lang w:val="en-US" w:eastAsia="en-US"/>
    </w:rPr>
  </w:style>
  <w:style w:type="character" w:customStyle="1" w:styleId="Heading4Char">
    <w:name w:val="Heading 4 Char"/>
    <w:basedOn w:val="DefaultParagraphFont"/>
    <w:link w:val="Heading4"/>
    <w:uiPriority w:val="9"/>
    <w:rsid w:val="001667C7"/>
    <w:rPr>
      <w:rFonts w:ascii="Cambria" w:eastAsia="Times New Roman" w:hAnsi="Cambria" w:cs="Times New Roman"/>
      <w:b/>
      <w:bCs/>
      <w:i/>
      <w:iCs/>
      <w:color w:val="4F81BD"/>
    </w:rPr>
  </w:style>
  <w:style w:type="paragraph" w:customStyle="1" w:styleId="References">
    <w:name w:val="References"/>
    <w:basedOn w:val="Normal"/>
    <w:rsid w:val="00005B13"/>
    <w:pPr>
      <w:spacing w:before="120" w:after="120" w:line="240" w:lineRule="auto"/>
      <w:ind w:left="567" w:hanging="567"/>
      <w:jc w:val="both"/>
    </w:pPr>
    <w:rPr>
      <w:rFonts w:eastAsia="Times New Roman" w:cs="Arial"/>
      <w:szCs w:val="20"/>
      <w:lang w:val="en-AU"/>
    </w:rPr>
  </w:style>
  <w:style w:type="character" w:customStyle="1" w:styleId="Heading5Char">
    <w:name w:val="Heading 5 Char"/>
    <w:basedOn w:val="DefaultParagraphFont"/>
    <w:link w:val="Heading5"/>
    <w:rsid w:val="00AD2B12"/>
    <w:rPr>
      <w:rFonts w:ascii="Cambria" w:eastAsia="Times New Roman" w:hAnsi="Cambria" w:cs="Times New Roman"/>
      <w:color w:val="243F60"/>
    </w:rPr>
  </w:style>
  <w:style w:type="paragraph" w:customStyle="1" w:styleId="Bulletpointstyle1">
    <w:name w:val="Bullet point style 1"/>
    <w:basedOn w:val="Normal"/>
    <w:link w:val="Bulletpointstyle1Char"/>
    <w:qFormat/>
    <w:rsid w:val="00A86F9C"/>
    <w:pPr>
      <w:numPr>
        <w:numId w:val="2"/>
      </w:numPr>
      <w:overflowPunct w:val="0"/>
      <w:autoSpaceDE w:val="0"/>
      <w:autoSpaceDN w:val="0"/>
      <w:adjustRightInd w:val="0"/>
      <w:spacing w:after="0" w:line="240" w:lineRule="auto"/>
      <w:ind w:left="357" w:hanging="357"/>
      <w:textAlignment w:val="baseline"/>
    </w:pPr>
    <w:rPr>
      <w:rFonts w:cs="Arial"/>
    </w:rPr>
  </w:style>
  <w:style w:type="paragraph" w:customStyle="1" w:styleId="Builtpointstyle1">
    <w:name w:val="Built point style 1"/>
    <w:basedOn w:val="Normal"/>
    <w:link w:val="Builtpointstyle1Char"/>
    <w:qFormat/>
    <w:rsid w:val="00A86F9C"/>
    <w:pPr>
      <w:numPr>
        <w:numId w:val="1"/>
      </w:numPr>
      <w:overflowPunct w:val="0"/>
      <w:autoSpaceDE w:val="0"/>
      <w:autoSpaceDN w:val="0"/>
      <w:adjustRightInd w:val="0"/>
      <w:spacing w:after="0" w:line="240" w:lineRule="auto"/>
      <w:textAlignment w:val="baseline"/>
    </w:pPr>
    <w:rPr>
      <w:rFonts w:cs="Arial"/>
    </w:rPr>
  </w:style>
  <w:style w:type="character" w:customStyle="1" w:styleId="Bulletpointstyle1Char">
    <w:name w:val="Bullet point style 1 Char"/>
    <w:basedOn w:val="DefaultParagraphFont"/>
    <w:link w:val="Bulletpointstyle1"/>
    <w:rsid w:val="00A86F9C"/>
    <w:rPr>
      <w:rFonts w:ascii="Arial" w:hAnsi="Arial" w:cs="Arial"/>
      <w:sz w:val="22"/>
      <w:szCs w:val="22"/>
      <w:lang w:val="en-US" w:eastAsia="en-US"/>
    </w:rPr>
  </w:style>
  <w:style w:type="paragraph" w:styleId="Title">
    <w:name w:val="Title"/>
    <w:basedOn w:val="TOCHeading"/>
    <w:next w:val="Normal"/>
    <w:link w:val="TitleChar"/>
    <w:uiPriority w:val="10"/>
    <w:qFormat/>
    <w:rsid w:val="00A86F9C"/>
  </w:style>
  <w:style w:type="character" w:customStyle="1" w:styleId="Builtpointstyle1Char">
    <w:name w:val="Built point style 1 Char"/>
    <w:basedOn w:val="DefaultParagraphFont"/>
    <w:link w:val="Builtpointstyle1"/>
    <w:rsid w:val="00A86F9C"/>
    <w:rPr>
      <w:rFonts w:ascii="Arial" w:hAnsi="Arial" w:cs="Arial"/>
      <w:sz w:val="22"/>
      <w:szCs w:val="22"/>
      <w:lang w:val="en-US" w:eastAsia="en-US"/>
    </w:rPr>
  </w:style>
  <w:style w:type="character" w:customStyle="1" w:styleId="TitleChar">
    <w:name w:val="Title Char"/>
    <w:basedOn w:val="DefaultParagraphFont"/>
    <w:link w:val="Title"/>
    <w:uiPriority w:val="10"/>
    <w:rsid w:val="00A86F9C"/>
    <w:rPr>
      <w:rFonts w:ascii="Arial" w:eastAsia="Times New Roman" w:hAnsi="Arial" w:cs="Arial"/>
      <w:b/>
      <w:bCs/>
      <w:sz w:val="28"/>
      <w:szCs w:val="28"/>
      <w:lang w:val="en-US" w:eastAsia="en-US"/>
    </w:rPr>
  </w:style>
  <w:style w:type="character" w:styleId="PlaceholderText">
    <w:name w:val="Placeholder Text"/>
    <w:basedOn w:val="DefaultParagraphFont"/>
    <w:uiPriority w:val="99"/>
    <w:semiHidden/>
    <w:rsid w:val="00F052E8"/>
    <w:rPr>
      <w:color w:val="808080"/>
    </w:rPr>
  </w:style>
  <w:style w:type="paragraph" w:styleId="NormalWeb">
    <w:name w:val="Normal (Web)"/>
    <w:basedOn w:val="Normal"/>
    <w:uiPriority w:val="99"/>
    <w:semiHidden/>
    <w:unhideWhenUsed/>
    <w:rsid w:val="00C0733C"/>
    <w:pPr>
      <w:spacing w:before="100" w:beforeAutospacing="1" w:after="100" w:afterAutospacing="1" w:line="240" w:lineRule="auto"/>
    </w:pPr>
    <w:rPr>
      <w:rFonts w:ascii="Times New Roman" w:eastAsiaTheme="minorHAnsi" w:hAnsi="Times New Roman"/>
      <w:sz w:val="24"/>
      <w:szCs w:val="24"/>
      <w:lang w:val="en-AU" w:eastAsia="en-AU"/>
    </w:rPr>
  </w:style>
  <w:style w:type="paragraph" w:styleId="CommentText">
    <w:name w:val="annotation text"/>
    <w:basedOn w:val="Normal"/>
    <w:link w:val="CommentTextChar"/>
    <w:unhideWhenUsed/>
    <w:rsid w:val="009751E6"/>
    <w:pPr>
      <w:spacing w:line="240" w:lineRule="auto"/>
    </w:pPr>
    <w:rPr>
      <w:sz w:val="20"/>
      <w:szCs w:val="20"/>
    </w:rPr>
  </w:style>
  <w:style w:type="character" w:customStyle="1" w:styleId="CommentTextChar">
    <w:name w:val="Comment Text Char"/>
    <w:basedOn w:val="DefaultParagraphFont"/>
    <w:link w:val="CommentText"/>
    <w:rsid w:val="009751E6"/>
    <w:rPr>
      <w:rFonts w:ascii="Arial" w:hAnsi="Arial"/>
      <w:lang w:val="en-US" w:eastAsia="en-US"/>
    </w:rPr>
  </w:style>
  <w:style w:type="paragraph" w:styleId="CommentSubject">
    <w:name w:val="annotation subject"/>
    <w:basedOn w:val="CommentText"/>
    <w:next w:val="CommentText"/>
    <w:link w:val="CommentSubjectChar"/>
    <w:rsid w:val="009751E6"/>
    <w:pPr>
      <w:spacing w:after="0"/>
    </w:pPr>
    <w:rPr>
      <w:rFonts w:ascii="Times New Roman" w:eastAsia="Times New Roman" w:hAnsi="Times New Roman"/>
      <w:b/>
      <w:bCs/>
      <w:lang w:val="en-AU" w:eastAsia="en-AU"/>
    </w:rPr>
  </w:style>
  <w:style w:type="character" w:customStyle="1" w:styleId="CommentSubjectChar">
    <w:name w:val="Comment Subject Char"/>
    <w:basedOn w:val="CommentTextChar"/>
    <w:link w:val="CommentSubject"/>
    <w:rsid w:val="009751E6"/>
    <w:rPr>
      <w:rFonts w:ascii="Times New Roman" w:eastAsia="Times New Roman" w:hAnsi="Times New Roman"/>
      <w:b/>
      <w:bCs/>
      <w:lang w:val="en-US" w:eastAsia="en-US"/>
    </w:rPr>
  </w:style>
  <w:style w:type="paragraph" w:customStyle="1" w:styleId="Body">
    <w:name w:val="Body"/>
    <w:basedOn w:val="DisclaimerBold"/>
    <w:qFormat/>
    <w:rsid w:val="008A6E86"/>
    <w:pPr>
      <w:ind w:left="0"/>
    </w:pPr>
    <w:rPr>
      <w:rFonts w:eastAsia="Calibri" w:cs="Times New Roman"/>
      <w:b w:val="0"/>
      <w:i w:val="0"/>
      <w:iCs w:val="0"/>
      <w:color w:val="auto"/>
      <w:sz w:val="22"/>
      <w:szCs w:val="22"/>
      <w:lang w:val="en-US"/>
    </w:rPr>
  </w:style>
  <w:style w:type="paragraph" w:styleId="ListParagraph">
    <w:name w:val="List Paragraph"/>
    <w:basedOn w:val="Normal"/>
    <w:uiPriority w:val="34"/>
    <w:qFormat/>
    <w:rsid w:val="00AF608D"/>
    <w:pPr>
      <w:ind w:left="720"/>
      <w:contextualSpacing/>
    </w:pPr>
  </w:style>
  <w:style w:type="paragraph" w:styleId="FootnoteText">
    <w:name w:val="footnote text"/>
    <w:basedOn w:val="Normal"/>
    <w:link w:val="FootnoteTextChar"/>
    <w:rsid w:val="00BC6CD0"/>
    <w:pPr>
      <w:spacing w:after="0" w:line="240" w:lineRule="auto"/>
    </w:pPr>
    <w:rPr>
      <w:rFonts w:ascii="Times New Roman" w:eastAsia="Times New Roman" w:hAnsi="Times New Roman"/>
      <w:sz w:val="20"/>
      <w:szCs w:val="20"/>
      <w:lang w:val="en-AU" w:eastAsia="en-AU"/>
    </w:rPr>
  </w:style>
  <w:style w:type="character" w:customStyle="1" w:styleId="FootnoteTextChar">
    <w:name w:val="Footnote Text Char"/>
    <w:basedOn w:val="DefaultParagraphFont"/>
    <w:link w:val="FootnoteText"/>
    <w:rsid w:val="00BC6CD0"/>
    <w:rPr>
      <w:rFonts w:ascii="Times New Roman" w:eastAsia="Times New Roman" w:hAnsi="Times New Roman"/>
    </w:rPr>
  </w:style>
  <w:style w:type="character" w:styleId="PageNumber">
    <w:name w:val="page number"/>
    <w:basedOn w:val="DefaultParagraphFont"/>
    <w:rsid w:val="00871A83"/>
  </w:style>
  <w:style w:type="table" w:styleId="TableGrid">
    <w:name w:val="Table Grid"/>
    <w:basedOn w:val="TableNormal"/>
    <w:rsid w:val="00871A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871A83"/>
    <w:pPr>
      <w:shd w:val="clear" w:color="auto" w:fill="000080"/>
      <w:spacing w:after="0" w:line="240" w:lineRule="auto"/>
    </w:pPr>
    <w:rPr>
      <w:rFonts w:ascii="Tahoma" w:eastAsia="Times New Roman" w:hAnsi="Tahoma" w:cs="Tahoma"/>
      <w:sz w:val="20"/>
      <w:szCs w:val="20"/>
      <w:lang w:val="en-AU" w:eastAsia="en-AU"/>
    </w:rPr>
  </w:style>
  <w:style w:type="character" w:customStyle="1" w:styleId="DocumentMapChar">
    <w:name w:val="Document Map Char"/>
    <w:basedOn w:val="DefaultParagraphFont"/>
    <w:link w:val="DocumentMap"/>
    <w:semiHidden/>
    <w:rsid w:val="00871A83"/>
    <w:rPr>
      <w:rFonts w:ascii="Tahoma" w:eastAsia="Times New Roman" w:hAnsi="Tahoma" w:cs="Tahoma"/>
      <w:shd w:val="clear" w:color="auto" w:fill="000080"/>
    </w:rPr>
  </w:style>
  <w:style w:type="paragraph" w:styleId="Revision">
    <w:name w:val="Revision"/>
    <w:hidden/>
    <w:uiPriority w:val="99"/>
    <w:semiHidden/>
    <w:rsid w:val="00871A83"/>
    <w:rPr>
      <w:rFonts w:ascii="Times New Roman" w:eastAsia="Times New Roman" w:hAnsi="Times New Roman"/>
      <w:sz w:val="24"/>
      <w:szCs w:val="24"/>
    </w:rPr>
  </w:style>
  <w:style w:type="character" w:styleId="CommentReference">
    <w:name w:val="annotation reference"/>
    <w:rsid w:val="00871A83"/>
    <w:rPr>
      <w:sz w:val="16"/>
      <w:szCs w:val="16"/>
    </w:rPr>
  </w:style>
  <w:style w:type="paragraph" w:styleId="TOC4">
    <w:name w:val="toc 4"/>
    <w:basedOn w:val="Normal"/>
    <w:next w:val="Normal"/>
    <w:autoRedefine/>
    <w:uiPriority w:val="39"/>
    <w:unhideWhenUsed/>
    <w:rsid w:val="00871A83"/>
    <w:pPr>
      <w:spacing w:after="100"/>
      <w:ind w:left="660"/>
    </w:pPr>
    <w:rPr>
      <w:rFonts w:ascii="Calibri" w:eastAsia="Times New Roman" w:hAnsi="Calibri"/>
      <w:lang w:val="en-AU" w:eastAsia="en-AU"/>
    </w:rPr>
  </w:style>
  <w:style w:type="paragraph" w:styleId="TOC5">
    <w:name w:val="toc 5"/>
    <w:basedOn w:val="Normal"/>
    <w:next w:val="Normal"/>
    <w:autoRedefine/>
    <w:uiPriority w:val="39"/>
    <w:unhideWhenUsed/>
    <w:rsid w:val="00871A83"/>
    <w:pPr>
      <w:spacing w:after="100"/>
      <w:ind w:left="880"/>
    </w:pPr>
    <w:rPr>
      <w:rFonts w:ascii="Calibri" w:eastAsia="Times New Roman" w:hAnsi="Calibri"/>
      <w:lang w:val="en-AU" w:eastAsia="en-AU"/>
    </w:rPr>
  </w:style>
  <w:style w:type="paragraph" w:styleId="TOC6">
    <w:name w:val="toc 6"/>
    <w:basedOn w:val="Normal"/>
    <w:next w:val="Normal"/>
    <w:autoRedefine/>
    <w:uiPriority w:val="39"/>
    <w:unhideWhenUsed/>
    <w:rsid w:val="00871A83"/>
    <w:pPr>
      <w:spacing w:after="100"/>
      <w:ind w:left="1100"/>
    </w:pPr>
    <w:rPr>
      <w:rFonts w:ascii="Calibri" w:eastAsia="Times New Roman" w:hAnsi="Calibri"/>
      <w:lang w:val="en-AU" w:eastAsia="en-AU"/>
    </w:rPr>
  </w:style>
  <w:style w:type="paragraph" w:styleId="TOC7">
    <w:name w:val="toc 7"/>
    <w:basedOn w:val="Normal"/>
    <w:next w:val="Normal"/>
    <w:autoRedefine/>
    <w:uiPriority w:val="39"/>
    <w:unhideWhenUsed/>
    <w:rsid w:val="00871A83"/>
    <w:pPr>
      <w:spacing w:after="100"/>
      <w:ind w:left="1320"/>
    </w:pPr>
    <w:rPr>
      <w:rFonts w:ascii="Calibri" w:eastAsia="Times New Roman" w:hAnsi="Calibri"/>
      <w:lang w:val="en-AU" w:eastAsia="en-AU"/>
    </w:rPr>
  </w:style>
  <w:style w:type="paragraph" w:styleId="TOC8">
    <w:name w:val="toc 8"/>
    <w:basedOn w:val="Normal"/>
    <w:next w:val="Normal"/>
    <w:autoRedefine/>
    <w:uiPriority w:val="39"/>
    <w:unhideWhenUsed/>
    <w:rsid w:val="00871A83"/>
    <w:pPr>
      <w:spacing w:after="100"/>
      <w:ind w:left="1540"/>
    </w:pPr>
    <w:rPr>
      <w:rFonts w:ascii="Calibri" w:eastAsia="Times New Roman" w:hAnsi="Calibri"/>
      <w:lang w:val="en-AU" w:eastAsia="en-AU"/>
    </w:rPr>
  </w:style>
  <w:style w:type="paragraph" w:styleId="TOC9">
    <w:name w:val="toc 9"/>
    <w:basedOn w:val="Normal"/>
    <w:next w:val="Normal"/>
    <w:autoRedefine/>
    <w:uiPriority w:val="39"/>
    <w:unhideWhenUsed/>
    <w:rsid w:val="00871A83"/>
    <w:pPr>
      <w:spacing w:after="100"/>
      <w:ind w:left="1760"/>
    </w:pPr>
    <w:rPr>
      <w:rFonts w:ascii="Calibri" w:eastAsia="Times New Roman" w:hAnsi="Calibri"/>
      <w:lang w:val="en-AU" w:eastAsia="en-AU"/>
    </w:rPr>
  </w:style>
  <w:style w:type="character" w:styleId="FootnoteReference">
    <w:name w:val="footnote reference"/>
    <w:rsid w:val="00871A83"/>
    <w:rPr>
      <w:vertAlign w:val="superscript"/>
    </w:rPr>
  </w:style>
  <w:style w:type="paragraph" w:customStyle="1" w:styleId="Body2">
    <w:name w:val="Body2"/>
    <w:basedOn w:val="Normal"/>
    <w:qFormat/>
    <w:rsid w:val="009E4853"/>
    <w:pPr>
      <w:widowControl w:val="0"/>
      <w:autoSpaceDE w:val="0"/>
      <w:autoSpaceDN w:val="0"/>
      <w:adjustRightInd w:val="0"/>
      <w:ind w:left="720"/>
      <w:jc w:val="both"/>
      <w:outlineLvl w:val="0"/>
    </w:pPr>
    <w:rPr>
      <w:rFonts w:cs="Arial"/>
      <w:color w:val="231F20"/>
      <w:szCs w:val="20"/>
    </w:rPr>
  </w:style>
  <w:style w:type="paragraph" w:customStyle="1" w:styleId="Body3">
    <w:name w:val="Body3"/>
    <w:basedOn w:val="Body2"/>
    <w:qFormat/>
    <w:rsid w:val="0073644F"/>
    <w:pPr>
      <w:spacing w:line="240" w:lineRule="auto"/>
      <w:ind w:left="1440"/>
    </w:pPr>
  </w:style>
  <w:style w:type="paragraph" w:styleId="NoSpacing">
    <w:name w:val="No Spacing"/>
    <w:uiPriority w:val="1"/>
    <w:qFormat/>
    <w:rsid w:val="003D07E7"/>
    <w:rPr>
      <w:rFonts w:ascii="Arial" w:hAnsi="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72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creativecommons.org/licenses/by/4.0/" TargetMode="External"/><Relationship Id="rId26" Type="http://schemas.openxmlformats.org/officeDocument/2006/relationships/image" Target="media/image2.emf"/><Relationship Id="rId21" Type="http://schemas.openxmlformats.org/officeDocument/2006/relationships/hyperlink" Target="http://www.dpi.vic.gov.au/" TargetMode="External"/><Relationship Id="rId34" Type="http://schemas.openxmlformats.org/officeDocument/2006/relationships/image" Target="media/image9.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1.png"/><Relationship Id="rId25" Type="http://schemas.openxmlformats.org/officeDocument/2006/relationships/hyperlink" Target="http://www.bom.gov.au/watl/eto/reference-evapotranspiration-report.pdf" TargetMode="External"/><Relationship Id="rId33" Type="http://schemas.openxmlformats.org/officeDocument/2006/relationships/image" Target="media/image8.e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footer" Target="footer2.xml"/><Relationship Id="rId29" Type="http://schemas.openxmlformats.org/officeDocument/2006/relationships/hyperlink" Target="http://www.epa.vic.gov.au/en/your-environment/water/onsite-wastewater"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lanfaxlabs.com.au" TargetMode="External"/><Relationship Id="rId32" Type="http://schemas.openxmlformats.org/officeDocument/2006/relationships/image" Target="media/image7.emf"/><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epa.vic.gov.au/" TargetMode="External"/><Relationship Id="rId28" Type="http://schemas.openxmlformats.org/officeDocument/2006/relationships/image" Target="media/image4.png"/><Relationship Id="rId36" Type="http://schemas.openxmlformats.org/officeDocument/2006/relationships/glossaryDocument" Target="glossary/document.xml"/><Relationship Id="rId10" Type="http://schemas.microsoft.com/office/2007/relationships/stylesWithEffects" Target="stylesWithEffects.xml"/><Relationship Id="rId19" Type="http://schemas.openxmlformats.org/officeDocument/2006/relationships/header" Target="header1.xml"/><Relationship Id="rId31" Type="http://schemas.openxmlformats.org/officeDocument/2006/relationships/image" Target="media/image6.emf"/><Relationship Id="rId35" Type="http://schemas.openxmlformats.org/officeDocument/2006/relationships/fontTable" Target="fontTable.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http://www.dse.vic.gov.au" TargetMode="External"/><Relationship Id="rId27" Type="http://schemas.openxmlformats.org/officeDocument/2006/relationships/image" Target="media/image3.emf"/><Relationship Id="rId30" Type="http://schemas.openxmlformats.org/officeDocument/2006/relationships/image" Target="media/image5.png"/><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etcalf\Desktop\Submiss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22E576AC1446A2B186D388B80B77AA"/>
        <w:category>
          <w:name w:val="General"/>
          <w:gallery w:val="placeholder"/>
        </w:category>
        <w:types>
          <w:type w:val="bbPlcHdr"/>
        </w:types>
        <w:behaviors>
          <w:behavior w:val="content"/>
        </w:behaviors>
        <w:guid w:val="{BDA7F974-53B5-4B38-88F3-F502189CF303}"/>
      </w:docPartPr>
      <w:docPartBody>
        <w:p w14:paraId="061B6E99" w14:textId="77777777" w:rsidR="00A32E22" w:rsidRDefault="007F7286">
          <w:pPr>
            <w:pStyle w:val="0022E576AC1446A2B186D388B80B77AA"/>
          </w:pPr>
          <w:r w:rsidRPr="004F539A">
            <w:rPr>
              <w:rStyle w:val="PlaceholderText"/>
            </w:rPr>
            <w:t>[Publish Date]</w:t>
          </w:r>
        </w:p>
      </w:docPartBody>
    </w:docPart>
    <w:docPart>
      <w:docPartPr>
        <w:name w:val="6029388401774343971B0CA3F07CD90A"/>
        <w:category>
          <w:name w:val="General"/>
          <w:gallery w:val="placeholder"/>
        </w:category>
        <w:types>
          <w:type w:val="bbPlcHdr"/>
        </w:types>
        <w:behaviors>
          <w:behavior w:val="content"/>
        </w:behaviors>
        <w:guid w:val="{13C837F6-D495-4D58-9103-1676881013FE}"/>
      </w:docPartPr>
      <w:docPartBody>
        <w:p w14:paraId="061B6E9A" w14:textId="77777777" w:rsidR="00A32E22" w:rsidRDefault="007F7286">
          <w:pPr>
            <w:pStyle w:val="6029388401774343971B0CA3F07CD90A"/>
          </w:pPr>
          <w:r w:rsidRPr="004F539A">
            <w:rPr>
              <w:rStyle w:val="PlaceholderText"/>
            </w:rPr>
            <w:t>[Title]</w:t>
          </w:r>
        </w:p>
      </w:docPartBody>
    </w:docPart>
    <w:docPart>
      <w:docPartPr>
        <w:name w:val="E5E2CC15751A4C1EA27C7E36CAA8E3CA"/>
        <w:category>
          <w:name w:val="General"/>
          <w:gallery w:val="placeholder"/>
        </w:category>
        <w:types>
          <w:type w:val="bbPlcHdr"/>
        </w:types>
        <w:behaviors>
          <w:behavior w:val="content"/>
        </w:behaviors>
        <w:guid w:val="{E3855DAF-1735-41FF-9C40-9B611116E132}"/>
      </w:docPartPr>
      <w:docPartBody>
        <w:p w14:paraId="061B6E9B" w14:textId="77777777" w:rsidR="00A32E22" w:rsidRDefault="007F7286">
          <w:pPr>
            <w:pStyle w:val="E5E2CC15751A4C1EA27C7E36CAA8E3CA"/>
          </w:pPr>
          <w:r w:rsidRPr="004F539A">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286"/>
    <w:rsid w:val="004516BB"/>
    <w:rsid w:val="006E7E03"/>
    <w:rsid w:val="006F682D"/>
    <w:rsid w:val="007F7286"/>
    <w:rsid w:val="0094051E"/>
    <w:rsid w:val="00A32E22"/>
    <w:rsid w:val="00A84245"/>
    <w:rsid w:val="00C80CB7"/>
    <w:rsid w:val="00C91A10"/>
    <w:rsid w:val="00E611D2"/>
    <w:rsid w:val="00F23617"/>
    <w:rsid w:val="00F85B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61B6E9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0551480BDE74F988077964D5BB90156">
    <w:name w:val="E0551480BDE74F988077964D5BB90156"/>
  </w:style>
  <w:style w:type="paragraph" w:customStyle="1" w:styleId="0022E576AC1446A2B186D388B80B77AA">
    <w:name w:val="0022E576AC1446A2B186D388B80B77AA"/>
  </w:style>
  <w:style w:type="paragraph" w:customStyle="1" w:styleId="64C698E402C84657969879B7DFB6A160">
    <w:name w:val="64C698E402C84657969879B7DFB6A160"/>
  </w:style>
  <w:style w:type="paragraph" w:customStyle="1" w:styleId="B677D41039474702A199C0AF4BA69093">
    <w:name w:val="B677D41039474702A199C0AF4BA69093"/>
  </w:style>
  <w:style w:type="paragraph" w:customStyle="1" w:styleId="6029388401774343971B0CA3F07CD90A">
    <w:name w:val="6029388401774343971B0CA3F07CD90A"/>
  </w:style>
  <w:style w:type="paragraph" w:customStyle="1" w:styleId="E5E2CC15751A4C1EA27C7E36CAA8E3CA">
    <w:name w:val="E5E2CC15751A4C1EA27C7E36CAA8E3C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0551480BDE74F988077964D5BB90156">
    <w:name w:val="E0551480BDE74F988077964D5BB90156"/>
  </w:style>
  <w:style w:type="paragraph" w:customStyle="1" w:styleId="0022E576AC1446A2B186D388B80B77AA">
    <w:name w:val="0022E576AC1446A2B186D388B80B77AA"/>
  </w:style>
  <w:style w:type="paragraph" w:customStyle="1" w:styleId="64C698E402C84657969879B7DFB6A160">
    <w:name w:val="64C698E402C84657969879B7DFB6A160"/>
  </w:style>
  <w:style w:type="paragraph" w:customStyle="1" w:styleId="B677D41039474702A199C0AF4BA69093">
    <w:name w:val="B677D41039474702A199C0AF4BA69093"/>
  </w:style>
  <w:style w:type="paragraph" w:customStyle="1" w:styleId="6029388401774343971B0CA3F07CD90A">
    <w:name w:val="6029388401774343971B0CA3F07CD90A"/>
  </w:style>
  <w:style w:type="paragraph" w:customStyle="1" w:styleId="E5E2CC15751A4C1EA27C7E36CAA8E3CA">
    <w:name w:val="E5E2CC15751A4C1EA27C7E36CAA8E3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verPageProperties xmlns="http://schemas.microsoft.com/office/2006/coverPageProps">
  <PublishDate>2014-01-01T00:00:00</PublishDate>
  <Abstract/>
  <CompanyAddress/>
  <CompanyPhone/>
  <CompanyFax/>
  <CompanyEmail/>
</CoverPageProperties>
</file>

<file path=customXml/item3.xml><?xml version="1.0" encoding="utf-8"?>
<p:properties xmlns:p="http://schemas.microsoft.com/office/2006/metadata/properties" xmlns:xsi="http://www.w3.org/2001/XMLSchema-instance">
  <documentManagement>
    <Year xmlns="9bd3a89a-ee47-4d4a-ad9f-ad79fed46c76">2014</Year>
    <Document_x0020_Description xmlns="9bd3a89a-ee47-4d4a-ad9f-ad79fed46c76" xsi:nil="true"/>
    <Issue_x0020__x0028_Comms_x0029_ xmlns="9bd3a89a-ee47-4d4a-ad9f-ad79fed46c76">Water</Issue_x0020__x0028_Comms_x0029_>
    <Month xmlns="9bd3a89a-ee47-4d4a-ad9f-ad79fed46c76">January</Month>
    <Audience1 xmlns="3572d091-57c4-4650-a223-dea2f39f07a9" xsi:nil="true"/>
    <Stakeholders xmlns="9bd3a89a-ee47-4d4a-ad9f-ad79fed46c76" xsi:nil="true"/>
    <Project xmlns="3572d091-57c4-4650-a223-dea2f39f07a9" xsi:nil="true"/>
    <Doc_x0020_Type xmlns="9bd3a89a-ee47-4d4a-ad9f-ad79fed46c76">Report</Doc_x0020_Type>
  </documentManagement>
</p:properties>
</file>

<file path=customXml/item4.xml><?xml version="1.0" encoding="utf-8"?>
<ct:contentTypeSchema xmlns:ct="http://schemas.microsoft.com/office/2006/metadata/contentType" xmlns:ma="http://schemas.microsoft.com/office/2006/metadata/properties/metaAttributes" ct:_="" ma:_="" ma:contentTypeName="MAVIS Document" ma:contentTypeID="0x010100801A03BAF923BB4A9A6902AB019B677B000DDBCE03693BDF4ABE7CC02D10BEAAEB" ma:contentTypeVersion="48" ma:contentTypeDescription="" ma:contentTypeScope="" ma:versionID="8cd274d96b3a0e3cc1ab6ff7dade638b">
  <xsd:schema xmlns:xsd="http://www.w3.org/2001/XMLSchema" xmlns:p="http://schemas.microsoft.com/office/2006/metadata/properties" xmlns:ns2="9bd3a89a-ee47-4d4a-ad9f-ad79fed46c76" xmlns:ns3="3572d091-57c4-4650-a223-dea2f39f07a9" targetNamespace="http://schemas.microsoft.com/office/2006/metadata/properties" ma:root="true" ma:fieldsID="982769ebc0ede5ff667fdef71ac45e47" ns2:_="" ns3:_="">
    <xsd:import namespace="9bd3a89a-ee47-4d4a-ad9f-ad79fed46c76"/>
    <xsd:import namespace="3572d091-57c4-4650-a223-dea2f39f07a9"/>
    <xsd:element name="properties">
      <xsd:complexType>
        <xsd:sequence>
          <xsd:element name="documentManagement">
            <xsd:complexType>
              <xsd:all>
                <xsd:element ref="ns2:Document_x0020_Description" minOccurs="0"/>
                <xsd:element ref="ns2:Doc_x0020_Type"/>
                <xsd:element ref="ns2:Month" minOccurs="0"/>
                <xsd:element ref="ns2:Year"/>
                <xsd:element ref="ns2:Stakeholders" minOccurs="0"/>
                <xsd:element ref="ns2:Issue_x0020__x0028_Comms_x0029_"/>
                <xsd:element ref="ns3:Project" minOccurs="0"/>
                <xsd:element ref="ns3:Audience1" minOccurs="0"/>
              </xsd:all>
            </xsd:complexType>
          </xsd:element>
        </xsd:sequence>
      </xsd:complexType>
    </xsd:element>
  </xsd:schema>
  <xsd:schema xmlns:xsd="http://www.w3.org/2001/XMLSchema" xmlns:dms="http://schemas.microsoft.com/office/2006/documentManagement/types" targetNamespace="9bd3a89a-ee47-4d4a-ad9f-ad79fed46c76" elementFormDefault="qualified">
    <xsd:import namespace="http://schemas.microsoft.com/office/2006/documentManagement/types"/>
    <xsd:element name="Document_x0020_Description" ma:index="2" nillable="true" ma:displayName="Document Description" ma:default="" ma:description="A textual description of the content and/or purpose of the resource." ma:internalName="Document_x0020_Description" ma:readOnly="false">
      <xsd:simpleType>
        <xsd:restriction base="dms:Note"/>
      </xsd:simpleType>
    </xsd:element>
    <xsd:element name="Doc_x0020_Type" ma:index="3" ma:displayName="Doc Type" ma:default="Advertisement" ma:format="Dropdown" ma:internalName="Doc_x0020_Type" ma:readOnly="false">
      <xsd:simpleType>
        <xsd:restriction base="dms:Choice">
          <xsd:enumeration value="Advertisement"/>
          <xsd:enumeration value="Agenda"/>
          <xsd:enumeration value="Agreement"/>
          <xsd:enumeration value="Backgrounder"/>
          <xsd:enumeration value="Brief"/>
          <xsd:enumeration value="Brochure"/>
          <xsd:enumeration value="Budget"/>
          <xsd:enumeration value="Business Case"/>
          <xsd:enumeration value="Case Study"/>
          <xsd:enumeration value="Checklist"/>
          <xsd:enumeration value="Correspondence"/>
          <xsd:enumeration value="Database"/>
          <xsd:enumeration value="Discussion Paper"/>
          <xsd:enumeration value="Editorial"/>
          <xsd:enumeration value="Fact Sheet"/>
          <xsd:enumeration value="Financial Statement"/>
          <xsd:enumeration value="Form"/>
          <xsd:enumeration value="Guideline"/>
          <xsd:enumeration value="Invoice"/>
          <xsd:enumeration value="Manual"/>
          <xsd:enumeration value="Media clipping"/>
          <xsd:enumeration value="Media Release"/>
          <xsd:enumeration value="Meeting notes"/>
          <xsd:enumeration value="Minutes"/>
          <xsd:enumeration value="Newsletter"/>
          <xsd:enumeration value="Notes"/>
          <xsd:enumeration value="Organisational Chart"/>
          <xsd:enumeration value="Plan"/>
          <xsd:enumeration value="Policy"/>
          <xsd:enumeration value="Position Description"/>
          <xsd:enumeration value="Presentation"/>
          <xsd:enumeration value="Procedure"/>
          <xsd:enumeration value="Proposal"/>
          <xsd:enumeration value="Purchase Order"/>
          <xsd:enumeration value="Quote"/>
          <xsd:enumeration value="Receipt"/>
          <xsd:enumeration value="Register"/>
          <xsd:enumeration value="Report"/>
          <xsd:enumeration value="Research Paper"/>
          <xsd:enumeration value="Statutory Document"/>
          <xsd:enumeration value="Submission"/>
          <xsd:enumeration value="Survey"/>
          <xsd:enumeration value="Template"/>
          <xsd:enumeration value="Tender"/>
          <xsd:enumeration value="Terms of Reference"/>
        </xsd:restriction>
      </xsd:simpleType>
    </xsd:element>
    <xsd:element name="Month" ma:index="4" nillable="true" ma:displayName="Month" ma:format="Dropdown" ma:internalName="Month" ma:readOnly="false">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5" ma:displayName="Year" ma:format="Dropdown" ma:internalName="Year">
      <xsd:simpleType>
        <xsd:restriction base="dms:Choice">
          <xsd:enumeration value="1989"/>
          <xsd:enumeration value="1990"/>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Stakeholders" ma:index="6" nillable="true" ma:displayName="Stakeholders" ma:format="Dropdown" ma:internalName="Stakeholders">
      <xsd:simpleType>
        <xsd:restriction base="dms:Choice">
          <xsd:enumeration value="Aboriginal Affairs Victoria"/>
          <xsd:enumeration value="Accessible Built Environment Working Group"/>
          <xsd:enumeration value="Accident Compensation Conciliation Service"/>
          <xsd:enumeration value="Adult Community and Further Education Board - Vict"/>
          <xsd:enumeration value="Aged and Community Care Victoria"/>
          <xsd:enumeration value="ALGA"/>
          <xsd:enumeration value="ALGA Emergency Management Reference Group"/>
          <xsd:enumeration value="ALGWA"/>
          <xsd:enumeration value="Alpine Advisory Committee"/>
          <xsd:enumeration value="Alpine Shire Council"/>
          <xsd:enumeration value="ALSO Foundation"/>
          <xsd:enumeration value="Animal Welfare Advisory Committee"/>
          <xsd:enumeration value="Ararat Rural City Council"/>
          <xsd:enumeration value="ARC/NHMRC"/>
          <xsd:enumeration value="Architects Registration Board"/>
          <xsd:enumeration value="Arts Victoria"/>
          <xsd:enumeration value="Asset Confiscation Office"/>
          <xsd:enumeration value="Association of Bayside Municipalities"/>
          <xsd:enumeration value="Association of Neighbourhood Houses and Learning Centres (ANHLC)"/>
          <xsd:enumeration value="Association of Regional Waste Management Groups"/>
          <xsd:enumeration value="Attorney General"/>
          <xsd:enumeration value="Auditor-General"/>
          <xsd:enumeration value="AusIndustry"/>
          <xsd:enumeration value="Australia Day"/>
          <xsd:enumeration value="Australia Post"/>
          <xsd:enumeration value="Australian and New Zealand School of Government"/>
          <xsd:enumeration value="Australian Centre for the Moving Image"/>
          <xsd:enumeration value="Australian Communications Infrastructure Forum"/>
          <xsd:enumeration value="Australian Drug Information Clearinghouse Advisory Partners Group"/>
          <xsd:enumeration value="Australian Electoral Commission"/>
          <xsd:enumeration value="Australian Emergency Management Committee"/>
          <xsd:enumeration value="Australian Environmental Labelling Association Advisory Committee"/>
          <xsd:enumeration value="Australian Gambling Research"/>
          <xsd:enumeration value="Australian Government Department of Immigration and Citizenship"/>
          <xsd:enumeration value="Australian Government Information Management Office (AGIMO)"/>
          <xsd:enumeration value="Australian Industry Group"/>
          <xsd:enumeration value="Australian Institute of Architects"/>
          <xsd:enumeration value="Australian Institute of Management"/>
          <xsd:enumeration value="Australian Library and Information Association"/>
          <xsd:enumeration value="Australian Medical Association"/>
          <xsd:enumeration value="Australian Procurement Construction Council"/>
          <xsd:enumeration value="Australian Research Council"/>
          <xsd:enumeration value="Australian Rural Roads Group"/>
          <xsd:enumeration value="Australian Services Union (ASU)"/>
          <xsd:enumeration value="Australian Synchrotron"/>
          <xsd:enumeration value="Australian Tax Office"/>
          <xsd:enumeration value="Ballarat City Council"/>
          <xsd:enumeration value="Banyule City Council"/>
          <xsd:enumeration value="Barwon Regional Waste Management Group"/>
          <xsd:enumeration value="Barwon Water"/>
          <xsd:enumeration value="Bass Coast Shire Council"/>
          <xsd:enumeration value="Baw Baw Shire Council"/>
          <xsd:enumeration value="Bayside City Council"/>
          <xsd:enumeration value="Benalla Rural City Council"/>
          <xsd:enumeration value="Bendigo Bank"/>
          <xsd:enumeration value="Better Bays and Waterways steering committee"/>
          <xsd:enumeration value="Better Health Channel"/>
          <xsd:enumeration value="Beyond Blue"/>
          <xsd:enumeration value="Bicycle Victoria"/>
          <xsd:enumeration value="Boomerang Alliance"/>
          <xsd:enumeration value="Boroondara City Council"/>
          <xsd:enumeration value="Breast Care Victoria"/>
          <xsd:enumeration value="Brimbank City Council"/>
          <xsd:enumeration value="Broiler Code Committee"/>
          <xsd:enumeration value="Building Commission"/>
          <xsd:enumeration value="Building Regulation Advisory Committee"/>
          <xsd:enumeration value="Buloke Shire Council"/>
          <xsd:enumeration value="Bus Service Review Reference Group"/>
          <xsd:enumeration value="Bushfire Cooperative Research Centre"/>
          <xsd:enumeration value="Bushfire Recovery Coordination Group"/>
          <xsd:enumeration value="Bushfire Royal Commission"/>
          <xsd:enumeration value="Business and The Environment"/>
          <xsd:enumeration value="Business Licensing Authority"/>
          <xsd:enumeration value="Business Skills Victoria Board"/>
          <xsd:enumeration value="Business Victoria"/>
          <xsd:enumeration value="Butt Littering Trust"/>
          <xsd:enumeration value="Calder Regional Waste Management Group"/>
          <xsd:enumeration value="Campaspe Shire Council"/>
          <xsd:enumeration value="Cancer Council Victoria"/>
          <xsd:enumeration value="Cardinia Shire Council"/>
          <xsd:enumeration value="Casey City Council"/>
          <xsd:enumeration value="Catchment Management Authority Local Government Coordinators Network"/>
          <xsd:enumeration value="Central Coastal Board"/>
          <xsd:enumeration value="Central Goldfields Shire Council"/>
          <xsd:enumeration value="Central Highlands Region Water Authority"/>
          <xsd:enumeration value="Central Murray Regional Waste Management Group"/>
          <xsd:enumeration value="Central Region Sustainable Water Strategy Consultative Committee"/>
          <xsd:enumeration value="Centre for Community Child Health, Royal Children's Hospital"/>
          <xsd:enumeration value="Child Safety Commissioner"/>
          <xsd:enumeration value="Childrens Court"/>
          <xsd:enumeration value="Chinese Medicine Registration Board of Victoria"/>
          <xsd:enumeration value="Chiropractors Registration Board of Victoria"/>
          <xsd:enumeration value="City West Water"/>
          <xsd:enumeration value="Civil Contractors Federation"/>
          <xsd:enumeration value="Clearwater Steering Committee"/>
          <xsd:enumeration value="COAG"/>
          <xsd:enumeration value="Colac Otway Shire Council"/>
          <xsd:enumeration value="Coliban Region Water Authority"/>
          <xsd:enumeration value="Commissioner for Environmental Sustainability"/>
          <xsd:enumeration value="Committee for Economic Development of Australia"/>
          <xsd:enumeration value="Commonwealth Aged Care Advisory Committee"/>
          <xsd:enumeration value="Commonwealth Bank"/>
          <xsd:enumeration value="Commonwealth Children’s Services Planning Advisory Committee"/>
          <xsd:enumeration value="Community Child Care Victoria"/>
          <xsd:enumeration value="Community Safety Month Reference Group"/>
          <xsd:enumeration value="Community Services and Health Industry Training Board"/>
          <xsd:enumeration value="Consumer Affairs Victoria"/>
          <xsd:enumeration value="Corangamite Catchment Management Authority"/>
          <xsd:enumeration value="Corangamite Shire Council"/>
          <xsd:enumeration value="Corrections Victoria"/>
          <xsd:enumeration value="Council Alliance for a Sustainable Built Environment (CASBE)"/>
          <xsd:enumeration value="Council for Adult Education (CAE)"/>
          <xsd:enumeration value="Council Governance Officers"/>
          <xsd:enumeration value="Council on the Ageing Victoria (COTA) (COTAVic)"/>
          <xsd:enumeration value="Councils Reforming Business Steering Committee"/>
          <xsd:enumeration value="Country Fire Authority"/>
          <xsd:enumeration value="Country Town Water Supply and Sewerage Project Steering Committee"/>
          <xsd:enumeration value="County Court"/>
          <xsd:enumeration value="CPA Australia"/>
          <xsd:enumeration value="CPR Communications and Public Relations"/>
          <xsd:enumeration value="Cranlana"/>
          <xsd:enumeration value="Crime Prevention Victoria"/>
          <xsd:enumeration value="Customer Consultative Committee, Essential Service Commission"/>
          <xsd:enumeration value="Dairy Food Safety Victoria"/>
          <xsd:enumeration value="Darebin City Council"/>
          <xsd:enumeration value="Deakin"/>
          <xsd:enumeration value="Dental Practice Board of Victoria"/>
          <xsd:enumeration value="Department for Victorian Communities"/>
          <xsd:enumeration value="Department of Broadband, Communication and Digital Economy"/>
          <xsd:enumeration value="Department of Edu and Early Childhood Development  (Vic)"/>
          <xsd:enumeration value="Department of Education (Vic)"/>
          <xsd:enumeration value="Department of Education, Employment and Workplace Relations (DEEWR)"/>
          <xsd:enumeration value="Department of Environment, Water, Heritage and the Arts"/>
          <xsd:enumeration value="Department of Energy Efficiency and Climate Change"/>
          <xsd:enumeration value="Department of Families, Housing, Community Services and Indigenous Affairs (FaHCSIA)"/>
          <xsd:enumeration value="Department of Health (Vic)"/>
          <xsd:enumeration value="Department of Health and Ageing"/>
          <xsd:enumeration value="Department of Human Services"/>
          <xsd:enumeration value="Department of Human Services (Vic)"/>
          <xsd:enumeration value="Department of Infrastructure (Vic)"/>
          <xsd:enumeration value="Department of Infrastructure, Transport, Regional Development and Local Government"/>
          <xsd:enumeration value="Department of Innovation, Industry and Regional Development (Vic)"/>
          <xsd:enumeration value="Department of Justice (Vic)"/>
          <xsd:enumeration value="Department of Planning and Community Development (Vic)"/>
          <xsd:enumeration value="Department of Premier and Cabinet (Vic)"/>
          <xsd:enumeration value="Department of Primary Industries (Vic)"/>
          <xsd:enumeration value="Department of Sustainability and Environment (Vic)"/>
          <xsd:enumeration value="Department of Transport (Vic)"/>
          <xsd:enumeration value="Department of Treasury and Finance (Vic)"/>
          <xsd:enumeration value="Desert Fringe Regional Waste Management Group"/>
          <xsd:enumeration value="Development Assessment Forum"/>
          <xsd:enumeration value="DHS Early Years Advisory Group"/>
          <xsd:enumeration value="DHS HACC Department Advisory Committee"/>
          <xsd:enumeration value="DHS Human Services Partnership Implementation Committee"/>
          <xsd:enumeration value="DHS Influenza Pandemic Planning Steering Committee"/>
          <xsd:enumeration value="DHS/MAV Food Safety Coordination Project Steering Committee"/>
          <xsd:enumeration value="Disability Inclusion Strategy Group"/>
          <xsd:enumeration value="Disability Partnerships and Service Planning"/>
          <xsd:enumeration value="Docklands Authority"/>
          <xsd:enumeration value="DOI Maintaining Mobility Steering Group"/>
          <xsd:enumeration value="Domestic Animal Management Implementation Committee"/>
          <xsd:enumeration value="DOTARS"/>
          <xsd:enumeration value="DPI Drought Reference Group"/>
          <xsd:enumeration value="DSE E-planning Steering Committee"/>
          <xsd:enumeration value="Early Childhood Intervention Services"/>
          <xsd:enumeration value="East Gippsland Catchment Management Authority"/>
          <xsd:enumeration value="East Gippsland Region Water Authority"/>
          <xsd:enumeration value="East Gippsland Shire Council"/>
          <xsd:enumeration value="Eastern Transport Coalition"/>
          <xsd:enumeration value="EasyBiz Project Directions and Monitoring Group"/>
          <xsd:enumeration value="EasyBiz Steering Committee"/>
          <xsd:enumeration value="eCommerce Info Centre"/>
          <xsd:enumeration value="Ecorecycle Victoria"/>
          <xsd:enumeration value="Education Network Australia (EdNA)"/>
          <xsd:enumeration value="eGovernment Resource Centre"/>
          <xsd:enumeration value="Electoral Boundaries Commission"/>
          <xsd:enumeration value="Emerald Tourist Railway Board"/>
          <xsd:enumeration value="Emergency Management Australia"/>
          <xsd:enumeration value="Emergency Management Manual Victoria (EMMV) Strategy Group"/>
          <xsd:enumeration value="Emergency Warning Systems Working Group"/>
          <xsd:enumeration value="Energy Safe Victoria"/>
          <xsd:enumeration value="Environment Victoria"/>
          <xsd:enumeration value="EPA Victoria"/>
          <xsd:enumeration value="E-planning Council"/>
          <xsd:enumeration value="Ernst and Young"/>
          <xsd:enumeration value="Essential Services Commission"/>
          <xsd:enumeration value="Estate Agents Council"/>
          <xsd:enumeration value="Ethnic Communities' Council of Victoria"/>
          <xsd:enumeration value="Falls Creek Alpine Resort Management Board"/>
          <xsd:enumeration value="Family Court of Australia"/>
          <xsd:enumeration value="Family Day Care Australia"/>
          <xsd:enumeration value="Federal Government"/>
          <xsd:enumeration value="Federation of Ethnic Community Councils of Australia"/>
          <xsd:enumeration value="Film Victoria"/>
          <xsd:enumeration value="FinPro"/>
          <xsd:enumeration value="First Mildura Irrigation Trust"/>
          <xsd:enumeration value="Fisheries Co-Management Council"/>
          <xsd:enumeration value="Flood Warning Consultative Committee Victoria"/>
          <xsd:enumeration value="Flood Warning Systems Project Board"/>
          <xsd:enumeration value="Food Regulation Ministerial Council"/>
          <xsd:enumeration value="Food Safety Council"/>
          <xsd:enumeration value="Food Safety Legislation Working Group"/>
          <xsd:enumeration value="Food Safety Reporting and Monitoring Sub-committee"/>
          <xsd:enumeration value="Food Safety Risk Classification Sub-committee"/>
          <xsd:enumeration value="Food Science Australia"/>
          <xsd:enumeration value="Food Victoria"/>
          <xsd:enumeration value="Frankston City Council"/>
          <xsd:enumeration value="Gannawarra Shire Council"/>
          <xsd:enumeration value="Gay and Lesbian Health Victoria"/>
          <xsd:enumeration value="Geelong Performing Arts Centre Trust"/>
          <xsd:enumeration value="General Practice Division Victoria"/>
          <xsd:enumeration value="Gippsland Coastal Board"/>
          <xsd:enumeration value="Gippsland Ports Committee of Management"/>
          <xsd:enumeration value="Gippsland Regional Waste Management Group"/>
          <xsd:enumeration value="Gippsland Water"/>
          <xsd:enumeration value="Glen Eira City Council"/>
          <xsd:enumeration value="Glenelg Hopkins Catchment Management Authority"/>
          <xsd:enumeration value="Glenelg Region Water Authority"/>
          <xsd:enumeration value="Glenelg Shire Council"/>
          <xsd:enumeration value="Global Sustainability Insitute"/>
          <xsd:enumeration value="Golden Plains Shire Council"/>
          <xsd:enumeration value="Goulburn Broken Catchment Management Authority"/>
          <xsd:enumeration value="Goulburn Broken Environment Planning Network"/>
          <xsd:enumeration value="Goulburn Valley Region Water Authority"/>
          <xsd:enumeration value="Goulburn-Murray Water"/>
          <xsd:enumeration value="Government Superannuation Office"/>
          <xsd:enumeration value="Governor of Victoria"/>
          <xsd:enumeration value="Graffiti Hurts"/>
          <xsd:enumeration value="Grampians Regional Waste Management Group"/>
          <xsd:enumeration value="Grampians Wimmera Mallee Water Authority"/>
          <xsd:enumeration value="Greater Bendigo City Council"/>
          <xsd:enumeration value="Greater Dandenong City Council"/>
          <xsd:enumeration value="Greater Geelong City Council"/>
          <xsd:enumeration value="Greater Melbourne Water Sensitive Urban Design Steering Committee"/>
          <xsd:enumeration value="Greater Shepparton City Council"/>
          <xsd:enumeration value="Green Building Council"/>
          <xsd:enumeration value="Greenfleet Victoria’s Greenhouse Forests Project Steering Committee"/>
          <xsd:enumeration value="Greyhound Racing Victoria"/>
          <xsd:enumeration value="GRIP/ Tripwire (Graffiti management)"/>
          <xsd:enumeration value="HACC Departmental Advisory Committee"/>
          <xsd:enumeration value="Harness Racing Victoria"/>
          <xsd:enumeration value="Hawker Britton"/>
          <xsd:enumeration value="Helen McPherson Smith Trust"/>
          <xsd:enumeration value="Hepburn Shire Council"/>
          <xsd:enumeration value="Heritage Council of Victoria"/>
          <xsd:enumeration value="Heritage Victoria"/>
          <xsd:enumeration value="Highlands Regional Waste Management Group"/>
          <xsd:enumeration value="Hindmarsh Shire Council"/>
          <xsd:enumeration value="Hobsons Bay City Council"/>
          <xsd:enumeration value="Horsham Rural City Council"/>
          <xsd:enumeration value="Housing Industry Association"/>
          <xsd:enumeration value="Hume City Council"/>
          <xsd:enumeration value="Immigration Museum"/>
          <xsd:enumeration value="Indigenous Interagency Coordination Committee"/>
          <xsd:enumeration value="Indigo Shire Council"/>
          <xsd:enumeration value="Industrial Relations Victoria"/>
          <xsd:enumeration value="Industry Advisory Group  (Disability Services)"/>
          <xsd:enumeration value="Infertility Treatment Authority"/>
          <xsd:enumeration value="Information Victoria"/>
          <xsd:enumeration value="Infrastructure Australia"/>
          <xsd:enumeration value="Infringements Standing Advisory Committee"/>
          <xsd:enumeration value="Institute of Chartered Accountants"/>
          <xsd:enumeration value="Institute of Public Administration Australia"/>
          <xsd:enumeration value="Integrated Municipal Fire Management Planning Project Multi-Agency Reference Group"/>
          <xsd:enumeration value="Intellectual Disability Review Panel"/>
          <xsd:enumeration value="Interface Councils"/>
          <xsd:enumeration value="Interface Councils Human Services Directors Group (IFC-HSD)"/>
          <xsd:enumeration value="Intergovernmental Tobacco Reforms and Amenity Working Group"/>
          <xsd:enumeration value="Invest Victoria"/>
          <xsd:enumeration value="IPWEA"/>
          <xsd:enumeration value="Jesuit Social Services"/>
          <xsd:enumeration value="Kindergarten Parents Victoria"/>
          <xsd:enumeration value="Kingston City Council"/>
          <xsd:enumeration value="Knox City Council"/>
          <xsd:enumeration value="Lake Mountain Alpine Resort Management Board"/>
          <xsd:enumeration value="Land Channel"/>
          <xsd:enumeration value="Land Exchange"/>
          <xsd:enumeration value="Landlearn"/>
          <xsd:enumeration value="Latrobe City Council"/>
          <xsd:enumeration value="Latrobe University"/>
          <xsd:enumeration value="Law Reform Commission"/>
          <xsd:enumeration value="Legal Aid"/>
          <xsd:enumeration value="Legal Services Board"/>
          <xsd:enumeration value="Legal Services Commissioner"/>
          <xsd:enumeration value="LGAT"/>
          <xsd:enumeration value="LGNSW"/>
          <xsd:enumeration value="LGPRA"/>
          <xsd:enumeration value="LGPro"/>
          <xsd:enumeration value="LGPro Aged and Disability SIG"/>
          <xsd:enumeration value="LGPro Assessment SIG"/>
          <xsd:enumeration value="LGPro Family and Children's Services SIG"/>
          <xsd:enumeration value="Libraries Australia"/>
          <xsd:enumeration value="Libraries Victoria"/>
          <xsd:enumeration value="Library Network Committee (State Library)"/>
          <xsd:enumeration value="Licensed Premises Advisory Group"/>
          <xsd:enumeration value="Linking Victoria"/>
          <xsd:enumeration value="Liquor Licensing Victoria"/>
          <xsd:enumeration value="Live in Victoria"/>
          <xsd:enumeration value="Local Government Domestic Wastewater Special Interest Group"/>
          <xsd:enumeration value="Local Government Drug Issues Forum"/>
          <xsd:enumeration value="Local Government Native Vegetation Permit Assessments Working Group"/>
          <xsd:enumeration value="Local Government Natural Resource Management Facilitator Network"/>
          <xsd:enumeration value="Local Government Victoria"/>
          <xsd:enumeration value="Local Government Working Group on Gambling"/>
          <xsd:enumeration value="Local Learning and Employment Network"/>
          <xsd:enumeration value="Local Settlement Planning Committees"/>
          <xsd:enumeration value="Local Sustainability Accord Steering Commit"/>
          <xsd:enumeration value="Loddon Shire Council"/>
          <xsd:enumeration value="Love Melbourne"/>
          <xsd:enumeration value="Lower Murray Water Authority"/>
          <xsd:enumeration value="Macedon Ranges Shire Council"/>
          <xsd:enumeration value="Maddocks"/>
          <xsd:enumeration value="Magistrates Court"/>
          <xsd:enumeration value="Major Projects Victoria"/>
          <xsd:enumeration value="Mallee Catchment Management Authority"/>
          <xsd:enumeration value="Manningham City Council"/>
          <xsd:enumeration value="Mansfield Shire Council"/>
          <xsd:enumeration value="Manufacturing Hall of Fame"/>
          <xsd:enumeration value="Maribyrnong City Council"/>
          <xsd:enumeration value="Marine Safety Victoria"/>
          <xsd:enumeration value="Maroondah City Council"/>
          <xsd:enumeration value="Master Builders Association Victoria"/>
          <xsd:enumeration value="MAV"/>
          <xsd:enumeration value="MAV Drought Taskforce"/>
          <xsd:enumeration value="MAV Early Years Strategy Group"/>
          <xsd:enumeration value="MAV Ecologically Sustainable Development Advocacy Group"/>
          <xsd:enumeration value="MAV Economics and Finance Advisory Group"/>
          <xsd:enumeration value="MAV Future of Local Government Advisory Group"/>
          <xsd:enumeration value="MAV HACC and Ageing Issues Strategy Group"/>
          <xsd:enumeration value="MAV Human Services Portfolio Committee"/>
          <xsd:enumeration value="MAV Local Government Indigenous Network"/>
          <xsd:enumeration value="MAV Local Government Information and Communication Technology Committee"/>
          <xsd:enumeration value="MAV Melbourne 2030 Local Government Reference Group"/>
          <xsd:enumeration value="MAV Multicultural Network"/>
          <xsd:enumeration value="MAV Office for Children Partnership Working Group"/>
          <xsd:enumeration value="MAV PERIN Reference Group"/>
          <xsd:enumeration value="MAV Planning Advisory Group"/>
          <xsd:enumeration value="MAV Planning Expert Reference Group"/>
          <xsd:enumeration value="MAV Professional Development Reference Group"/>
          <xsd:enumeration value="MAV Representatives"/>
          <xsd:enumeration value="MAV Rural Planning Project Steering Committee"/>
          <xsd:enumeration value="MAV Small Towns Victoria Program Steering Committee"/>
          <xsd:enumeration value="MAV Strategic Environment Advisory Group"/>
          <xsd:enumeration value="MAV Swift Consortium Management Group"/>
          <xsd:enumeration value="MAV Transport and Infrastructure Advisory Group"/>
          <xsd:enumeration value="MAV Victorian Local Sustainability Network"/>
          <xsd:enumeration value="MAV Waste Reference Group"/>
          <xsd:enumeration value="MAV Water Taskforce"/>
          <xsd:enumeration value="MAV Workforce Planning and Services Advisory Groups"/>
          <xsd:enumeration value="MAV/COTA Positive Ageing Steering Committee"/>
          <xsd:enumeration value="MAV/DEECD Early Years Advisory Group"/>
          <xsd:enumeration value="MAV/DHS Ageing and HACC Working Party"/>
          <xsd:enumeration value="MAV/DHS Food Safety Coordination Project Steering Committee"/>
          <xsd:enumeration value="MAV/DHS HACC/Primary Care Working Party"/>
          <xsd:enumeration value="MAV/DHS MCH Services Improvement Implementation Advisory Group"/>
          <xsd:enumeration value="MAV/DHS Office for Children Partnerships Working Party"/>
          <xsd:enumeration value="MAV/DHS/DPCD Disability Advisory Group"/>
          <xsd:enumeration value="MAV/DOI Public Transport Liaison Group"/>
          <xsd:enumeration value="MAV/OfD/DHS Disability Inclusion Strategy Group"/>
          <xsd:enumeration value="MAV/Sustainability Victoria/DSE ECO-Buy Steering Committee"/>
          <xsd:enumeration value="MAV/VicRoads Liaison Group"/>
          <xsd:enumeration value="McArthur Management Services"/>
          <xsd:enumeration value="McCaughey Centre, University of Melbourne"/>
          <xsd:enumeration value="MCH SIIAG Service Improvement Initiatives Advisory Group"/>
          <xsd:enumeration value="Medical Radiation Technologists Board"/>
          <xsd:enumeration value="Melbourne 2006 Commonwealth Games"/>
          <xsd:enumeration value="Melbourne 2030 Activity Centres Thematic Working Group"/>
          <xsd:enumeration value="Melbourne 2030 Implementation Reference Group"/>
          <xsd:enumeration value="Melbourne and Metropolitan Flood Warning Arrangements Group"/>
          <xsd:enumeration value="Melbourne City Council"/>
          <xsd:enumeration value="Melbourne Convention and Exhibition Trust"/>
          <xsd:enumeration value="Melbourne Market Authority"/>
          <xsd:enumeration value="Melbourne Water Corporation"/>
          <xsd:enumeration value="Melbourne Water Drainage Implementation Steering Committee"/>
          <xsd:enumeration value="Melton Shire Council"/>
          <xsd:enumeration value="MEMP Audit Review Committee"/>
          <xsd:enumeration value="Mental Health Review Board"/>
          <xsd:enumeration value="Merit Protection Boards"/>
          <xsd:enumeration value="Metlink"/>
          <xsd:enumeration value="Metropolitan Ambulance Service"/>
          <xsd:enumeration value="Metropolitan Fire and Emergency Services"/>
          <xsd:enumeration value="Metropolitan Transport Forum"/>
          <xsd:enumeration value="Metropolitan Waste Management Group"/>
          <xsd:enumeration value="Microsoft"/>
          <xsd:enumeration value="Middletons"/>
          <xsd:enumeration value="Mildura Regional Waste Management Group"/>
          <xsd:enumeration value="Mildura Rural City Council"/>
          <xsd:enumeration value="Minister Assisting the Premier on Multicultural Affairs"/>
          <xsd:enumeration value="Minister Assisting the Premier on Veterans Affairs"/>
          <xsd:enumeration value="Minister for Aboriginal Affairs"/>
          <xsd:enumeration value="Minister for Agriculture"/>
          <xsd:enumeration value="Minister for Arts"/>
          <xsd:enumeration value="Minister for Children and Early Childhood Development"/>
          <xsd:enumeration value="Minister for Community Development"/>
          <xsd:enumeration value="Minister for Community Services"/>
          <xsd:enumeration value="Minister for Consumer Affairs"/>
          <xsd:enumeration value="Minister for Corrections"/>
          <xsd:enumeration value="Minister for Education"/>
          <xsd:enumeration value="Minister for Energy and Resources"/>
          <xsd:enumeration value="Minister for Environment and Climate Change"/>
          <xsd:enumeration value="Minister for Finance (WorkCover, TAC)"/>
          <xsd:enumeration value="Minister for Financial Services"/>
          <xsd:enumeration value="Minister for Gaming"/>
          <xsd:enumeration value="Minister for Health"/>
          <xsd:enumeration value="Minister for Housing"/>
          <xsd:enumeration value="Minister for Information and Communication Technology"/>
          <xsd:enumeration value="Minister for Innovation"/>
          <xsd:enumeration value="Minister for Local Government"/>
          <xsd:enumeration value="Minister for Major Projects"/>
          <xsd:enumeration value="Minister for Mental Health"/>
          <xsd:enumeration value="Minister for Multicultural Affairs"/>
          <xsd:enumeration value="Minister for Planning"/>
          <xsd:enumeration value="Minister for Police and Emergency Services"/>
          <xsd:enumeration value="Minister for Public Transport"/>
          <xsd:enumeration value="Minister for Racing"/>
          <xsd:enumeration value="Minister for Regional and Rural Development"/>
          <xsd:enumeration value="Minister for Roads and Ports"/>
          <xsd:enumeration value="Minister for Senior Victorians"/>
          <xsd:enumeration value="Minister for Skills and Workforce Participation"/>
          <xsd:enumeration value="Minister for Small Business"/>
          <xsd:enumeration value="Minister for Sport, Recreation"/>
          <xsd:enumeration value="Minister for Tourism and Major Events"/>
          <xsd:enumeration value="Minister for Veterans' Affairs"/>
          <xsd:enumeration value="Minister for Water"/>
          <xsd:enumeration value="Minister for Women's Affairs"/>
          <xsd:enumeration value="Minister for Youth Affairs"/>
          <xsd:enumeration value="Ministerial Advisory Committee for Victorian Communities"/>
          <xsd:enumeration value="Ministerial Advisory Committee Gay and Lesbian Health"/>
          <xsd:enumeration value="Ministerial Advisory Council on Public Libraries"/>
          <xsd:enumeration value="Ministerial Council on Immigration and Multicultural Affairs"/>
          <xsd:enumeration value="Ministerial Planning Roundtable"/>
          <xsd:enumeration value="Ministerial Utilities Infrastructure Reference Panel"/>
          <xsd:enumeration value="Ministers Statement on Local Planning Policy Working Group"/>
          <xsd:enumeration value="Minter Ellison"/>
          <xsd:enumeration value="Mitchell Shire Council"/>
          <xsd:enumeration value="Model Split Contracts Advisory Group"/>
          <xsd:enumeration value="Moira Shire Council"/>
          <xsd:enumeration value="Monash City Council"/>
          <xsd:enumeration value="Moonee Valley City Council"/>
          <xsd:enumeration value="Moorabool Shire Council"/>
          <xsd:enumeration value="Moreland City Council"/>
          <xsd:enumeration value="Mornington Peninsula Regional Waste Management Group"/>
          <xsd:enumeration value="Mornington Peninsula Shire Council"/>
          <xsd:enumeration value="Mount Alexander Shire Council"/>
          <xsd:enumeration value="Moyne Shire Council"/>
          <xsd:enumeration value="Mt Baw Baw Alpine Resort"/>
          <xsd:enumeration value="Mt Buller Alpine Resort"/>
          <xsd:enumeration value="Mt Hotham Alpine Resort"/>
          <xsd:enumeration value="Mt Stirling Alpine Resort"/>
          <xsd:enumeration value="Multimedia Victoria"/>
          <xsd:enumeration value="Municipal Emergency Management Enhancement Group"/>
          <xsd:enumeration value="Municipal Emergency Management Plan Audit Committee"/>
          <xsd:enumeration value="Murray Valley Citrus Marketing Board"/>
          <xsd:enumeration value="Murrindindi Shire Council"/>
          <xsd:enumeration value="Museum Victoria"/>
          <xsd:enumeration value="Myer Foundation"/>
          <xsd:enumeration value="National Association of Forest Industries"/>
          <xsd:enumeration value="National Australia Bank"/>
          <xsd:enumeration value="National Broadband Network"/>
          <xsd:enumeration value="National Disability Services"/>
          <xsd:enumeration value="National ECO-Buy Alliance"/>
          <xsd:enumeration value="National Electronic Development Assessment Program Committee"/>
          <xsd:enumeration value="National Gallery of Victoria"/>
          <xsd:enumeration value="National Health and Medical Research Council"/>
          <xsd:enumeration value="National Health Priority Areas in Victoria"/>
          <xsd:enumeration value="National Packaging Covenant Council"/>
          <xsd:enumeration value="National Packaging Covenant Industry Association"/>
          <xsd:enumeration value="National Parks Advisory Council"/>
          <xsd:enumeration value="National Projects group"/>
          <xsd:enumeration value="National Timber Councils Taskforce"/>
          <xsd:enumeration value="National Transport Commission"/>
          <xsd:enumeration value="Native Vegetation Exemptions Review Advisory Group"/>
          <xsd:enumeration value="Natural Resource Management Facilitator Network  - Victoria"/>
          <xsd:enumeration value="NevrWaste - North East Regional Waste Management Group"/>
          <xsd:enumeration value="Nillumbik Shire Council"/>
          <xsd:enumeration value="North Central Catchment Management Authority"/>
          <xsd:enumeration value="North Central Local Government Environment Network"/>
          <xsd:enumeration value="North East Catchment Management Authority"/>
          <xsd:enumeration value="North East Environment Network"/>
          <xsd:enumeration value="North East Region Water"/>
          <xsd:enumeration value="Northern Biodiversity Network"/>
          <xsd:enumeration value="Northern Grampians Shire Council"/>
          <xsd:enumeration value="Northern Support Services"/>
          <xsd:enumeration value="Nous Group"/>
          <xsd:enumeration value="Office for Children"/>
          <xsd:enumeration value="Office for Children Early Years Sector Advisory Group"/>
          <xsd:enumeration value="Office for Children Regulations Forum"/>
          <xsd:enumeration value="Office for Disability"/>
          <xsd:enumeration value="Office for the Community Sector"/>
          <xsd:enumeration value="Office for Youth"/>
          <xsd:enumeration value="Office of Community Building"/>
          <xsd:enumeration value="Office of Gambling Regulation"/>
          <xsd:enumeration value="Office of Housing"/>
          <xsd:enumeration value="Office of Manufacturing"/>
          <xsd:enumeration value="Office of Police Integrity"/>
          <xsd:enumeration value="Office of Public Prosecutions"/>
          <xsd:enumeration value="Office of Science and Technology"/>
          <xsd:enumeration value="Office of Senior Victorians"/>
          <xsd:enumeration value="Office of the Chief Parliamentary Counsel"/>
          <xsd:enumeration value="Office of the Emergency Services Commissioner"/>
          <xsd:enumeration value="Office of the Environmental Monitor"/>
          <xsd:enumeration value="Office of the Health Services Commissioner"/>
          <xsd:enumeration value="Office of the Public Advocate"/>
          <xsd:enumeration value="Office of the Small Business Commissioner"/>
          <xsd:enumeration value="Office of Training and Tertiary Education"/>
          <xsd:enumeration value="Office of Women's Policy"/>
          <xsd:enumeration value="Ombudsman Victoria"/>
          <xsd:enumeration value="Optometrists Registration Board of Victoria"/>
          <xsd:enumeration value="Parenting Research Centre"/>
          <xsd:enumeration value="Parks Victoria"/>
          <xsd:enumeration value="Parliament of Victoria"/>
          <xsd:enumeration value="Parliament of Australia - Senate"/>
          <xsd:enumeration value="Parliament of Australia - House of Representatives"/>
          <xsd:enumeration value="Partnerships Victoria"/>
          <xsd:enumeration value="Peri-Urban Group of Councils"/>
          <xsd:enumeration value="Pharmacy Board of Victoria"/>
          <xsd:enumeration value="Phillip Island Nature Park Board of Management"/>
          <xsd:enumeration value="Physiotherapists Registration Board of Victoria"/>
          <xsd:enumeration value="Planning Institute Australia"/>
          <xsd:enumeration value="Plantations Australia"/>
          <xsd:enumeration value="Plastics and Chemicals Industry Association"/>
          <xsd:enumeration value="Plumbing Industry Commission"/>
          <xsd:enumeration value="Port of Melbourne Corporation"/>
          <xsd:enumeration value="Port Phillip and Westernport Catchment Management Authority"/>
          <xsd:enumeration value="Port Phillip and Westernport Flood and Drainage Strategy Steering Committee"/>
          <xsd:enumeration value="Port Phillip City Council"/>
          <xsd:enumeration value="Portland Coast Region Water Authority"/>
          <xsd:enumeration value="Positive Ageing Network"/>
          <xsd:enumeration value="Precision Engineering"/>
          <xsd:enumeration value="Premier Of Victoria"/>
          <xsd:enumeration value="Primary and Community Health Network"/>
          <xsd:enumeration value="Privacy Victoria"/>
          <xsd:enumeration value="Private Forestry Development Committees"/>
          <xsd:enumeration value="Problem Gambling"/>
          <xsd:enumeration value="Productivity Commission"/>
          <xsd:enumeration value="Property Council"/>
          <xsd:enumeration value="Provincial Victoria"/>
          <xsd:enumeration value="Psychologists Registration Board"/>
          <xsd:enumeration value="Public Land Stewardship Reference Group"/>
          <xsd:enumeration value="Public Libraries Victoria Network"/>
          <xsd:enumeration value="Public Record Office Victoria"/>
          <xsd:enumeration value="Public Transport Access Committee"/>
          <xsd:enumeration value="Public Transport Safety Victoria"/>
          <xsd:enumeration value="Public Transport Users Association"/>
          <xsd:enumeration value="Pyrenees Shire Council"/>
          <xsd:enumeration value="Queenscliffe Borough Council"/>
          <xsd:enumeration value="Quit"/>
          <xsd:enumeration value="Racing Appeals Tribunal"/>
          <xsd:enumeration value="RACV"/>
          <xsd:enumeration value="Reconciliation Victoria"/>
          <xsd:enumeration value="Reconciling Native Vegetation Management and Bushfire Safety State Advisory Group"/>
          <xsd:enumeration value="Regional Aboriginal Justice Advisory Committee"/>
          <xsd:enumeration value="Regional Development Victoria"/>
          <xsd:enumeration value="Regional Greenhouse Alliance and Stakeholders Network"/>
          <xsd:enumeration value="Regional Infrastructure Development Fund"/>
          <xsd:enumeration value="Registered Schools Board"/>
          <xsd:enumeration value="Registry of Births, Deaths and Marriages"/>
          <xsd:enumeration value="Residential Tenancies Bond Authority"/>
          <xsd:enumeration value="Resource GV - Goulburn Valley Regional Waste Management Group"/>
          <xsd:enumeration value="Ride to School Steering Committee"/>
          <xsd:enumeration value="Risk Classification Sub-committee"/>
          <xsd:enumeration value="RMIT"/>
          <xsd:enumeration value="Road Safety Conference Committee"/>
          <xsd:enumeration value="Road Safety Reference Group"/>
          <xsd:enumeration value="Road Transport Advisory Committee"/>
          <xsd:enumeration value="Roundtable on Inclusive Arts, Tourism, Sport and Recreation for People with a Disability"/>
          <xsd:enumeration value="Royal Botanic Gardens"/>
          <xsd:enumeration value="Royal Children's Hospital - Centre for Child Community Heath"/>
          <xsd:enumeration value="Royal District Nursing Service"/>
          <xsd:enumeration value="Royal Melbourne Institute of Technology"/>
          <xsd:enumeration value="Rural Ambulance Victoria"/>
          <xsd:enumeration value="Rural Councils Victoria"/>
          <xsd:enumeration value="Rural Finance Corporation of Victoria"/>
          <xsd:enumeration value="Rural Womens Network"/>
          <xsd:enumeration value="Rural Workforce Agency Victoria"/>
          <xsd:enumeration value="Saferoads Partnership"/>
          <xsd:enumeration value="SAFETYvictoria"/>
          <xsd:enumeration value="Sensis"/>
          <xsd:enumeration value="Sentencing Advisory Council"/>
          <xsd:enumeration value="Shrine of Remembrance"/>
          <xsd:enumeration value="Sinclair Knight Merz"/>
          <xsd:enumeration value="Skills.net"/>
          <xsd:enumeration value="South East Water"/>
          <xsd:enumeration value="South Gippsland Region Water Authority"/>
          <xsd:enumeration value="South Gippsland Shire Council"/>
          <xsd:enumeration value="South West (Corangamite) Environment Network"/>
          <xsd:enumeration value="Southern and Eastern Integrated Transport Authority"/>
          <xsd:enumeration value="Southern Cross Station Authority"/>
          <xsd:enumeration value="Southern Grampians Shire Council"/>
          <xsd:enumeration value="Southern Rural Water"/>
          <xsd:enumeration value="Sport and Recreation Victoria"/>
          <xsd:enumeration value="Sports Drought Taskforce"/>
          <xsd:enumeration value="Standing Committee on Immigration and Multicultural Affairs"/>
          <xsd:enumeration value="Standing Committee on Local Government and Cultural Diversity"/>
          <xsd:enumeration value="State Community Support Committee Drought"/>
          <xsd:enumeration value="State Coroner's Office"/>
          <xsd:enumeration value="State Emergency Mitigation Committee"/>
          <xsd:enumeration value="State Emergency Recovery Planning Committee"/>
          <xsd:enumeration value="State Emergency Relief Sub-committee"/>
          <xsd:enumeration value="State Emergency Service"/>
          <xsd:enumeration value="State Flood Policy Committee"/>
          <xsd:enumeration value="State Health and Medical subcommittee"/>
          <xsd:enumeration value="State Library Advisory Committee on Public Libraries"/>
          <xsd:enumeration value="State Library of Victoria"/>
          <xsd:enumeration value="State Revenue Office"/>
          <xsd:enumeration value="State Services Authority"/>
          <xsd:enumeration value="State Stormwater Strategy Steering Committee"/>
          <xsd:enumeration value="State Trustees"/>
          <xsd:enumeration value="Stonnington City Council"/>
          <xsd:enumeration value="Strategic Purchasing"/>
          <xsd:enumeration value="Strathbogie Shire Council"/>
          <xsd:enumeration value="Streamlining the Planning Process Review Committee"/>
          <xsd:enumeration value="Streamlining the Planning Process Roundtable"/>
          <xsd:enumeration value="Strengthening Councils Tobacco Work Advisory Group"/>
          <xsd:enumeration value="Sunraysia Rural Water Authority"/>
          <xsd:enumeration value="Supreme Court of Victoria"/>
          <xsd:enumeration value="Surf Coast Shire Council"/>
          <xsd:enumeration value="Surf Lifesaving Victoria"/>
          <xsd:enumeration value="Sustainability Victoria"/>
          <xsd:enumeration value="Swan Hill Rural City Council"/>
          <xsd:enumeration value="SWIFT Steering Committee"/>
          <xsd:enumeration value="SWIFT User Group"/>
          <xsd:enumeration value="Swinburne University"/>
          <xsd:enumeration value="Sydney Coastal Councils Group"/>
          <xsd:enumeration value="Telstra"/>
          <xsd:enumeration value="Timber Communities Australia"/>
          <xsd:enumeration value="Timber Towns Victoria"/>
          <xsd:enumeration value="Total Environment Centre"/>
          <xsd:enumeration value="Tourism Alliance Victoria"/>
          <xsd:enumeration value="Tourism Victoria"/>
          <xsd:enumeration value="Towong Shire Council"/>
          <xsd:enumeration value="Trade Measurement Victoria"/>
          <xsd:enumeration value="Transport Accident Commission (TAC)"/>
          <xsd:enumeration value="Transport Ticketing Authority"/>
          <xsd:enumeration value="TravelSmart"/>
          <xsd:enumeration value="Treasurer"/>
          <xsd:enumeration value="Treasury Corporation of Victoria"/>
          <xsd:enumeration value="Trust For Nature"/>
          <xsd:enumeration value="United Nations"/>
          <xsd:enumeration value="University of Ballarat"/>
          <xsd:enumeration value="University of Melbourne"/>
          <xsd:enumeration value="Urban Development Industry Association"/>
          <xsd:enumeration value="Urban Stormwater and Water Conservation Fund Steering Committee"/>
          <xsd:enumeration value="V/Line"/>
          <xsd:enumeration value="VECCI"/>
          <xsd:enumeration value="Veterinary Practitioners Registration Board of Victoria"/>
          <xsd:enumeration value="VicExport"/>
          <xsd:enumeration value="VicFleet"/>
          <xsd:enumeration value="VicHealth"/>
          <xsd:enumeration value="VicLink"/>
          <xsd:enumeration value="VICNET - Victoria's Network"/>
          <xsd:enumeration value="VicRoads"/>
          <xsd:enumeration value="VicRoads Board (Roads Corporation Advisory Board)"/>
          <xsd:enumeration value="VicRoads Road Management Act Review Committee"/>
          <xsd:enumeration value="Victoria Grants Commission"/>
          <xsd:enumeration value="Victoria Law Foundation"/>
          <xsd:enumeration value="Victoria Legal Aid"/>
          <xsd:enumeration value="Victoria Multicultural Commission"/>
          <xsd:enumeration value="Victoria Police"/>
          <xsd:enumeration value="Victorian Ambulance Service"/>
          <xsd:enumeration value="Victorian Arts Centre Trust"/>
          <xsd:enumeration value="Victorian Association of Forest Industries"/>
          <xsd:enumeration value="Victorian Catchment Management Council"/>
          <xsd:enumeration value="Victorian Catchment Management Stakeholders Forum"/>
          <xsd:enumeration value="Victorian Childcare Industry Liaison Group"/>
          <xsd:enumeration value="Victorian Childcare Industry Liaison Group"/>
          <xsd:enumeration value="Victorian Childcare Taskforce"/>
          <xsd:enumeration value="Victorian Children’s Council"/>
          <xsd:enumeration value="Victorian Civil and Administrative Tribunal"/>
          <xsd:enumeration value="Victorian Civil Construction Industry Alliance"/>
          <xsd:enumeration value="Victorian Coastal Council"/>
          <xsd:enumeration value="Victorian Commission for Gambling Regulation"/>
          <xsd:enumeration value="Victorian Commissioner for Gambling Regulation"/>
          <xsd:enumeration value="Victorian Committee of Food Regulators"/>
          <xsd:enumeration value="Victorian Community Care Coalition"/>
          <xsd:enumeration value="Victorian Community Council on Crime and Violence"/>
          <xsd:enumeration value="Victorian Community Indicator Project"/>
          <xsd:enumeration value="Victorian Competition and Efficiency Commission"/>
          <xsd:enumeration value="Victorian Council of Social Service"/>
          <xsd:enumeration value="Victorian Courts and Tribunals"/>
          <xsd:enumeration value="Victorian Curriculum and Assessment Authority"/>
          <xsd:enumeration value="Victorian Disability Advisory Council"/>
          <xsd:enumeration value="Victorian Education Channel"/>
          <xsd:enumeration value="Victorian Electoral Commission"/>
          <xsd:enumeration value="Victorian Emergency Management Council"/>
          <xsd:enumeration value="Victorian Energy Networks Corporation"/>
          <xsd:enumeration value="Victorian Environmental Assessment Council"/>
          <xsd:enumeration value="Victorian Equal Opportunity and Human Rights Commission"/>
          <xsd:enumeration value="Victorian Expatriate Network"/>
          <xsd:enumeration value="Victorian Farmers Federation"/>
          <xsd:enumeration value="Victorian Food Safety Council"/>
          <xsd:enumeration value="Victorian Freight and Logistics Council"/>
          <xsd:enumeration value="Victorian Funds Management Corporation"/>
          <xsd:enumeration value="Victorian Government"/>
          <xsd:enumeration value="Victorian Government Purchasing Board"/>
          <xsd:enumeration value="Victorian Government Reporting Service"/>
          <xsd:enumeration value="Victorian Government Solicitor's Office"/>
          <xsd:enumeration value="Victorian Government Tenders"/>
          <xsd:enumeration value="Victorian Healthcare Association"/>
          <xsd:enumeration value="Victorian Institute of Forensic Medicine"/>
          <xsd:enumeration value="Victorian Institute of Teaching"/>
          <xsd:enumeration value="Victorian Jurisdictional Projects Group for the National Packaging Covenant"/>
          <xsd:enumeration value="Victorian Law Reform Commission"/>
          <xsd:enumeration value="Victorian Learning and Employment Skills Commission"/>
          <xsd:enumeration value="Victorian Legal Practice Board"/>
          <xsd:enumeration value="Victorian Litter Action Alliance"/>
          <xsd:enumeration value="Victorian Litter Action Alliance Advisory Group"/>
          <xsd:enumeration value="Victorian Local Government Disability Planners’ Network"/>
          <xsd:enumeration value="Victorian Local Government Multicultural Issues Network"/>
          <xsd:enumeration value="Victorian Local Sustainability Accord Committee"/>
          <xsd:enumeration value="Victorian Local Sustainability Network"/>
          <xsd:enumeration value="Victorian Managed Insurance Authority"/>
          <xsd:enumeration value="Victorian Maternal and Child Health Coordinators Group Inc"/>
          <xsd:enumeration value="Victorian Ministerial Housing Council"/>
          <xsd:enumeration value="Victorian Multicultural Commission"/>
          <xsd:enumeration value="Victorian Multicultural Commission Advisory Council"/>
          <xsd:enumeration value="Victorian Municipal Building Surveyors Group"/>
          <xsd:enumeration value="Victorian Natural Resource Management Facilitator Network"/>
          <xsd:enumeration value="Victorian Office of Multicultural Affairs"/>
          <xsd:enumeration value="Victorian Projects Group"/>
          <xsd:enumeration value="Victorian Public Hospital Projects"/>
          <xsd:enumeration value="Victorian Qualifications Authority"/>
          <xsd:enumeration value="Victorian Rail Crossing Safety Steering Committee"/>
          <xsd:enumeration value="Victorian Regional Channels Authority"/>
          <xsd:enumeration value="Victorian Road Based Public Transport Advisory Committee"/>
          <xsd:enumeration value="Victorian Road Freight Advisory Council"/>
          <xsd:enumeration value="Victorian Safe Communities Network"/>
          <xsd:enumeration value="Victorian Settlement Planning Committee"/>
          <xsd:enumeration value="Victorian Spatial Council"/>
          <xsd:enumeration value="Victorian Speed Limit Advisory Group"/>
          <xsd:enumeration value="Victorian Sustainable Public Lighting Action Group"/>
          <xsd:enumeration value="Victorian Taxi and Tow Truck Directorate"/>
          <xsd:enumeration value="Victorian Tertiary Admissions Centre (VTAC)"/>
          <xsd:enumeration value="Victorian Transport Association"/>
          <xsd:enumeration value="Victorian Travelling Fellowship Program"/>
          <xsd:enumeration value="Victorian Universities Rural Health Consortium"/>
          <xsd:enumeration value="Victorian Water Industry Association"/>
          <xsd:enumeration value="VicTrack"/>
          <xsd:enumeration value="VicTrip - the transport channel"/>
          <xsd:enumeration value="VicUrban"/>
          <xsd:enumeration value="Vision Super Board"/>
          <xsd:enumeration value="Visit Victoria"/>
          <xsd:enumeration value="VLGA"/>
          <xsd:enumeration value="Wangaratta Rural City Council"/>
          <xsd:enumeration value="Wannon Water"/>
          <xsd:enumeration value="Warrnambool City Council"/>
          <xsd:enumeration value="Waste Reduction Group - South West Regional Waste Management Group"/>
          <xsd:enumeration value="Wastewise Local Government Steering Committee"/>
          <xsd:enumeration value="Water Quality Improvement Plan Steering Committee"/>
          <xsd:enumeration value="Water Safety"/>
          <xsd:enumeration value="Wellington Shire Council"/>
          <xsd:enumeration value="West Gippsland Catchment Management Authority"/>
          <xsd:enumeration value="West Wimmera Shire Council"/>
          <xsd:enumeration value="Western Coastal Board"/>
          <xsd:enumeration value="Western Transport Alliance"/>
          <xsd:enumeration value="Western Water"/>
          <xsd:enumeration value="Westernport Water"/>
          <xsd:enumeration value="Whitehorse City Council"/>
          <xsd:enumeration value="Whittlesea City Council"/>
          <xsd:enumeration value="Wildfire Project Board"/>
          <xsd:enumeration value="Wimmera Catchment Management Authority"/>
          <xsd:enumeration value="Wodonga City Council"/>
          <xsd:enumeration value="Women's Participation in Local Government Coalition (WPILGC)"/>
          <xsd:enumeration value="WorkCover"/>
          <xsd:enumeration value="Workforce Planning and Services Advisory Group Metropolitan"/>
          <xsd:enumeration value="Workforce Planning and Services Advisory Group Rural"/>
          <xsd:enumeration value="Workforce Victoria"/>
          <xsd:enumeration value="Worksafe Victoria"/>
          <xsd:enumeration value="World Class Services (DIIRD)"/>
          <xsd:enumeration value="Wyndham City Council"/>
          <xsd:enumeration value="Yarra City Council"/>
          <xsd:enumeration value="Yarra Ranges Shire Council"/>
          <xsd:enumeration value="Yarra Valley Water"/>
          <xsd:enumeration value="Yarriambiack Shire Council"/>
          <xsd:enumeration value="Zoological Parks and Gardens"/>
        </xsd:restriction>
      </xsd:simpleType>
    </xsd:element>
    <xsd:element name="Issue_x0020__x0028_Comms_x0029_" ma:index="7" ma:displayName="Topic" ma:format="Dropdown" ma:internalName="Issue_x0020__x0028_Comms_x0029_">
      <xsd:simpleType>
        <xsd:restriction base="dms:Choice">
          <xsd:enumeration value="Access and equity"/>
          <xsd:enumeration value="Acid sulphate soils"/>
          <xsd:enumeration value="Activity centres"/>
          <xsd:enumeration value="Adverse possession"/>
          <xsd:enumeration value="Advertising"/>
          <xsd:enumeration value="Age friendly environments"/>
          <xsd:enumeration value="Aged services"/>
          <xsd:enumeration value="Ageing"/>
          <xsd:enumeration value="Agriculture"/>
          <xsd:enumeration value="Air quality"/>
          <xsd:enumeration value="Alcohol"/>
          <xsd:enumeration value="Allergies"/>
          <xsd:enumeration value="Alternative waste technology"/>
          <xsd:enumeration value="Amalgamation"/>
          <xsd:enumeration value="Animal management"/>
          <xsd:enumeration value="Anti-social behaviour"/>
          <xsd:enumeration value="Aquaculture"/>
          <xsd:enumeration value="Arts"/>
          <xsd:enumeration value="Asbestos"/>
          <xsd:enumeration value="Asset management"/>
          <xsd:enumeration value="Bays and waterways"/>
          <xsd:enumeration value="Beach protections"/>
          <xsd:enumeration value="Best value"/>
          <xsd:enumeration value="Bikepaths"/>
          <xsd:enumeration value="Biodiversity"/>
          <xsd:enumeration value="Biofuels"/>
          <xsd:enumeration value="Boating"/>
          <xsd:enumeration value="Bridges"/>
          <xsd:enumeration value="Broadband"/>
          <xsd:enumeration value="Broiler farms"/>
          <xsd:enumeration value="Brothels"/>
          <xsd:enumeration value="Budgets"/>
          <xsd:enumeration value="Building"/>
          <xsd:enumeration value="Building regulation"/>
          <xsd:enumeration value="Built form"/>
          <xsd:enumeration value="Bush fires"/>
          <xsd:enumeration value="Business zones"/>
          <xsd:enumeration value="Cables"/>
          <xsd:enumeration value="Capacity to pay"/>
          <xsd:enumeration value="Caravan parks"/>
          <xsd:enumeration value="Carbon"/>
          <xsd:enumeration value="Catchment management"/>
          <xsd:enumeration value="CCTV"/>
          <xsd:enumeration value="Channel deepening"/>
          <xsd:enumeration value="Charity reuse"/>
          <xsd:enumeration value="Child care"/>
          <xsd:enumeration value="Citizenship"/>
          <xsd:enumeration value="Cliff erosion"/>
          <xsd:enumeration value="Climate change"/>
          <xsd:enumeration value="Coastal hazard-risk assessment"/>
          <xsd:enumeration value="Coastal management"/>
          <xsd:enumeration value="Coastal planning and development"/>
          <xsd:enumeration value="Commercial and industrial waste"/>
          <xsd:enumeration value="Communication infrastructure"/>
          <xsd:enumeration value="Community capacity building"/>
          <xsd:enumeration value="Community care"/>
          <xsd:enumeration value="Community development"/>
          <xsd:enumeration value="Community engagement"/>
          <xsd:enumeration value="Community planning"/>
          <xsd:enumeration value="Community relations"/>
          <xsd:enumeration value="Community safety"/>
          <xsd:enumeration value="Community sustainability planning"/>
          <xsd:enumeration value="Competition"/>
          <xsd:enumeration value="Conflict of interest"/>
          <xsd:enumeration value="Congestion"/>
          <xsd:enumeration value="Constitutional reform"/>
          <xsd:enumeration value="Construction and demolition waste"/>
          <xsd:enumeration value="Contamination"/>
          <xsd:enumeration value="Continuous improvement"/>
          <xsd:enumeration value="Copyright"/>
          <xsd:enumeration value="Coronial investigations"/>
          <xsd:enumeration value="Corporate"/>
          <xsd:enumeration value="Corrections"/>
          <xsd:enumeration value="Cost pressures"/>
          <xsd:enumeration value="Cost shifting"/>
          <xsd:enumeration value="Council administration"/>
          <xsd:enumeration value="Council expenditure"/>
          <xsd:enumeration value="Council revenue"/>
          <xsd:enumeration value="Council services"/>
          <xsd:enumeration value="Councillor conduct"/>
          <xsd:enumeration value="Councillor remuneration"/>
          <xsd:enumeration value="Councillor support"/>
          <xsd:enumeration value="Counter terrorism"/>
          <xsd:enumeration value="Crime prevention"/>
          <xsd:enumeration value="Cross cultural training"/>
          <xsd:enumeration value="Cultural development"/>
          <xsd:enumeration value="Cycling"/>
          <xsd:enumeration value="Desalinisation"/>
          <xsd:enumeration value="Development contributions"/>
          <xsd:enumeration value="Dilapidated buildings"/>
          <xsd:enumeration value="Disability"/>
          <xsd:enumeration value="Disabled parking"/>
          <xsd:enumeration value="Dog poo"/>
          <xsd:enumeration value="Drainage"/>
          <xsd:enumeration value="Drainage stormwater"/>
          <xsd:enumeration value="Dredging"/>
          <xsd:enumeration value="Drought"/>
          <xsd:enumeration value="Drugs"/>
          <xsd:enumeration value="Early years"/>
          <xsd:enumeration value="E-books"/>
          <xsd:enumeration value="Ecologically sustainable development"/>
          <xsd:enumeration value="Economic development"/>
          <xsd:enumeration value="Education"/>
          <xsd:enumeration value="Elder abuse"/>
          <xsd:enumeration value="Elections"/>
          <xsd:enumeration value="Electoral reform"/>
          <xsd:enumeration value="Electoral services"/>
          <xsd:enumeration value="Electricity"/>
          <xsd:enumeration value="Electromagnetic radiation"/>
          <xsd:enumeration value="Emergency management"/>
          <xsd:enumeration value="Emergency warnings"/>
          <xsd:enumeration value="Emissions"/>
          <xsd:enumeration value="Employment"/>
          <xsd:enumeration value="Energy"/>
          <xsd:enumeration value="Environment management"/>
          <xsd:enumeration value="Environmental health"/>
          <xsd:enumeration value="E-planning"/>
          <xsd:enumeration value="Equal opportunity"/>
          <xsd:enumeration value="Erosion"/>
          <xsd:enumeration value="Ethno specific services"/>
          <xsd:enumeration value="E-waste"/>
          <xsd:enumeration value="Extended producer responsibility"/>
          <xsd:enumeration value="Extractive industries"/>
          <xsd:enumeration value="Family support"/>
          <xsd:enumeration value="Family violence"/>
          <xsd:enumeration value="Farm dams"/>
          <xsd:enumeration value="Fauna"/>
          <xsd:enumeration value="Fees"/>
          <xsd:enumeration value="Financial sustainability"/>
          <xsd:enumeration value="Fire plugs"/>
          <xsd:enumeration value="Fire refuges"/>
          <xsd:enumeration value="Fire services"/>
          <xsd:enumeration value="Flood management"/>
          <xsd:enumeration value="Flora"/>
          <xsd:enumeration value="Flouridation"/>
          <xsd:enumeration value="Food safety"/>
          <xsd:enumeration value="Footpaths"/>
          <xsd:enumeration value="Forest conservation"/>
          <xsd:enumeration value="Forestry industry"/>
          <xsd:enumeration value="Forestry management"/>
          <xsd:enumeration value="Forestry policy"/>
          <xsd:enumeration value="Foster care"/>
          <xsd:enumeration value="Freedom of information"/>
          <xsd:enumeration value="Freight"/>
          <xsd:enumeration value="Funding"/>
          <xsd:enumeration value="Future of local government"/>
          <xsd:enumeration value="Gaming"/>
          <xsd:enumeration value="Gas pipelines"/>
          <xsd:enumeration value="Genetically modified organisms"/>
          <xsd:enumeration value="Governance"/>
          <xsd:enumeration value="Graffiti"/>
          <xsd:enumeration value="Green buildings"/>
          <xsd:enumeration value="Green purchasing"/>
          <xsd:enumeration value="Green wedges"/>
          <xsd:enumeration value="Grey water"/>
          <xsd:enumeration value="Ground water"/>
          <xsd:enumeration value="Growth areas"/>
          <xsd:enumeration value="Health"/>
          <xsd:enumeration value="Heatwave"/>
          <xsd:enumeration value="Heritage"/>
          <xsd:enumeration value="Hoarding"/>
          <xsd:enumeration value="Home maintenance"/>
          <xsd:enumeration value="Housing"/>
          <xsd:enumeration value="Human resource management"/>
          <xsd:enumeration value="Human rights"/>
          <xsd:enumeration value="Human services"/>
          <xsd:enumeration value="Illegal dumping"/>
          <xsd:enumeration value="Immunisation"/>
          <xsd:enumeration value="Indigenous"/>
          <xsd:enumeration value="Industrial relations"/>
          <xsd:enumeration value="Industrial zones"/>
          <xsd:enumeration value="Industries"/>
          <xsd:enumeration value="Information privacy"/>
          <xsd:enumeration value="Information technology"/>
          <xsd:enumeration value="Infringements"/>
          <xsd:enumeration value="Insurance"/>
          <xsd:enumeration value="Interfaith"/>
          <xsd:enumeration value="Intergovernmental relations"/>
          <xsd:enumeration value="Irrigation"/>
          <xsd:enumeration value="Kerbside trading"/>
          <xsd:enumeration value="Kindergartens"/>
          <xsd:enumeration value="Land use"/>
          <xsd:enumeration value="Landfill"/>
          <xsd:enumeration value="Language services"/>
          <xsd:enumeration value="Leisure and recreation"/>
          <xsd:enumeration value="Libraries"/>
          <xsd:enumeration value="Liquor licensing"/>
          <xsd:enumeration value="Litter"/>
          <xsd:enumeration value="Live music"/>
          <xsd:enumeration value="Local planning policy"/>
          <xsd:enumeration value="Locusts"/>
          <xsd:enumeration value="Magenta lights"/>
          <xsd:enumeration value="Marine parks"/>
          <xsd:enumeration value="Maternal and child health"/>
          <xsd:enumeration value="Meeting procedure"/>
          <xsd:enumeration value="Metropolitan planning"/>
          <xsd:enumeration value="Minerals and exploration"/>
          <xsd:enumeration value="Mitigation"/>
          <xsd:enumeration value="Mobile computing"/>
          <xsd:enumeration value="Mobility parking"/>
          <xsd:enumeration value="Moveable dwellings"/>
          <xsd:enumeration value="Multicultural"/>
          <xsd:enumeration value="Municipal emergency management plans"/>
          <xsd:enumeration value="Municipal strategic statement"/>
          <xsd:enumeration value="Municipal waste"/>
          <xsd:enumeration value="Native title"/>
          <xsd:enumeration value="Natural resource management"/>
          <xsd:enumeration value="Neighbourhood character"/>
          <xsd:enumeration value="Neighbourhood houses"/>
          <xsd:enumeration value="Occupational health and safety"/>
          <xsd:enumeration value="Oceans"/>
          <xsd:enumeration value="Older GLBTI"/>
          <xsd:enumeration value="Open space"/>
          <xsd:enumeration value="Outdoor advertising"/>
          <xsd:enumeration value="Packaging"/>
          <xsd:enumeration value="Pandemic"/>
          <xsd:enumeration value="Parenting"/>
          <xsd:enumeration value="Parking"/>
          <xsd:enumeration value="Parks and gardens"/>
          <xsd:enumeration value="Pathways"/>
          <xsd:enumeration value="Payphones"/>
          <xsd:enumeration value="Peak oil"/>
          <xsd:enumeration value="Perceptions of LG"/>
          <xsd:enumeration value="Performance management"/>
          <xsd:enumeration value="Peri urban planning"/>
          <xsd:enumeration value="Personal care"/>
          <xsd:enumeration value="Pest management"/>
          <xsd:enumeration value="Place making"/>
          <xsd:enumeration value="Planning agreements"/>
          <xsd:enumeration value="Planning permit system"/>
          <xsd:enumeration value="Planning scheme amendments"/>
          <xsd:enumeration value="Planning system"/>
          <xsd:enumeration value="Planning theory"/>
          <xsd:enumeration value="Plastics"/>
          <xsd:enumeration value="Ports"/>
          <xsd:enumeration value="Prescribed waste"/>
          <xsd:enumeration value="Privacy"/>
          <xsd:enumeration value="Procedural matters"/>
          <xsd:enumeration value="Procurement"/>
          <xsd:enumeration value="Professional development"/>
          <xsd:enumeration value="Property information"/>
          <xsd:enumeration value="Prostitution"/>
          <xsd:enumeration value="Public land"/>
          <xsd:enumeration value="Public liability"/>
          <xsd:enumeration value="Public lighting"/>
          <xsd:enumeration value="Public safety"/>
          <xsd:enumeration value="Public transport"/>
          <xsd:enumeration value="Rail"/>
          <xsd:enumeration value="Rail safety"/>
          <xsd:enumeration value="Rates"/>
          <xsd:enumeration value="Recovery"/>
          <xsd:enumeration value="Recycled water"/>
          <xsd:enumeration value="Recycling incentives"/>
          <xsd:enumeration value="Recycling organics"/>
          <xsd:enumeration value="Recycling practice"/>
          <xsd:enumeration value="Regional growth"/>
          <xsd:enumeration value="Regional transport"/>
          <xsd:enumeration value="Regulatory planning"/>
          <xsd:enumeration value="Regulatory reform"/>
          <xsd:enumeration value="Residential care"/>
          <xsd:enumeration value="Residential codes"/>
          <xsd:enumeration value="Residential zones"/>
          <xsd:enumeration value="Respite"/>
          <xsd:enumeration value="Retail and commerce"/>
          <xsd:enumeration value="Risk management"/>
          <xsd:enumeration value="Road safety"/>
          <xsd:enumeration value="Roads"/>
          <xsd:enumeration value="Roadside conservation"/>
          <xsd:enumeration value="Rooming houses"/>
          <xsd:enumeration value="Rural development"/>
          <xsd:enumeration value="Rural planning"/>
          <xsd:enumeration value="Rural zones"/>
          <xsd:enumeration value="Safety"/>
          <xsd:enumeration value="Salinity"/>
          <xsd:enumeration value="Schools"/>
          <xsd:enumeration value="Sea levels"/>
          <xsd:enumeration value="Security"/>
          <xsd:enumeration value="Settlement"/>
          <xsd:enumeration value="Sewerage"/>
          <xsd:enumeration value="Shade"/>
          <xsd:enumeration value="Shared services"/>
          <xsd:enumeration value="Skill shortages"/>
          <xsd:enumeration value="Small business"/>
          <xsd:enumeration value="Social inclusion"/>
          <xsd:enumeration value="Social media"/>
          <xsd:enumeration value="Spam"/>
          <xsd:enumeration value="Spatial information"/>
          <xsd:enumeration value="Speed management"/>
          <xsd:enumeration value="Sporting grounds"/>
          <xsd:enumeration value="Statutory planning"/>
          <xsd:enumeration value="Storms"/>
          <xsd:enumeration value="Stormwater"/>
          <xsd:enumeration value="Strategic planning"/>
          <xsd:enumeration value="Strategic transport planning"/>
          <xsd:enumeration value="Structure planning"/>
          <xsd:enumeration value="Superannuation"/>
          <xsd:enumeration value="Sustainability"/>
          <xsd:enumeration value="Sustainable neighbourhoods"/>
          <xsd:enumeration value="Swimming pools"/>
          <xsd:enumeration value="Taxis"/>
          <xsd:enumeration value="Telecommunications"/>
          <xsd:enumeration value="Timber plantations"/>
          <xsd:enumeration value="Tobacco"/>
          <xsd:enumeration value="Tourism"/>
          <xsd:enumeration value="Traffic management"/>
          <xsd:enumeration value="Training"/>
          <xsd:enumeration value="Transit cities"/>
          <xsd:enumeration value="Transport"/>
          <xsd:enumeration value="Treated timber - copper chrome arsenate"/>
          <xsd:enumeration value="Tsunamis"/>
          <xsd:enumeration value="Urban design"/>
          <xsd:enumeration value="Urban planning"/>
          <xsd:enumeration value="Utilities"/>
          <xsd:enumeration value="Valuations"/>
          <xsd:enumeration value="Veterans"/>
          <xsd:enumeration value="Volunteers"/>
          <xsd:enumeration value="Walking"/>
          <xsd:enumeration value="Waste education"/>
          <xsd:enumeration value="Waste management"/>
          <xsd:enumeration value="Waste producer responsibility"/>
          <xsd:enumeration value="Water"/>
          <xsd:enumeration value="Water conservation"/>
          <xsd:enumeration value="Water management"/>
          <xsd:enumeration value="Water property rights"/>
          <xsd:enumeration value="Water rates"/>
          <xsd:enumeration value="Water safety"/>
          <xsd:enumeration value="Webcasting"/>
          <xsd:enumeration value="Weed management"/>
          <xsd:enumeration value="Whistleblowers"/>
          <xsd:enumeration value="Wind farms"/>
          <xsd:enumeration value="Wineries"/>
          <xsd:enumeration value="Women"/>
          <xsd:enumeration value="Woodsmoke"/>
          <xsd:enumeration value="Workcover"/>
          <xsd:enumeration value="Workforce"/>
          <xsd:enumeration value="Youth"/>
        </xsd:restriction>
      </xsd:simpleType>
    </xsd:element>
  </xsd:schema>
  <xsd:schema xmlns:xsd="http://www.w3.org/2001/XMLSchema" xmlns:dms="http://schemas.microsoft.com/office/2006/documentManagement/types" targetNamespace="3572d091-57c4-4650-a223-dea2f39f07a9" elementFormDefault="qualified">
    <xsd:import namespace="http://schemas.microsoft.com/office/2006/documentManagement/types"/>
    <xsd:element name="Project" ma:index="14" nillable="true" ma:displayName="Project" ma:format="Dropdown" ma:internalName="Project">
      <xsd:simpleType>
        <xsd:restriction base="dms:Choice">
          <xsd:enumeration value="Angahook-Otway Investigation (VEAC)"/>
          <xsd:enumeration value="Asbestos in the Home Removal Kit"/>
          <xsd:enumeration value="Aussie Recycling Program (ARP)"/>
          <xsd:enumeration value="Better Bays and Waterways"/>
          <xsd:enumeration value="Carbon Emissions Management and Reporting Training"/>
          <xsd:enumeration value="Carry In and Carry Out Policy (Parks Victoria)"/>
          <xsd:enumeration value="Channel deepening"/>
          <xsd:enumeration value="Clean Stormwater - A Planning Framework (ABM)"/>
          <xsd:enumeration value="Coast to Coast Conference (Australia's National Coastal Conference)"/>
          <xsd:enumeration value="Coastal Spaces Initiative"/>
          <xsd:enumeration value="Commonwealth Environment Protection and Biodiversity Conservation Act 1999"/>
          <xsd:enumeration value="Commonwealth Games Litter Campaign"/>
          <xsd:enumeration value="Council Sustainability Case Studies 2002"/>
          <xsd:enumeration value="Councillor Environment Management Fundamentals"/>
          <xsd:enumeration value="Councillor Environment Survey"/>
          <xsd:enumeration value="Councillor Training in Environmental Management"/>
          <xsd:enumeration value="CRC for Water Sensitive Cities"/>
          <xsd:enumeration value="DSE Priority Review Project"/>
          <xsd:enumeration value="DSE Wood and Water Project: Harvesting state forest in Melbourne's water catchments"/>
          <xsd:enumeration value="Eastern Region Sutainable Water Strategy"/>
          <xsd:enumeration value="ECO-Buy"/>
          <xsd:enumeration value="EcoRecycle Review of Model Split Contracts"/>
          <xsd:enumeration value="Energy Efficient Street lighting Procurement"/>
          <xsd:enumeration value="EPA Forest Audit"/>
          <xsd:enumeration value="EPA Kerbside Waste Survey"/>
          <xsd:enumeration value="EPHC Consultation - Regulatory Impact Statement (RIS) - Investigation of Options to Reduce the Environmental Impact of Plastic Bags"/>
          <xsd:enumeration value="ESC Local Government Performance Monitoring Framework"/>
          <xsd:enumeration value="Extended Producer Responsibility Forum"/>
          <xsd:enumeration value="Forest Practitioner Accreditation Scheme (FPAS)"/>
          <xsd:enumeration value="Funding for timber impacted local roads"/>
          <xsd:enumeration value="Future Coasts"/>
          <xsd:enumeration value="Greenhouse and Climate Change Education Module"/>
          <xsd:enumeration value="Green Light Plan"/>
          <xsd:enumeration value="Hard Waste and Green Waste Collections"/>
          <xsd:enumeration value="Illegal Dumping Module Development"/>
          <xsd:enumeration value="Implementing Rate Incentives for Biodiversity and Land Management Workshop"/>
          <xsd:enumeration value="Inquiry into Sustainable Communities"/>
          <xsd:enumeration value="Inquiry into The Impacts of Native Vegetation and Biodiversity Regulations"/>
          <xsd:enumeration value="Inquiry into the 2002-2003 Victorian Bushfires"/>
          <xsd:enumeration value="Inquiry into Waste Generation and Resource Efficiency (Productivity Commission)"/>
          <xsd:enumeration value="Integrating Regional Catchment Planning and Local Planning"/>
          <xsd:enumeration value="Interim Timber Harvesting Plans (THP) for Private Land"/>
          <xsd:enumeration value="Investigation into Domestic Firewood Issues in Box Ironbark Forests"/>
          <xsd:enumeration value="Land and Biodiversity at a Time of Climate Change"/>
          <xsd:enumeration value="Landfill Financial Assurance"/>
          <xsd:enumeration value="Landfill Levy Regulation Project"/>
          <xsd:enumeration value="Litter Champion Project"/>
          <xsd:enumeration value="Litter Enforcement Program"/>
          <xsd:enumeration value="Local Agenda 21 (LA21) in Sustainability"/>
          <xsd:enumeration value="Local Government and the Plantation Sector Resource"/>
          <xsd:enumeration value="Local Government and Weed Management Forum"/>
          <xsd:enumeration value="Local Government Capacity Building for Native Vegetation Management"/>
          <xsd:enumeration value="Local Government Climate Change Adaptation National Project"/>
          <xsd:enumeration value="Local Government Environment Survey"/>
          <xsd:enumeration value="Local Government Immunisation Costing Project"/>
          <xsd:enumeration value="Local government/water authorities relationship template"/>
          <xsd:enumeration value="Local Planning Policy Framework for Plantation Development"/>
          <xsd:enumeration value="MAV-DSE Native Vegetation Joint Working Group"/>
          <xsd:enumeration value="MAV-EcoRecycle - Future Directions for Municipal Waste Management in Victoria 'Towards Zero Waste' Forum"/>
          <xsd:enumeration value="MAV Native Vegetation Policy Forum"/>
          <xsd:enumeration value="Melbourne 2030"/>
          <xsd:enumeration value="Metropolitan Waste and Resource Recovery Strategic Plan"/>
          <xsd:enumeration value="MWMG Metropolitan Local Governments' Waste Forum"/>
          <xsd:enumeration value="National Conservation Incentives Forum"/>
          <xsd:enumeration value="National Packaging Covenant"/>
          <xsd:enumeration value="National Packaging Covenant Mid-term Review"/>
          <xsd:enumeration value="National Packaging Covenant Structural Barriers"/>
          <xsd:enumeration value="National Timber Councils Taskforce"/>
          <xsd:enumeration value="National Waste Agenda"/>
          <xsd:enumeration value="National Water Initiative"/>
          <xsd:enumeration value="National Weeds Strategy Review"/>
          <xsd:enumeration value="Native Vegetation Management Framework"/>
          <xsd:enumeration value="Native Vegetation Management Framework Operational Guidelines"/>
          <xsd:enumeration value="Native Vegetation Permit Tracking System Enhancement Project"/>
          <xsd:enumeration value="No Butts Campaign"/>
          <xsd:enumeration value="Northern Region Sustainable Water Strategy"/>
          <xsd:enumeration value="NRM Facilitator Program"/>
          <xsd:enumeration value="On-site domestic wastewater framework review"/>
          <xsd:enumeration value="On-site domestic wastewater resourcing study"/>
          <xsd:enumeration value="Parks Victoria - Murray River 'Carry-in Carry out'"/>
          <xsd:enumeration value="Plantation Planning Requirements"/>
          <xsd:enumeration value="Plantation Timber - Rates and Valuations"/>
          <xsd:enumeration value="Plantations and Carbon Storage"/>
          <xsd:enumeration value="Port Phillip Bay Adaptation Pathways"/>
          <xsd:enumeration value="Product Stewardship Forum"/>
          <xsd:enumeration value="Public Inquiry into Public Land Management Practices and Bushfires in Victoria"/>
          <xsd:enumeration value="Public Lighting Customer Innovation Committee"/>
          <xsd:enumeration value="Public Lighting Advocacy Campaign"/>
          <xsd:enumeration value="Public Lighting Taskforce"/>
          <xsd:enumeration value="Regional Stormwater Policy Adviser"/>
          <xsd:enumeration value="Regulation and Regional Victoria Inquiry (VCEC)"/>
          <xsd:enumeration value="Relocalisation case studies report"/>
          <xsd:enumeration value="Resource Recovery Investment Program"/>
          <xsd:enumeration value="Review of Code of Forest Practices for Timber Production"/>
          <xsd:enumeration value="Review of Code of Practice for Fire Management on Public Land"/>
          <xsd:enumeration value="Review of Native Vegetation Exemptions in Planning Schemes"/>
          <xsd:enumeration value="Review of Regional Waste Management Groups"/>
          <xsd:enumeration value="Review of the Regional Education Officer Program in Metropolitan Melbourne"/>
          <xsd:enumeration value="Review of the Victorian Litter Action Alliance (VLAA)"/>
          <xsd:enumeration value="Roadside Litter Prevention Kit"/>
          <xsd:enumeration value="Socio-Economic Impact of Bushfires on Rural Communities and Local Government in Gippsland and North East Victoria"/>
          <xsd:enumeration value="Social Dimensions of Natural Resource Management Literature"/>
          <xsd:enumeration value="State Election 2006"/>
          <xsd:enumeration value="Strategic Framework for Investment in Native Need for Revegetation in Australia"/>
          <xsd:enumeration value="Sustainability Charter for Victoria's State Forests"/>
          <xsd:enumeration value="Sustainability in Local Government"/>
          <xsd:enumeration value="Sustainability website"/>
          <xsd:enumeration value="Tackling Weeds on Private Land Initiative"/>
          <xsd:enumeration value="Timber Harvesting (Coupe) Plan Certification"/>
          <xsd:enumeration value="Timber Industry Roads Evaluation Study (TIRES)"/>
          <xsd:enumeration value="Towards Zero Waste Victorian Solid Waste Strategy"/>
          <xsd:enumeration value="Urban Rural Links Program"/>
          <xsd:enumeration value="Vendor Statements With Sale of Land for Effective Weed Management"/>
          <xsd:enumeration value="Victoria's Greenhouse Forest Project"/>
          <xsd:enumeration value="Victorian Catchment and Land Protection Act 1994 - Amendments"/>
          <xsd:enumeration value="Victorian Coastal Strategy"/>
          <xsd:enumeration value="Victorian Firewood Strategy 2002"/>
          <xsd:enumeration value="Victorian Greenhouse Strategy"/>
          <xsd:enumeration value="Victorian Land and Biodiversity White Paper"/>
          <xsd:enumeration value="Victorian Litter Strategy"/>
          <xsd:enumeration value="Victorian Local Government Greenhouse and Climate Change Case Studies"/>
          <xsd:enumeration value="Victorian Local Government Resource Recovery and Waste Management Information Exchange"/>
          <xsd:enumeration value="Victorian Local Sustainability Accord"/>
          <xsd:enumeration value="Victorian Local Sustainability Network (VLSN)"/>
          <xsd:enumeration value="Victorian Pest Management Framework"/>
          <xsd:enumeration value="Victorian Strategy for Health Rivers, Estuaries and Wetlands"/>
          <xsd:enumeration value="Victorian Sustainable Water Strategy"/>
          <xsd:enumeration value="Victorian Timber Industry Strategy"/>
          <xsd:enumeration value="Waste Wise Local Government"/>
          <xsd:enumeration value="Western Region Sustainable Water Strategy"/>
          <xsd:enumeration value="World Summit on Sustainable Development"/>
        </xsd:restriction>
      </xsd:simpleType>
    </xsd:element>
    <xsd:element name="Audience1" ma:index="15" nillable="true" ma:displayName="Audience" ma:default="" ma:description="The intended audience for the document.  Note that this will be used to determine how the document is distributed. e.g. &quot;document security&quot;" ma:format="Dropdown" ma:internalName="Audience1" ma:readOnly="false">
      <xsd:simpleType>
        <xsd:restriction base="dms:Choice">
          <xsd:enumeration value="Staff Only"/>
          <xsd:enumeration value="Staff &amp; Board Only"/>
          <xsd:enumeration value="Staff, Board &amp; Members Only"/>
          <xsd:enumeration value="Staff, Board, Members + General Public"/>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33FB2A315AD0714CAF5954C254C8E2D1" ma:contentTypeVersion="3" ma:contentTypeDescription="Create a new document." ma:contentTypeScope="" ma:versionID="dcf30f2664097b3f6a11f416c98b69d7">
  <xsd:schema xmlns:xsd="http://www.w3.org/2001/XMLSchema" xmlns:xs="http://www.w3.org/2001/XMLSchema" xmlns:p="http://schemas.microsoft.com/office/2006/metadata/properties" xmlns:ns2="b2999bd9-dba0-46e4-8521-1f182c80fbb9" xmlns:ns4="c9f238dd-bb73-4aef-a7a5-d644ad823e52" targetNamespace="http://schemas.microsoft.com/office/2006/metadata/properties" ma:root="true" ma:fieldsID="ef887a22c9bdd27b1be9d0e3f53fe1dd" ns2:_="" ns4:_="">
    <xsd:import namespace="b2999bd9-dba0-46e4-8521-1f182c80fbb9"/>
    <xsd:import namespace="c9f238dd-bb73-4aef-a7a5-d644ad823e52"/>
    <xsd:element name="properties">
      <xsd:complexType>
        <xsd:sequence>
          <xsd:element name="documentManagement">
            <xsd:complexType>
              <xsd:all>
                <xsd:element ref="ns2:AGLSSubjectTaxHTField1" minOccurs="0"/>
                <xsd:element ref="ns4:AGLSSubjectHTField0"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999bd9-dba0-46e4-8521-1f182c80fbb9" elementFormDefault="qualified">
    <xsd:import namespace="http://schemas.microsoft.com/office/2006/documentManagement/types"/>
    <xsd:import namespace="http://schemas.microsoft.com/office/infopath/2007/PartnerControls"/>
    <xsd:element name="AGLSSubjectTaxHTField1" ma:index="8" nillable="true" ma:displayName="DC.Subject_1" ma:hidden="true" ma:internalName="AGLSSubjectTaxHTField1">
      <xsd:simpleType>
        <xsd:restriction base="dms:Note"/>
      </xsd:simpleType>
    </xsd:element>
    <xsd:element name="TaxCatchAll" ma:index="11" nillable="true" ma:displayName="Taxonomy Catch All Column" ma:description="" ma:hidden="true" ma:list="{ff9c2cd2-d0e6-477d-a921-5f7152752030}" ma:internalName="TaxCatchAll" ma:showField="CatchAllData" ma:web="b2999bd9-dba0-46e4-8521-1f182c80fb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AGLSSubjectHTField0" ma:index="10" ma:taxonomy="true" ma:internalName="AGLSSubjectHTField0" ma:taxonomyFieldName="AGLSSubject" ma:displayName="DC.Subject" ma:default="" ma:fieldId="{d8fece8f-c1b1-4f04-a86c-25e52362e650}" ma:sspId="2283e515-f1ad-4c86-85fd-a7bc38926309" ma:termSetId="bd09e9e4-4fd3-4785-8f8f-05e1704e9b3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documentManagement>
    <AGLSSubjectTaxHTField1 xmlns="b2999bd9-dba0-46e4-8521-1f182c80fbb9" xsi:nil="true"/>
    <AGLSSubjectHTField0 xmlns="c9f238dd-bb73-4aef-a7a5-d644ad823e52">
      <Terms xmlns="http://schemas.microsoft.com/office/infopath/2007/PartnerControls">
        <TermInfo xmlns="http://schemas.microsoft.com/office/infopath/2007/PartnerControls">
          <TermName xmlns="http://schemas.microsoft.com/office/infopath/2007/PartnerControls">Domestic wastewater</TermName>
          <TermId xmlns="http://schemas.microsoft.com/office/infopath/2007/PartnerControls">94e5ba6e-1c36-49a6-9c6f-9edbbf4b1a7d</TermId>
        </TermInfo>
      </Terms>
    </AGLSSubjectHTField0>
    <TaxCatchAll xmlns="b2999bd9-dba0-46e4-8521-1f182c80fbb9">
      <Value>81</Value>
    </TaxCatchAl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C028C-910F-4ECC-B3D6-39B1F7E7384F}"/>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89C95A11-2693-40EA-802C-F8811DA3B982}">
  <ds:schemaRefs>
    <ds:schemaRef ds:uri="http://purl.org/dc/dcmitype/"/>
    <ds:schemaRef ds:uri="http://purl.org/dc/elements/1.1/"/>
    <ds:schemaRef ds:uri="http://purl.org/dc/terms/"/>
    <ds:schemaRef ds:uri="http://www.w3.org/XML/1998/namespace"/>
    <ds:schemaRef ds:uri="http://schemas.openxmlformats.org/package/2006/metadata/core-properties"/>
    <ds:schemaRef ds:uri="http://schemas.microsoft.com/office/2006/documentManagement/types"/>
    <ds:schemaRef ds:uri="3572d091-57c4-4650-a223-dea2f39f07a9"/>
    <ds:schemaRef ds:uri="9bd3a89a-ee47-4d4a-ad9f-ad79fed46c76"/>
    <ds:schemaRef ds:uri="http://schemas.microsoft.com/office/2006/metadata/properties"/>
  </ds:schemaRefs>
</ds:datastoreItem>
</file>

<file path=customXml/itemProps4.xml><?xml version="1.0" encoding="utf-8"?>
<ds:datastoreItem xmlns:ds="http://schemas.openxmlformats.org/officeDocument/2006/customXml" ds:itemID="{2661F2C6-DE05-41B7-8A30-7ECE61D29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3a89a-ee47-4d4a-ad9f-ad79fed46c76"/>
    <ds:schemaRef ds:uri="3572d091-57c4-4650-a223-dea2f39f07a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101CCE39-14E4-45C0-B025-51431387515D}"/>
</file>

<file path=customXml/itemProps6.xml><?xml version="1.0" encoding="utf-8"?>
<ds:datastoreItem xmlns:ds="http://schemas.openxmlformats.org/officeDocument/2006/customXml" ds:itemID="{89C95A11-2693-40EA-802C-F8811DA3B982}"/>
</file>

<file path=customXml/itemProps7.xml><?xml version="1.0" encoding="utf-8"?>
<ds:datastoreItem xmlns:ds="http://schemas.openxmlformats.org/officeDocument/2006/customXml" ds:itemID="{572D93DD-9FA2-4EE0-B2B3-A138AB1E44F3}"/>
</file>

<file path=docProps/app.xml><?xml version="1.0" encoding="utf-8"?>
<Properties xmlns="http://schemas.openxmlformats.org/officeDocument/2006/extended-properties" xmlns:vt="http://schemas.openxmlformats.org/officeDocument/2006/docPropsVTypes">
  <Template>Submission template.dotx</Template>
  <TotalTime>0</TotalTime>
  <Pages>66</Pages>
  <Words>17609</Words>
  <Characters>100375</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Victorian land capability assessment framework w EPA edits</vt:lpstr>
    </vt:vector>
  </TitlesOfParts>
  <Company/>
  <LinksUpToDate>false</LinksUpToDate>
  <CharactersWithSpaces>117749</CharactersWithSpaces>
  <SharedDoc>false</SharedDoc>
  <HLinks>
    <vt:vector size="144" baseType="variant">
      <vt:variant>
        <vt:i4>2031676</vt:i4>
      </vt:variant>
      <vt:variant>
        <vt:i4>140</vt:i4>
      </vt:variant>
      <vt:variant>
        <vt:i4>0</vt:i4>
      </vt:variant>
      <vt:variant>
        <vt:i4>5</vt:i4>
      </vt:variant>
      <vt:variant>
        <vt:lpwstr/>
      </vt:variant>
      <vt:variant>
        <vt:lpwstr>_Toc248044280</vt:lpwstr>
      </vt:variant>
      <vt:variant>
        <vt:i4>1048636</vt:i4>
      </vt:variant>
      <vt:variant>
        <vt:i4>134</vt:i4>
      </vt:variant>
      <vt:variant>
        <vt:i4>0</vt:i4>
      </vt:variant>
      <vt:variant>
        <vt:i4>5</vt:i4>
      </vt:variant>
      <vt:variant>
        <vt:lpwstr/>
      </vt:variant>
      <vt:variant>
        <vt:lpwstr>_Toc248044279</vt:lpwstr>
      </vt:variant>
      <vt:variant>
        <vt:i4>1048636</vt:i4>
      </vt:variant>
      <vt:variant>
        <vt:i4>128</vt:i4>
      </vt:variant>
      <vt:variant>
        <vt:i4>0</vt:i4>
      </vt:variant>
      <vt:variant>
        <vt:i4>5</vt:i4>
      </vt:variant>
      <vt:variant>
        <vt:lpwstr/>
      </vt:variant>
      <vt:variant>
        <vt:lpwstr>_Toc248044277</vt:lpwstr>
      </vt:variant>
      <vt:variant>
        <vt:i4>1048636</vt:i4>
      </vt:variant>
      <vt:variant>
        <vt:i4>122</vt:i4>
      </vt:variant>
      <vt:variant>
        <vt:i4>0</vt:i4>
      </vt:variant>
      <vt:variant>
        <vt:i4>5</vt:i4>
      </vt:variant>
      <vt:variant>
        <vt:lpwstr/>
      </vt:variant>
      <vt:variant>
        <vt:lpwstr>_Toc248044276</vt:lpwstr>
      </vt:variant>
      <vt:variant>
        <vt:i4>1048636</vt:i4>
      </vt:variant>
      <vt:variant>
        <vt:i4>116</vt:i4>
      </vt:variant>
      <vt:variant>
        <vt:i4>0</vt:i4>
      </vt:variant>
      <vt:variant>
        <vt:i4>5</vt:i4>
      </vt:variant>
      <vt:variant>
        <vt:lpwstr/>
      </vt:variant>
      <vt:variant>
        <vt:lpwstr>_Toc248044275</vt:lpwstr>
      </vt:variant>
      <vt:variant>
        <vt:i4>1048636</vt:i4>
      </vt:variant>
      <vt:variant>
        <vt:i4>110</vt:i4>
      </vt:variant>
      <vt:variant>
        <vt:i4>0</vt:i4>
      </vt:variant>
      <vt:variant>
        <vt:i4>5</vt:i4>
      </vt:variant>
      <vt:variant>
        <vt:lpwstr/>
      </vt:variant>
      <vt:variant>
        <vt:lpwstr>_Toc248044273</vt:lpwstr>
      </vt:variant>
      <vt:variant>
        <vt:i4>1048636</vt:i4>
      </vt:variant>
      <vt:variant>
        <vt:i4>104</vt:i4>
      </vt:variant>
      <vt:variant>
        <vt:i4>0</vt:i4>
      </vt:variant>
      <vt:variant>
        <vt:i4>5</vt:i4>
      </vt:variant>
      <vt:variant>
        <vt:lpwstr/>
      </vt:variant>
      <vt:variant>
        <vt:lpwstr>_Toc248044272</vt:lpwstr>
      </vt:variant>
      <vt:variant>
        <vt:i4>1048636</vt:i4>
      </vt:variant>
      <vt:variant>
        <vt:i4>98</vt:i4>
      </vt:variant>
      <vt:variant>
        <vt:i4>0</vt:i4>
      </vt:variant>
      <vt:variant>
        <vt:i4>5</vt:i4>
      </vt:variant>
      <vt:variant>
        <vt:lpwstr/>
      </vt:variant>
      <vt:variant>
        <vt:lpwstr>_Toc248044271</vt:lpwstr>
      </vt:variant>
      <vt:variant>
        <vt:i4>1048636</vt:i4>
      </vt:variant>
      <vt:variant>
        <vt:i4>92</vt:i4>
      </vt:variant>
      <vt:variant>
        <vt:i4>0</vt:i4>
      </vt:variant>
      <vt:variant>
        <vt:i4>5</vt:i4>
      </vt:variant>
      <vt:variant>
        <vt:lpwstr/>
      </vt:variant>
      <vt:variant>
        <vt:lpwstr>_Toc248044270</vt:lpwstr>
      </vt:variant>
      <vt:variant>
        <vt:i4>1114172</vt:i4>
      </vt:variant>
      <vt:variant>
        <vt:i4>86</vt:i4>
      </vt:variant>
      <vt:variant>
        <vt:i4>0</vt:i4>
      </vt:variant>
      <vt:variant>
        <vt:i4>5</vt:i4>
      </vt:variant>
      <vt:variant>
        <vt:lpwstr/>
      </vt:variant>
      <vt:variant>
        <vt:lpwstr>_Toc248044269</vt:lpwstr>
      </vt:variant>
      <vt:variant>
        <vt:i4>1114172</vt:i4>
      </vt:variant>
      <vt:variant>
        <vt:i4>80</vt:i4>
      </vt:variant>
      <vt:variant>
        <vt:i4>0</vt:i4>
      </vt:variant>
      <vt:variant>
        <vt:i4>5</vt:i4>
      </vt:variant>
      <vt:variant>
        <vt:lpwstr/>
      </vt:variant>
      <vt:variant>
        <vt:lpwstr>_Toc248044268</vt:lpwstr>
      </vt:variant>
      <vt:variant>
        <vt:i4>1114172</vt:i4>
      </vt:variant>
      <vt:variant>
        <vt:i4>74</vt:i4>
      </vt:variant>
      <vt:variant>
        <vt:i4>0</vt:i4>
      </vt:variant>
      <vt:variant>
        <vt:i4>5</vt:i4>
      </vt:variant>
      <vt:variant>
        <vt:lpwstr/>
      </vt:variant>
      <vt:variant>
        <vt:lpwstr>_Toc248044267</vt:lpwstr>
      </vt:variant>
      <vt:variant>
        <vt:i4>1114172</vt:i4>
      </vt:variant>
      <vt:variant>
        <vt:i4>68</vt:i4>
      </vt:variant>
      <vt:variant>
        <vt:i4>0</vt:i4>
      </vt:variant>
      <vt:variant>
        <vt:i4>5</vt:i4>
      </vt:variant>
      <vt:variant>
        <vt:lpwstr/>
      </vt:variant>
      <vt:variant>
        <vt:lpwstr>_Toc248044266</vt:lpwstr>
      </vt:variant>
      <vt:variant>
        <vt:i4>1114172</vt:i4>
      </vt:variant>
      <vt:variant>
        <vt:i4>62</vt:i4>
      </vt:variant>
      <vt:variant>
        <vt:i4>0</vt:i4>
      </vt:variant>
      <vt:variant>
        <vt:i4>5</vt:i4>
      </vt:variant>
      <vt:variant>
        <vt:lpwstr/>
      </vt:variant>
      <vt:variant>
        <vt:lpwstr>_Toc248044265</vt:lpwstr>
      </vt:variant>
      <vt:variant>
        <vt:i4>1114172</vt:i4>
      </vt:variant>
      <vt:variant>
        <vt:i4>56</vt:i4>
      </vt:variant>
      <vt:variant>
        <vt:i4>0</vt:i4>
      </vt:variant>
      <vt:variant>
        <vt:i4>5</vt:i4>
      </vt:variant>
      <vt:variant>
        <vt:lpwstr/>
      </vt:variant>
      <vt:variant>
        <vt:lpwstr>_Toc248044264</vt:lpwstr>
      </vt:variant>
      <vt:variant>
        <vt:i4>1114172</vt:i4>
      </vt:variant>
      <vt:variant>
        <vt:i4>50</vt:i4>
      </vt:variant>
      <vt:variant>
        <vt:i4>0</vt:i4>
      </vt:variant>
      <vt:variant>
        <vt:i4>5</vt:i4>
      </vt:variant>
      <vt:variant>
        <vt:lpwstr/>
      </vt:variant>
      <vt:variant>
        <vt:lpwstr>_Toc248044263</vt:lpwstr>
      </vt:variant>
      <vt:variant>
        <vt:i4>1114172</vt:i4>
      </vt:variant>
      <vt:variant>
        <vt:i4>44</vt:i4>
      </vt:variant>
      <vt:variant>
        <vt:i4>0</vt:i4>
      </vt:variant>
      <vt:variant>
        <vt:i4>5</vt:i4>
      </vt:variant>
      <vt:variant>
        <vt:lpwstr/>
      </vt:variant>
      <vt:variant>
        <vt:lpwstr>_Toc248044261</vt:lpwstr>
      </vt:variant>
      <vt:variant>
        <vt:i4>1114172</vt:i4>
      </vt:variant>
      <vt:variant>
        <vt:i4>38</vt:i4>
      </vt:variant>
      <vt:variant>
        <vt:i4>0</vt:i4>
      </vt:variant>
      <vt:variant>
        <vt:i4>5</vt:i4>
      </vt:variant>
      <vt:variant>
        <vt:lpwstr/>
      </vt:variant>
      <vt:variant>
        <vt:lpwstr>_Toc248044260</vt:lpwstr>
      </vt:variant>
      <vt:variant>
        <vt:i4>1179708</vt:i4>
      </vt:variant>
      <vt:variant>
        <vt:i4>32</vt:i4>
      </vt:variant>
      <vt:variant>
        <vt:i4>0</vt:i4>
      </vt:variant>
      <vt:variant>
        <vt:i4>5</vt:i4>
      </vt:variant>
      <vt:variant>
        <vt:lpwstr/>
      </vt:variant>
      <vt:variant>
        <vt:lpwstr>_Toc248044259</vt:lpwstr>
      </vt:variant>
      <vt:variant>
        <vt:i4>1179708</vt:i4>
      </vt:variant>
      <vt:variant>
        <vt:i4>26</vt:i4>
      </vt:variant>
      <vt:variant>
        <vt:i4>0</vt:i4>
      </vt:variant>
      <vt:variant>
        <vt:i4>5</vt:i4>
      </vt:variant>
      <vt:variant>
        <vt:lpwstr/>
      </vt:variant>
      <vt:variant>
        <vt:lpwstr>_Toc248044258</vt:lpwstr>
      </vt:variant>
      <vt:variant>
        <vt:i4>1179708</vt:i4>
      </vt:variant>
      <vt:variant>
        <vt:i4>20</vt:i4>
      </vt:variant>
      <vt:variant>
        <vt:i4>0</vt:i4>
      </vt:variant>
      <vt:variant>
        <vt:i4>5</vt:i4>
      </vt:variant>
      <vt:variant>
        <vt:lpwstr/>
      </vt:variant>
      <vt:variant>
        <vt:lpwstr>_Toc248044257</vt:lpwstr>
      </vt:variant>
      <vt:variant>
        <vt:i4>1179708</vt:i4>
      </vt:variant>
      <vt:variant>
        <vt:i4>14</vt:i4>
      </vt:variant>
      <vt:variant>
        <vt:i4>0</vt:i4>
      </vt:variant>
      <vt:variant>
        <vt:i4>5</vt:i4>
      </vt:variant>
      <vt:variant>
        <vt:lpwstr/>
      </vt:variant>
      <vt:variant>
        <vt:lpwstr>_Toc248044254</vt:lpwstr>
      </vt:variant>
      <vt:variant>
        <vt:i4>1179708</vt:i4>
      </vt:variant>
      <vt:variant>
        <vt:i4>8</vt:i4>
      </vt:variant>
      <vt:variant>
        <vt:i4>0</vt:i4>
      </vt:variant>
      <vt:variant>
        <vt:i4>5</vt:i4>
      </vt:variant>
      <vt:variant>
        <vt:lpwstr/>
      </vt:variant>
      <vt:variant>
        <vt:lpwstr>_Toc248044253</vt:lpwstr>
      </vt:variant>
      <vt:variant>
        <vt:i4>1179708</vt:i4>
      </vt:variant>
      <vt:variant>
        <vt:i4>2</vt:i4>
      </vt:variant>
      <vt:variant>
        <vt:i4>0</vt:i4>
      </vt:variant>
      <vt:variant>
        <vt:i4>5</vt:i4>
      </vt:variant>
      <vt:variant>
        <vt:lpwstr/>
      </vt:variant>
      <vt:variant>
        <vt:lpwstr>_Toc248044252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land capability assessment framework (Word - 1.13MB)</dc:title>
  <dc:creator>Janet Metcalf</dc:creator>
  <cp:lastModifiedBy>Michael Green</cp:lastModifiedBy>
  <cp:revision>2</cp:revision>
  <dcterms:created xsi:type="dcterms:W3CDTF">2014-01-31T04:17:00Z</dcterms:created>
  <dcterms:modified xsi:type="dcterms:W3CDTF">2014-01-31T04:17:00Z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0x01010033FB2A315AD0714CAF5954C254C8E2D1</vt:lpwstr>
  </property>
  <property fmtid="{D5CDD505-2E9C-101B-9397-08002B2CF9AE}" pid="3" name="Order">
    <vt:r8>1248000</vt:r8>
  </property>
  <property fmtid="{D5CDD505-2E9C-101B-9397-08002B2CF9AE}" pid="4" name="Function">
    <vt:lpwstr>Resources and references</vt:lpwstr>
  </property>
  <property fmtid="{D5CDD505-2E9C-101B-9397-08002B2CF9AE}" pid="5" name="AGLSSubject">
    <vt:lpwstr>81;#Domestic wastewater|94e5ba6e-1c36-49a6-9c6f-9edbbf4b1a7d</vt:lpwstr>
  </property>
  <property fmtid="{D5CDD505-2E9C-101B-9397-08002B2CF9AE}" pid="6" name="AGLSSubjectHTField0">
    <vt:lpwstr>Domestic wastewater94e5ba6e-1c36-49a6-9c6f-9edbbf4b1a7d</vt:lpwstr>
  </property>
  <property fmtid="{D5CDD505-2E9C-101B-9397-08002B2CF9AE}" pid="7" name="TaxCatchAll">
    <vt:lpwstr>81</vt:lpwstr>
  </property>
  <property fmtid="{D5CDD505-2E9C-101B-9397-08002B2CF9AE}" pid="8" name="TemplateUrl">
    <vt:lpwstr/>
  </property>
  <property fmtid="{D5CDD505-2E9C-101B-9397-08002B2CF9AE}" pid="9" name="_SourceUrl">
    <vt:lpwstr/>
  </property>
  <property fmtid="{D5CDD505-2E9C-101B-9397-08002B2CF9AE}" pid="10" name="_SharedFileIndex">
    <vt:lpwstr/>
  </property>
  <property fmtid="{D5CDD505-2E9C-101B-9397-08002B2CF9AE}" pid="11" name="xd_Signature">
    <vt:bool>false</vt:bool>
  </property>
  <property fmtid="{D5CDD505-2E9C-101B-9397-08002B2CF9AE}" pid="12" name="xd_ProgID">
    <vt:lpwstr/>
  </property>
</Properties>
</file>