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A2579" w14:textId="77777777" w:rsidR="00932CAE" w:rsidRPr="00524B0D" w:rsidRDefault="00324A42" w:rsidP="00761568">
      <w:pPr>
        <w:pStyle w:val="Heading1"/>
        <w:jc w:val="center"/>
        <w:rPr>
          <w:sz w:val="32"/>
          <w:szCs w:val="32"/>
        </w:rPr>
      </w:pPr>
      <w:r w:rsidRPr="00524B0D">
        <w:rPr>
          <w:sz w:val="32"/>
          <w:szCs w:val="32"/>
        </w:rPr>
        <w:t xml:space="preserve">Background </w:t>
      </w:r>
      <w:r w:rsidR="00A92E63" w:rsidRPr="00524B0D">
        <w:rPr>
          <w:sz w:val="32"/>
          <w:szCs w:val="32"/>
        </w:rPr>
        <w:t>paper</w:t>
      </w:r>
      <w:r w:rsidRPr="00524B0D">
        <w:rPr>
          <w:sz w:val="32"/>
          <w:szCs w:val="32"/>
        </w:rPr>
        <w:t xml:space="preserve">: </w:t>
      </w:r>
      <w:r w:rsidR="00BE371C" w:rsidRPr="00524B0D">
        <w:rPr>
          <w:sz w:val="32"/>
          <w:szCs w:val="32"/>
        </w:rPr>
        <w:t>Landfill levies and the Sustainability Fund</w:t>
      </w:r>
    </w:p>
    <w:p w14:paraId="4A7A257A" w14:textId="77777777" w:rsidR="00F53164" w:rsidRDefault="00F53164">
      <w:pPr>
        <w:rPr>
          <w:rFonts w:asciiTheme="minorHAnsi" w:hAnsiTheme="minorHAnsi" w:cs="Arial"/>
        </w:rPr>
      </w:pPr>
    </w:p>
    <w:p w14:paraId="4A7A257B" w14:textId="77777777" w:rsidR="00324A42" w:rsidRDefault="00974A30" w:rsidP="00974A30">
      <w:pPr>
        <w:pStyle w:val="Heading2"/>
      </w:pPr>
      <w:r>
        <w:t>Introduction</w:t>
      </w:r>
    </w:p>
    <w:p w14:paraId="4A7A257C" w14:textId="77777777" w:rsidR="00974A30" w:rsidRPr="000D09AE" w:rsidRDefault="00974A30">
      <w:pPr>
        <w:rPr>
          <w:rFonts w:asciiTheme="minorHAnsi" w:hAnsiTheme="minorHAnsi" w:cs="Arial"/>
        </w:rPr>
      </w:pPr>
    </w:p>
    <w:p w14:paraId="4A7A257D" w14:textId="77777777" w:rsidR="004A4036" w:rsidRPr="008F6063" w:rsidRDefault="00BE371C">
      <w:pPr>
        <w:rPr>
          <w:rFonts w:cs="Arial"/>
          <w:sz w:val="21"/>
          <w:szCs w:val="21"/>
          <w:lang w:val="en"/>
        </w:rPr>
      </w:pPr>
      <w:r w:rsidRPr="008F6063">
        <w:rPr>
          <w:rFonts w:cs="Arial"/>
          <w:sz w:val="21"/>
          <w:szCs w:val="21"/>
          <w:lang w:val="en"/>
        </w:rPr>
        <w:t xml:space="preserve">The </w:t>
      </w:r>
      <w:r w:rsidRPr="008F6063">
        <w:rPr>
          <w:rFonts w:cs="Arial"/>
          <w:i/>
          <w:sz w:val="21"/>
          <w:szCs w:val="21"/>
          <w:lang w:val="en"/>
        </w:rPr>
        <w:t>Environment Protection Act 1970</w:t>
      </w:r>
      <w:r w:rsidRPr="008F6063">
        <w:rPr>
          <w:rFonts w:cs="Arial"/>
          <w:sz w:val="21"/>
          <w:szCs w:val="21"/>
          <w:lang w:val="en"/>
        </w:rPr>
        <w:t xml:space="preserve"> </w:t>
      </w:r>
      <w:r w:rsidR="009B73A7" w:rsidRPr="008F6063">
        <w:rPr>
          <w:rFonts w:cs="Arial"/>
          <w:sz w:val="21"/>
          <w:szCs w:val="21"/>
          <w:lang w:val="en"/>
        </w:rPr>
        <w:t xml:space="preserve">(the Act) </w:t>
      </w:r>
      <w:r w:rsidRPr="008F6063">
        <w:rPr>
          <w:rFonts w:cs="Arial"/>
          <w:sz w:val="21"/>
          <w:szCs w:val="21"/>
          <w:lang w:val="en"/>
        </w:rPr>
        <w:t xml:space="preserve">requires </w:t>
      </w:r>
      <w:r w:rsidR="000269B1" w:rsidRPr="008F6063">
        <w:rPr>
          <w:rFonts w:cs="Arial"/>
          <w:sz w:val="21"/>
          <w:szCs w:val="21"/>
          <w:lang w:val="en"/>
        </w:rPr>
        <w:t xml:space="preserve">a levy to be paid on each </w:t>
      </w:r>
      <w:proofErr w:type="spellStart"/>
      <w:r w:rsidR="000269B1" w:rsidRPr="008F6063">
        <w:rPr>
          <w:rFonts w:cs="Arial"/>
          <w:sz w:val="21"/>
          <w:szCs w:val="21"/>
          <w:lang w:val="en"/>
        </w:rPr>
        <w:t>tonne</w:t>
      </w:r>
      <w:proofErr w:type="spellEnd"/>
      <w:r w:rsidR="000269B1" w:rsidRPr="008F6063">
        <w:rPr>
          <w:rFonts w:cs="Arial"/>
          <w:sz w:val="21"/>
          <w:szCs w:val="21"/>
          <w:lang w:val="en"/>
        </w:rPr>
        <w:t xml:space="preserve"> of municipal and industrial waste disposed to licensed landfills</w:t>
      </w:r>
      <w:r w:rsidR="000761F6">
        <w:rPr>
          <w:rFonts w:cs="Arial"/>
          <w:sz w:val="21"/>
          <w:szCs w:val="21"/>
          <w:lang w:val="en"/>
        </w:rPr>
        <w:t xml:space="preserve"> in Victoria</w:t>
      </w:r>
      <w:r w:rsidR="000269B1" w:rsidRPr="008F6063">
        <w:rPr>
          <w:rFonts w:cs="Arial"/>
          <w:sz w:val="21"/>
          <w:szCs w:val="21"/>
          <w:lang w:val="en"/>
        </w:rPr>
        <w:t>.</w:t>
      </w:r>
    </w:p>
    <w:p w14:paraId="4A7A257E" w14:textId="77777777" w:rsidR="004A4036" w:rsidRPr="008F6063" w:rsidRDefault="004A4036">
      <w:pPr>
        <w:rPr>
          <w:rFonts w:cs="Arial"/>
          <w:sz w:val="21"/>
          <w:szCs w:val="21"/>
          <w:lang w:val="en"/>
        </w:rPr>
      </w:pPr>
      <w:bookmarkStart w:id="0" w:name="_GoBack"/>
      <w:bookmarkEnd w:id="0"/>
    </w:p>
    <w:p w14:paraId="4A7A257F" w14:textId="77777777" w:rsidR="00BE371C" w:rsidRPr="008F6063" w:rsidRDefault="00431F24">
      <w:pPr>
        <w:rPr>
          <w:rFonts w:cs="Arial"/>
          <w:sz w:val="21"/>
          <w:szCs w:val="21"/>
          <w:lang w:val="en"/>
        </w:rPr>
      </w:pPr>
      <w:r w:rsidRPr="008F6063">
        <w:rPr>
          <w:rFonts w:cs="Arial"/>
          <w:sz w:val="21"/>
          <w:szCs w:val="21"/>
          <w:lang w:val="en"/>
        </w:rPr>
        <w:t>Licensed landfill</w:t>
      </w:r>
      <w:r w:rsidR="00940B36" w:rsidRPr="008F6063">
        <w:rPr>
          <w:rFonts w:cs="Arial"/>
          <w:sz w:val="21"/>
          <w:szCs w:val="21"/>
          <w:lang w:val="en"/>
        </w:rPr>
        <w:t xml:space="preserve"> operator</w:t>
      </w:r>
      <w:r w:rsidRPr="008F6063">
        <w:rPr>
          <w:rFonts w:cs="Arial"/>
          <w:sz w:val="21"/>
          <w:szCs w:val="21"/>
          <w:lang w:val="en"/>
        </w:rPr>
        <w:t>s collect and pay the levy on a quarterly</w:t>
      </w:r>
      <w:r w:rsidR="003B2406" w:rsidRPr="008F6063">
        <w:rPr>
          <w:rFonts w:cs="Arial"/>
          <w:sz w:val="21"/>
          <w:szCs w:val="21"/>
          <w:lang w:val="en"/>
        </w:rPr>
        <w:t xml:space="preserve"> basis</w:t>
      </w:r>
      <w:r w:rsidRPr="008F6063">
        <w:rPr>
          <w:rFonts w:cs="Arial"/>
          <w:sz w:val="21"/>
          <w:szCs w:val="21"/>
          <w:lang w:val="en"/>
        </w:rPr>
        <w:t xml:space="preserve"> to the E</w:t>
      </w:r>
      <w:r w:rsidR="009B73A7" w:rsidRPr="008F6063">
        <w:rPr>
          <w:rFonts w:cs="Arial"/>
          <w:sz w:val="21"/>
          <w:szCs w:val="21"/>
          <w:lang w:val="en"/>
        </w:rPr>
        <w:t>nvironment Protection Authority (E</w:t>
      </w:r>
      <w:r w:rsidRPr="008F6063">
        <w:rPr>
          <w:rFonts w:cs="Arial"/>
          <w:sz w:val="21"/>
          <w:szCs w:val="21"/>
          <w:lang w:val="en"/>
        </w:rPr>
        <w:t>PA</w:t>
      </w:r>
      <w:r w:rsidR="009B73A7" w:rsidRPr="008F6063">
        <w:rPr>
          <w:rFonts w:cs="Arial"/>
          <w:sz w:val="21"/>
          <w:szCs w:val="21"/>
          <w:lang w:val="en"/>
        </w:rPr>
        <w:t>)</w:t>
      </w:r>
      <w:r w:rsidR="00940B36" w:rsidRPr="008F6063">
        <w:rPr>
          <w:rFonts w:cs="Arial"/>
          <w:sz w:val="21"/>
          <w:szCs w:val="21"/>
          <w:lang w:val="en"/>
        </w:rPr>
        <w:t xml:space="preserve"> and t</w:t>
      </w:r>
      <w:r w:rsidR="003B2406" w:rsidRPr="008F6063">
        <w:rPr>
          <w:rFonts w:cs="Arial"/>
          <w:sz w:val="21"/>
          <w:szCs w:val="21"/>
          <w:lang w:val="en"/>
        </w:rPr>
        <w:t xml:space="preserve">he EPA </w:t>
      </w:r>
      <w:r w:rsidR="00940B36" w:rsidRPr="008F6063">
        <w:rPr>
          <w:rFonts w:cs="Arial"/>
          <w:sz w:val="21"/>
          <w:szCs w:val="21"/>
          <w:lang w:val="en"/>
        </w:rPr>
        <w:t xml:space="preserve">credits </w:t>
      </w:r>
      <w:r w:rsidR="004A4036" w:rsidRPr="008F6063">
        <w:rPr>
          <w:rFonts w:cs="Arial"/>
          <w:sz w:val="21"/>
          <w:szCs w:val="21"/>
          <w:lang w:val="en"/>
        </w:rPr>
        <w:t>all payments</w:t>
      </w:r>
      <w:r w:rsidRPr="008F6063">
        <w:rPr>
          <w:rFonts w:cs="Arial"/>
          <w:sz w:val="21"/>
          <w:szCs w:val="21"/>
          <w:lang w:val="en"/>
        </w:rPr>
        <w:t xml:space="preserve"> into the General Landfill Levy Account of the Environment Protection </w:t>
      </w:r>
      <w:r w:rsidR="003B2406" w:rsidRPr="008F6063">
        <w:rPr>
          <w:rFonts w:cs="Arial"/>
          <w:sz w:val="21"/>
          <w:szCs w:val="21"/>
          <w:lang w:val="en"/>
        </w:rPr>
        <w:t>Fund</w:t>
      </w:r>
      <w:r w:rsidRPr="008F6063">
        <w:rPr>
          <w:rFonts w:cs="Arial"/>
          <w:sz w:val="21"/>
          <w:szCs w:val="21"/>
          <w:lang w:val="en"/>
        </w:rPr>
        <w:t xml:space="preserve">. </w:t>
      </w:r>
    </w:p>
    <w:p w14:paraId="4A7A2580" w14:textId="77777777" w:rsidR="009B73A7" w:rsidRPr="008F6063" w:rsidRDefault="009B73A7" w:rsidP="00644B60">
      <w:pPr>
        <w:shd w:val="clear" w:color="auto" w:fill="FFFFFF"/>
        <w:spacing w:before="100" w:beforeAutospacing="1" w:after="300"/>
        <w:rPr>
          <w:rFonts w:cs="Arial"/>
          <w:sz w:val="21"/>
          <w:szCs w:val="21"/>
          <w:lang w:val="en"/>
        </w:rPr>
      </w:pPr>
      <w:r w:rsidRPr="008F6063">
        <w:rPr>
          <w:rFonts w:cs="Arial"/>
          <w:sz w:val="21"/>
          <w:szCs w:val="21"/>
          <w:lang w:val="en"/>
        </w:rPr>
        <w:t xml:space="preserve">Until 30 June 2015, money received from municipal and industrial landfill levies was distributed by </w:t>
      </w:r>
      <w:r w:rsidR="00F61DDE">
        <w:rPr>
          <w:rFonts w:cs="Arial"/>
          <w:sz w:val="21"/>
          <w:szCs w:val="21"/>
          <w:lang w:val="en"/>
        </w:rPr>
        <w:t xml:space="preserve">the </w:t>
      </w:r>
      <w:r w:rsidRPr="008F6063">
        <w:rPr>
          <w:rFonts w:cs="Arial"/>
          <w:sz w:val="21"/>
          <w:szCs w:val="21"/>
          <w:lang w:val="en"/>
        </w:rPr>
        <w:t xml:space="preserve">EPA in accordance with the </w:t>
      </w:r>
      <w:r w:rsidRPr="008F6063">
        <w:rPr>
          <w:rFonts w:cs="Arial"/>
          <w:i/>
          <w:sz w:val="21"/>
          <w:szCs w:val="21"/>
          <w:lang w:val="en"/>
        </w:rPr>
        <w:t>Environment Protection (Distribution of Landfill Levy) Regulations 2010</w:t>
      </w:r>
      <w:r w:rsidRPr="008F6063">
        <w:rPr>
          <w:rFonts w:cs="Arial"/>
          <w:sz w:val="21"/>
          <w:szCs w:val="21"/>
          <w:lang w:val="en"/>
        </w:rPr>
        <w:t xml:space="preserve">. From 1 July 2015, </w:t>
      </w:r>
      <w:r w:rsidR="00761568" w:rsidRPr="008F6063">
        <w:rPr>
          <w:rFonts w:cs="Arial"/>
          <w:sz w:val="21"/>
          <w:szCs w:val="21"/>
          <w:lang w:val="en"/>
        </w:rPr>
        <w:t>the Department of Environment, Land, Water and Planning (</w:t>
      </w:r>
      <w:r w:rsidRPr="008F6063">
        <w:rPr>
          <w:rFonts w:cs="Arial"/>
          <w:sz w:val="21"/>
          <w:szCs w:val="21"/>
          <w:lang w:val="en"/>
        </w:rPr>
        <w:t>DELWP</w:t>
      </w:r>
      <w:r w:rsidR="00761568" w:rsidRPr="008F6063">
        <w:rPr>
          <w:rFonts w:cs="Arial"/>
          <w:sz w:val="21"/>
          <w:szCs w:val="21"/>
          <w:lang w:val="en"/>
        </w:rPr>
        <w:t>)</w:t>
      </w:r>
      <w:r w:rsidRPr="008F6063">
        <w:rPr>
          <w:rFonts w:cs="Arial"/>
          <w:sz w:val="21"/>
          <w:szCs w:val="21"/>
          <w:lang w:val="en"/>
        </w:rPr>
        <w:t xml:space="preserve"> has taken over respon</w:t>
      </w:r>
      <w:r w:rsidR="00761568" w:rsidRPr="008F6063">
        <w:rPr>
          <w:rFonts w:cs="Arial"/>
          <w:sz w:val="21"/>
          <w:szCs w:val="21"/>
          <w:lang w:val="en"/>
        </w:rPr>
        <w:t xml:space="preserve">sibility for distributing </w:t>
      </w:r>
      <w:r w:rsidR="00562DFD">
        <w:rPr>
          <w:rFonts w:cs="Arial"/>
          <w:sz w:val="21"/>
          <w:szCs w:val="21"/>
          <w:lang w:val="en"/>
        </w:rPr>
        <w:t xml:space="preserve">the </w:t>
      </w:r>
      <w:r w:rsidRPr="008F6063">
        <w:rPr>
          <w:rFonts w:cs="Arial"/>
          <w:sz w:val="21"/>
          <w:szCs w:val="21"/>
          <w:lang w:val="en"/>
        </w:rPr>
        <w:t>funds.</w:t>
      </w:r>
    </w:p>
    <w:p w14:paraId="4A7A2581" w14:textId="77777777" w:rsidR="00431F24" w:rsidRPr="008F6063" w:rsidRDefault="003B2406">
      <w:pPr>
        <w:rPr>
          <w:rFonts w:cs="Arial"/>
          <w:sz w:val="21"/>
          <w:szCs w:val="21"/>
          <w:lang w:val="en"/>
        </w:rPr>
      </w:pPr>
      <w:r w:rsidRPr="008F6063">
        <w:rPr>
          <w:rFonts w:cs="Arial"/>
          <w:sz w:val="21"/>
          <w:szCs w:val="21"/>
          <w:lang w:val="en"/>
        </w:rPr>
        <w:t>Following the end of each quarter, the EPA transfer</w:t>
      </w:r>
      <w:r w:rsidR="004A4036" w:rsidRPr="008F6063">
        <w:rPr>
          <w:rFonts w:cs="Arial"/>
          <w:sz w:val="21"/>
          <w:szCs w:val="21"/>
          <w:lang w:val="en"/>
        </w:rPr>
        <w:t>s</w:t>
      </w:r>
      <w:r w:rsidRPr="008F6063">
        <w:rPr>
          <w:rFonts w:cs="Arial"/>
          <w:sz w:val="21"/>
          <w:szCs w:val="21"/>
          <w:lang w:val="en"/>
        </w:rPr>
        <w:t xml:space="preserve"> the balance of the General Landfill Levy Account to </w:t>
      </w:r>
      <w:r w:rsidR="00BE371C" w:rsidRPr="008F6063">
        <w:rPr>
          <w:rFonts w:cs="Arial"/>
          <w:sz w:val="21"/>
          <w:szCs w:val="21"/>
          <w:lang w:val="en"/>
        </w:rPr>
        <w:t>DELWP</w:t>
      </w:r>
      <w:r w:rsidR="00761568" w:rsidRPr="008F6063">
        <w:rPr>
          <w:rFonts w:cs="Arial"/>
          <w:sz w:val="21"/>
          <w:szCs w:val="21"/>
          <w:lang w:val="en"/>
        </w:rPr>
        <w:t>’s</w:t>
      </w:r>
      <w:r w:rsidR="00BE371C" w:rsidRPr="008F6063">
        <w:rPr>
          <w:rFonts w:cs="Arial"/>
          <w:sz w:val="21"/>
          <w:szCs w:val="21"/>
          <w:lang w:val="en"/>
        </w:rPr>
        <w:t xml:space="preserve"> </w:t>
      </w:r>
      <w:r w:rsidRPr="008F6063">
        <w:rPr>
          <w:rFonts w:cs="Arial"/>
          <w:sz w:val="21"/>
          <w:szCs w:val="21"/>
          <w:lang w:val="en"/>
        </w:rPr>
        <w:t xml:space="preserve">Municipal and Industrial Landfill Levy Trust Account. </w:t>
      </w:r>
    </w:p>
    <w:p w14:paraId="4A7A2582" w14:textId="77777777" w:rsidR="009B73A7" w:rsidRPr="008F6063" w:rsidRDefault="009B73A7">
      <w:pPr>
        <w:rPr>
          <w:rFonts w:cs="Arial"/>
          <w:sz w:val="21"/>
          <w:szCs w:val="21"/>
          <w:lang w:val="en"/>
        </w:rPr>
      </w:pPr>
    </w:p>
    <w:p w14:paraId="4A7A2583" w14:textId="77777777" w:rsidR="004A4036" w:rsidRPr="008F6063" w:rsidRDefault="004A4036" w:rsidP="00BE371C">
      <w:pPr>
        <w:shd w:val="clear" w:color="auto" w:fill="FFFFFF"/>
        <w:rPr>
          <w:rFonts w:cs="Arial"/>
          <w:sz w:val="21"/>
          <w:szCs w:val="21"/>
          <w:lang w:val="en"/>
        </w:rPr>
      </w:pPr>
      <w:r w:rsidRPr="008F6063">
        <w:rPr>
          <w:rFonts w:cs="Arial"/>
          <w:sz w:val="21"/>
          <w:szCs w:val="21"/>
          <w:lang w:val="en"/>
        </w:rPr>
        <w:t xml:space="preserve">Section 70E of the Act provides that money paid into the Municipal and Industrial Landfill Levy Trust Account </w:t>
      </w:r>
      <w:r w:rsidR="00BE371C" w:rsidRPr="008F6063">
        <w:rPr>
          <w:rFonts w:cs="Arial"/>
          <w:sz w:val="21"/>
          <w:szCs w:val="21"/>
          <w:lang w:val="en"/>
        </w:rPr>
        <w:t>may only be paid out to one or more of the following bodies:</w:t>
      </w:r>
    </w:p>
    <w:p w14:paraId="4A7A2584" w14:textId="77777777" w:rsidR="00BE371C" w:rsidRPr="008F6063" w:rsidRDefault="00BE371C" w:rsidP="000761F6">
      <w:pPr>
        <w:pStyle w:val="ListParagraph"/>
        <w:numPr>
          <w:ilvl w:val="0"/>
          <w:numId w:val="11"/>
        </w:numPr>
        <w:shd w:val="clear" w:color="auto" w:fill="FFFFFF"/>
        <w:rPr>
          <w:rFonts w:cs="Arial"/>
          <w:sz w:val="21"/>
          <w:szCs w:val="21"/>
          <w:lang w:val="en"/>
        </w:rPr>
      </w:pPr>
      <w:r w:rsidRPr="008F6063">
        <w:rPr>
          <w:rFonts w:cs="Arial"/>
          <w:sz w:val="21"/>
          <w:szCs w:val="21"/>
          <w:lang w:val="en"/>
        </w:rPr>
        <w:t>the EPA</w:t>
      </w:r>
    </w:p>
    <w:p w14:paraId="4A7A2585" w14:textId="77777777" w:rsidR="00BE371C" w:rsidRPr="008F6063" w:rsidRDefault="00BE371C" w:rsidP="000761F6">
      <w:pPr>
        <w:pStyle w:val="ListParagraph"/>
        <w:numPr>
          <w:ilvl w:val="0"/>
          <w:numId w:val="11"/>
        </w:numPr>
        <w:shd w:val="clear" w:color="auto" w:fill="FFFFFF"/>
        <w:spacing w:before="100" w:beforeAutospacing="1" w:after="300"/>
        <w:rPr>
          <w:rFonts w:cs="Arial"/>
          <w:sz w:val="21"/>
          <w:szCs w:val="21"/>
          <w:lang w:val="en"/>
        </w:rPr>
      </w:pPr>
      <w:r w:rsidRPr="008F6063">
        <w:rPr>
          <w:rFonts w:cs="Arial"/>
          <w:sz w:val="21"/>
          <w:szCs w:val="21"/>
          <w:lang w:val="en"/>
        </w:rPr>
        <w:t>Sustainability Victoria (SV)</w:t>
      </w:r>
    </w:p>
    <w:p w14:paraId="4A7A2586" w14:textId="77777777" w:rsidR="00BE371C" w:rsidRPr="008F6063" w:rsidRDefault="00BE371C" w:rsidP="000761F6">
      <w:pPr>
        <w:pStyle w:val="ListParagraph"/>
        <w:numPr>
          <w:ilvl w:val="0"/>
          <w:numId w:val="11"/>
        </w:numPr>
        <w:shd w:val="clear" w:color="auto" w:fill="FFFFFF"/>
        <w:spacing w:before="100" w:beforeAutospacing="1" w:after="300"/>
        <w:rPr>
          <w:rFonts w:cs="Arial"/>
          <w:sz w:val="21"/>
          <w:szCs w:val="21"/>
          <w:lang w:val="en"/>
        </w:rPr>
      </w:pPr>
      <w:r w:rsidRPr="008F6063">
        <w:rPr>
          <w:rFonts w:cs="Arial"/>
          <w:sz w:val="21"/>
          <w:szCs w:val="21"/>
          <w:lang w:val="en"/>
        </w:rPr>
        <w:t>a Waste and Resource Recovery Group</w:t>
      </w:r>
    </w:p>
    <w:p w14:paraId="4A7A2587" w14:textId="77777777" w:rsidR="00BE371C" w:rsidRPr="008F6063" w:rsidRDefault="00BE371C" w:rsidP="000761F6">
      <w:pPr>
        <w:pStyle w:val="ListParagraph"/>
        <w:numPr>
          <w:ilvl w:val="0"/>
          <w:numId w:val="11"/>
        </w:numPr>
        <w:shd w:val="clear" w:color="auto" w:fill="FFFFFF"/>
        <w:spacing w:before="100" w:beforeAutospacing="1" w:after="300"/>
        <w:rPr>
          <w:rFonts w:cs="Arial"/>
          <w:sz w:val="21"/>
          <w:szCs w:val="21"/>
          <w:lang w:val="en"/>
        </w:rPr>
      </w:pPr>
      <w:proofErr w:type="gramStart"/>
      <w:r w:rsidRPr="008F6063">
        <w:rPr>
          <w:rFonts w:cs="Arial"/>
          <w:sz w:val="21"/>
          <w:szCs w:val="21"/>
          <w:lang w:val="en"/>
        </w:rPr>
        <w:t>a</w:t>
      </w:r>
      <w:proofErr w:type="gramEnd"/>
      <w:r w:rsidRPr="008F6063">
        <w:rPr>
          <w:rFonts w:cs="Arial"/>
          <w:sz w:val="21"/>
          <w:szCs w:val="21"/>
          <w:lang w:val="en"/>
        </w:rPr>
        <w:t xml:space="preserve"> public entity or other body established for public purposes to be used for environment assessment, protection, restoration or improvement purposes.</w:t>
      </w:r>
    </w:p>
    <w:p w14:paraId="4A7A2588" w14:textId="77777777" w:rsidR="00BE371C" w:rsidRDefault="00BE371C" w:rsidP="00A92E63">
      <w:pPr>
        <w:shd w:val="clear" w:color="auto" w:fill="FFFFFF"/>
        <w:spacing w:after="300"/>
        <w:rPr>
          <w:rFonts w:cs="Arial"/>
          <w:sz w:val="21"/>
          <w:szCs w:val="21"/>
          <w:lang w:val="en"/>
        </w:rPr>
      </w:pPr>
      <w:r w:rsidRPr="008F6063">
        <w:rPr>
          <w:rFonts w:cs="Arial"/>
          <w:sz w:val="21"/>
          <w:szCs w:val="21"/>
          <w:lang w:val="en"/>
        </w:rPr>
        <w:t>The balance remaining in the Municipal and Industrial Landfill Levy Trust Account at the end of each quarter must be transferred into the Sustainability Fund Account</w:t>
      </w:r>
      <w:r w:rsidR="003F5DAF" w:rsidRPr="008F6063">
        <w:rPr>
          <w:rFonts w:cs="Arial"/>
          <w:sz w:val="21"/>
          <w:szCs w:val="21"/>
          <w:lang w:val="en"/>
        </w:rPr>
        <w:t>, also managed by DELWP</w:t>
      </w:r>
      <w:r w:rsidRPr="008F6063">
        <w:rPr>
          <w:rFonts w:cs="Arial"/>
          <w:sz w:val="21"/>
          <w:szCs w:val="21"/>
          <w:lang w:val="en"/>
        </w:rPr>
        <w:t>.</w:t>
      </w:r>
    </w:p>
    <w:p w14:paraId="4A7A2589" w14:textId="77777777" w:rsidR="00974A30" w:rsidRDefault="00974A30" w:rsidP="00A92E63">
      <w:pPr>
        <w:pStyle w:val="Heading2"/>
        <w:spacing w:before="0"/>
        <w:rPr>
          <w:sz w:val="21"/>
          <w:szCs w:val="21"/>
        </w:rPr>
      </w:pPr>
    </w:p>
    <w:p w14:paraId="4A7A258A" w14:textId="77777777" w:rsidR="00F53164" w:rsidRPr="00974A30" w:rsidRDefault="00F53164" w:rsidP="00A92E63">
      <w:pPr>
        <w:pStyle w:val="Heading2"/>
        <w:spacing w:before="0"/>
      </w:pPr>
      <w:r w:rsidRPr="00974A30">
        <w:t>Landfill levy rates</w:t>
      </w:r>
    </w:p>
    <w:p w14:paraId="4A7A258B" w14:textId="77777777" w:rsidR="00F53164" w:rsidRPr="008F6063" w:rsidRDefault="00F53164">
      <w:pPr>
        <w:rPr>
          <w:rFonts w:cs="Arial"/>
          <w:sz w:val="21"/>
          <w:szCs w:val="21"/>
        </w:rPr>
      </w:pPr>
    </w:p>
    <w:p w14:paraId="4A7A258C" w14:textId="77777777" w:rsidR="00255042" w:rsidRPr="008F6063" w:rsidRDefault="00F53164" w:rsidP="00255042">
      <w:pPr>
        <w:rPr>
          <w:rFonts w:cs="Arial"/>
          <w:sz w:val="21"/>
          <w:szCs w:val="21"/>
          <w:lang w:val="en"/>
        </w:rPr>
      </w:pPr>
      <w:r w:rsidRPr="008F6063">
        <w:rPr>
          <w:rFonts w:cs="Arial"/>
          <w:sz w:val="21"/>
          <w:szCs w:val="21"/>
        </w:rPr>
        <w:t xml:space="preserve">Section 50S of the </w:t>
      </w:r>
      <w:r w:rsidR="000269B1" w:rsidRPr="008F6063">
        <w:rPr>
          <w:rFonts w:cs="Arial"/>
          <w:sz w:val="21"/>
          <w:szCs w:val="21"/>
        </w:rPr>
        <w:t xml:space="preserve">Act </w:t>
      </w:r>
      <w:r w:rsidRPr="008F6063">
        <w:rPr>
          <w:rFonts w:cs="Arial"/>
          <w:sz w:val="21"/>
          <w:szCs w:val="21"/>
        </w:rPr>
        <w:t>sets out the landfill levy amount</w:t>
      </w:r>
      <w:r w:rsidR="0004446C" w:rsidRPr="008F6063">
        <w:rPr>
          <w:rFonts w:cs="Arial"/>
          <w:sz w:val="21"/>
          <w:szCs w:val="21"/>
        </w:rPr>
        <w:t>s</w:t>
      </w:r>
      <w:r w:rsidR="00F61DDE">
        <w:rPr>
          <w:rFonts w:cs="Arial"/>
          <w:sz w:val="21"/>
          <w:szCs w:val="21"/>
        </w:rPr>
        <w:t xml:space="preserve"> payable. F</w:t>
      </w:r>
      <w:r w:rsidRPr="008F6063">
        <w:rPr>
          <w:rFonts w:cs="Arial"/>
          <w:sz w:val="21"/>
          <w:szCs w:val="21"/>
        </w:rPr>
        <w:t>r</w:t>
      </w:r>
      <w:r w:rsidR="00F61DDE">
        <w:rPr>
          <w:rFonts w:cs="Arial"/>
          <w:sz w:val="21"/>
          <w:szCs w:val="21"/>
        </w:rPr>
        <w:t>om</w:t>
      </w:r>
      <w:r w:rsidRPr="008F6063">
        <w:rPr>
          <w:rFonts w:cs="Arial"/>
          <w:sz w:val="21"/>
          <w:szCs w:val="21"/>
        </w:rPr>
        <w:t xml:space="preserve"> </w:t>
      </w:r>
      <w:r w:rsidR="00255042" w:rsidRPr="008F6063">
        <w:rPr>
          <w:rFonts w:cs="Arial"/>
          <w:sz w:val="21"/>
          <w:szCs w:val="21"/>
        </w:rPr>
        <w:t>1 July 2015</w:t>
      </w:r>
      <w:r w:rsidR="004A4036" w:rsidRPr="008F6063">
        <w:rPr>
          <w:rFonts w:cs="Arial"/>
          <w:sz w:val="21"/>
          <w:szCs w:val="21"/>
        </w:rPr>
        <w:t xml:space="preserve"> onwards</w:t>
      </w:r>
      <w:r w:rsidR="00255042" w:rsidRPr="008F6063">
        <w:rPr>
          <w:rFonts w:cs="Arial"/>
          <w:sz w:val="21"/>
          <w:szCs w:val="21"/>
        </w:rPr>
        <w:t xml:space="preserve">, the amount of the levy payable </w:t>
      </w:r>
      <w:r w:rsidR="004A4036" w:rsidRPr="008F6063">
        <w:rPr>
          <w:rFonts w:cs="Arial"/>
          <w:sz w:val="21"/>
          <w:szCs w:val="21"/>
        </w:rPr>
        <w:t>has been</w:t>
      </w:r>
      <w:r w:rsidR="00255042" w:rsidRPr="008F6063">
        <w:rPr>
          <w:rFonts w:cs="Arial"/>
          <w:sz w:val="21"/>
          <w:szCs w:val="21"/>
        </w:rPr>
        <w:t xml:space="preserve"> specified in fee units</w:t>
      </w:r>
      <w:r w:rsidR="000269B1" w:rsidRPr="008F6063">
        <w:rPr>
          <w:rFonts w:cs="Arial"/>
          <w:sz w:val="21"/>
          <w:szCs w:val="21"/>
        </w:rPr>
        <w:t xml:space="preserve">. </w:t>
      </w:r>
      <w:r w:rsidRPr="008F6063">
        <w:rPr>
          <w:rFonts w:cs="Arial"/>
          <w:sz w:val="21"/>
          <w:szCs w:val="21"/>
          <w:lang w:val="en"/>
        </w:rPr>
        <w:t xml:space="preserve">The </w:t>
      </w:r>
      <w:hyperlink r:id="rId14" w:history="1">
        <w:r w:rsidRPr="00324A42">
          <w:rPr>
            <w:rStyle w:val="Hyperlink"/>
            <w:rFonts w:cs="Arial"/>
            <w:sz w:val="21"/>
            <w:szCs w:val="21"/>
            <w:lang w:val="en"/>
          </w:rPr>
          <w:t>value of fee units</w:t>
        </w:r>
      </w:hyperlink>
      <w:r w:rsidRPr="008F6063">
        <w:rPr>
          <w:rFonts w:cs="Arial"/>
          <w:sz w:val="21"/>
          <w:szCs w:val="21"/>
          <w:lang w:val="en"/>
        </w:rPr>
        <w:t xml:space="preserve"> is set by the Treasurer of Victoria for each financial year.</w:t>
      </w:r>
    </w:p>
    <w:p w14:paraId="4A7A258D" w14:textId="77777777" w:rsidR="00644B60" w:rsidRDefault="00644B60" w:rsidP="00255042">
      <w:pPr>
        <w:rPr>
          <w:rFonts w:cs="Arial"/>
          <w:sz w:val="21"/>
          <w:szCs w:val="21"/>
          <w:lang w:val="en"/>
        </w:rPr>
      </w:pPr>
    </w:p>
    <w:p w14:paraId="4A7A258E" w14:textId="77777777" w:rsidR="00324A42" w:rsidRPr="008F6063" w:rsidRDefault="00324A42" w:rsidP="00255042">
      <w:pPr>
        <w:rPr>
          <w:rFonts w:cs="Arial"/>
          <w:sz w:val="21"/>
          <w:szCs w:val="21"/>
          <w:lang w:val="e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59"/>
        <w:gridCol w:w="1976"/>
        <w:gridCol w:w="1934"/>
        <w:gridCol w:w="1811"/>
        <w:gridCol w:w="1788"/>
      </w:tblGrid>
      <w:tr w:rsidR="00434C7F" w:rsidRPr="000D09AE" w14:paraId="4A7A2591" w14:textId="77777777" w:rsidTr="00932CAE">
        <w:trPr>
          <w:tblHeader/>
          <w:tblCellSpacing w:w="15" w:type="dxa"/>
        </w:trPr>
        <w:tc>
          <w:tcPr>
            <w:tcW w:w="0" w:type="auto"/>
            <w:vMerge w:val="restart"/>
            <w:shd w:val="clear" w:color="auto" w:fill="00467F"/>
            <w:tcMar>
              <w:top w:w="150" w:type="dxa"/>
              <w:left w:w="225" w:type="dxa"/>
              <w:bottom w:w="150" w:type="dxa"/>
              <w:right w:w="225" w:type="dxa"/>
            </w:tcMar>
            <w:vAlign w:val="center"/>
            <w:hideMark/>
          </w:tcPr>
          <w:p w14:paraId="4A7A258F" w14:textId="77777777" w:rsidR="00434C7F" w:rsidRPr="000D09AE" w:rsidRDefault="00434C7F" w:rsidP="00932CAE">
            <w:pPr>
              <w:rPr>
                <w:rFonts w:asciiTheme="minorHAnsi" w:hAnsiTheme="minorHAnsi"/>
              </w:rPr>
            </w:pPr>
            <w:r w:rsidRPr="000D09AE">
              <w:rPr>
                <w:rFonts w:asciiTheme="minorHAnsi" w:hAnsiTheme="minorHAnsi" w:cs="Arial"/>
                <w:b/>
                <w:bCs/>
                <w:color w:val="FFFFFF"/>
              </w:rPr>
              <w:t>Date when waste is deposited</w:t>
            </w:r>
          </w:p>
        </w:tc>
        <w:tc>
          <w:tcPr>
            <w:tcW w:w="0" w:type="auto"/>
            <w:gridSpan w:val="4"/>
            <w:shd w:val="clear" w:color="auto" w:fill="00467F"/>
            <w:tcMar>
              <w:top w:w="150" w:type="dxa"/>
              <w:left w:w="225" w:type="dxa"/>
              <w:bottom w:w="150" w:type="dxa"/>
              <w:right w:w="225" w:type="dxa"/>
            </w:tcMar>
            <w:vAlign w:val="center"/>
            <w:hideMark/>
          </w:tcPr>
          <w:p w14:paraId="4A7A2590" w14:textId="77777777" w:rsidR="00434C7F" w:rsidRPr="000D09AE" w:rsidRDefault="00434C7F" w:rsidP="00932CAE">
            <w:pPr>
              <w:rPr>
                <w:rFonts w:asciiTheme="minorHAnsi" w:hAnsiTheme="minorHAnsi"/>
              </w:rPr>
            </w:pPr>
            <w:r w:rsidRPr="000D09AE">
              <w:rPr>
                <w:rFonts w:asciiTheme="minorHAnsi" w:hAnsiTheme="minorHAnsi" w:cs="Arial"/>
                <w:b/>
                <w:bCs/>
                <w:color w:val="FFFFFF"/>
              </w:rPr>
              <w:t>Amount payable for each tonne deposited</w:t>
            </w:r>
            <w:r w:rsidR="005E0DCF">
              <w:rPr>
                <w:rFonts w:asciiTheme="minorHAnsi" w:hAnsiTheme="minorHAnsi" w:cs="Arial"/>
                <w:b/>
                <w:bCs/>
                <w:color w:val="FFFFFF"/>
              </w:rPr>
              <w:t xml:space="preserve"> ($)</w:t>
            </w:r>
          </w:p>
        </w:tc>
      </w:tr>
      <w:tr w:rsidR="00434C7F" w:rsidRPr="000D09AE" w14:paraId="4A7A2595" w14:textId="77777777" w:rsidTr="00932CAE">
        <w:trPr>
          <w:tblHeader/>
          <w:tblCellSpacing w:w="15" w:type="dxa"/>
        </w:trPr>
        <w:tc>
          <w:tcPr>
            <w:tcW w:w="0" w:type="auto"/>
            <w:vMerge/>
            <w:vAlign w:val="center"/>
            <w:hideMark/>
          </w:tcPr>
          <w:p w14:paraId="4A7A2592" w14:textId="77777777" w:rsidR="00434C7F" w:rsidRPr="000D09AE" w:rsidRDefault="00434C7F" w:rsidP="00932CAE">
            <w:pPr>
              <w:rPr>
                <w:rFonts w:asciiTheme="minorHAnsi" w:hAnsiTheme="minorHAnsi"/>
              </w:rPr>
            </w:pPr>
          </w:p>
        </w:tc>
        <w:tc>
          <w:tcPr>
            <w:tcW w:w="0" w:type="auto"/>
            <w:gridSpan w:val="2"/>
            <w:tcMar>
              <w:top w:w="150" w:type="dxa"/>
              <w:left w:w="225" w:type="dxa"/>
              <w:bottom w:w="150" w:type="dxa"/>
              <w:right w:w="225" w:type="dxa"/>
            </w:tcMar>
            <w:vAlign w:val="center"/>
            <w:hideMark/>
          </w:tcPr>
          <w:p w14:paraId="4A7A2593" w14:textId="77777777" w:rsidR="00434C7F" w:rsidRPr="000D09AE" w:rsidRDefault="00434C7F" w:rsidP="00932CAE">
            <w:pPr>
              <w:rPr>
                <w:rFonts w:asciiTheme="minorHAnsi" w:hAnsiTheme="minorHAnsi"/>
              </w:rPr>
            </w:pPr>
            <w:r w:rsidRPr="000D09AE">
              <w:rPr>
                <w:rFonts w:asciiTheme="minorHAnsi" w:hAnsiTheme="minorHAnsi" w:cs="Arial"/>
                <w:b/>
                <w:bCs/>
              </w:rPr>
              <w:t>Schedule C (metro and provincial) premises</w:t>
            </w:r>
          </w:p>
        </w:tc>
        <w:tc>
          <w:tcPr>
            <w:tcW w:w="0" w:type="auto"/>
            <w:gridSpan w:val="2"/>
            <w:tcMar>
              <w:top w:w="150" w:type="dxa"/>
              <w:left w:w="225" w:type="dxa"/>
              <w:bottom w:w="150" w:type="dxa"/>
              <w:right w:w="225" w:type="dxa"/>
            </w:tcMar>
            <w:vAlign w:val="center"/>
            <w:hideMark/>
          </w:tcPr>
          <w:p w14:paraId="4A7A2594" w14:textId="77777777" w:rsidR="00434C7F" w:rsidRPr="000D09AE" w:rsidRDefault="00434C7F" w:rsidP="00932CAE">
            <w:pPr>
              <w:rPr>
                <w:rFonts w:asciiTheme="minorHAnsi" w:hAnsiTheme="minorHAnsi"/>
              </w:rPr>
            </w:pPr>
            <w:r w:rsidRPr="000D09AE">
              <w:rPr>
                <w:rFonts w:asciiTheme="minorHAnsi" w:hAnsiTheme="minorHAnsi" w:cs="Arial"/>
                <w:b/>
                <w:bCs/>
              </w:rPr>
              <w:t>Non-Schedule C (rural) premises</w:t>
            </w:r>
          </w:p>
        </w:tc>
      </w:tr>
      <w:tr w:rsidR="00434C7F" w:rsidRPr="000D09AE" w14:paraId="4A7A259B" w14:textId="77777777" w:rsidTr="00932CAE">
        <w:trPr>
          <w:tblHeader/>
          <w:tblCellSpacing w:w="15" w:type="dxa"/>
        </w:trPr>
        <w:tc>
          <w:tcPr>
            <w:tcW w:w="0" w:type="auto"/>
            <w:vMerge/>
            <w:vAlign w:val="center"/>
            <w:hideMark/>
          </w:tcPr>
          <w:p w14:paraId="4A7A2596" w14:textId="77777777" w:rsidR="00434C7F" w:rsidRPr="000D09AE" w:rsidRDefault="00434C7F" w:rsidP="00932CAE">
            <w:pPr>
              <w:rPr>
                <w:rFonts w:asciiTheme="minorHAnsi" w:hAnsiTheme="minorHAnsi"/>
              </w:rPr>
            </w:pPr>
          </w:p>
        </w:tc>
        <w:tc>
          <w:tcPr>
            <w:tcW w:w="0" w:type="auto"/>
            <w:tcMar>
              <w:top w:w="150" w:type="dxa"/>
              <w:left w:w="225" w:type="dxa"/>
              <w:bottom w:w="150" w:type="dxa"/>
              <w:right w:w="225" w:type="dxa"/>
            </w:tcMar>
            <w:vAlign w:val="center"/>
            <w:hideMark/>
          </w:tcPr>
          <w:p w14:paraId="4A7A2597" w14:textId="77777777" w:rsidR="00434C7F" w:rsidRPr="000D09AE" w:rsidRDefault="00434C7F" w:rsidP="00932CAE">
            <w:pPr>
              <w:rPr>
                <w:rFonts w:asciiTheme="minorHAnsi" w:hAnsiTheme="minorHAnsi"/>
              </w:rPr>
            </w:pPr>
            <w:r w:rsidRPr="000D09AE">
              <w:rPr>
                <w:rFonts w:asciiTheme="minorHAnsi" w:hAnsiTheme="minorHAnsi" w:cs="Arial"/>
                <w:b/>
                <w:bCs/>
              </w:rPr>
              <w:t>Municipal waste</w:t>
            </w:r>
          </w:p>
        </w:tc>
        <w:tc>
          <w:tcPr>
            <w:tcW w:w="0" w:type="auto"/>
            <w:tcMar>
              <w:top w:w="150" w:type="dxa"/>
              <w:left w:w="225" w:type="dxa"/>
              <w:bottom w:w="150" w:type="dxa"/>
              <w:right w:w="225" w:type="dxa"/>
            </w:tcMar>
            <w:vAlign w:val="center"/>
            <w:hideMark/>
          </w:tcPr>
          <w:p w14:paraId="4A7A2598" w14:textId="77777777" w:rsidR="00434C7F" w:rsidRPr="000D09AE" w:rsidRDefault="00434C7F" w:rsidP="00932CAE">
            <w:pPr>
              <w:rPr>
                <w:rFonts w:asciiTheme="minorHAnsi" w:hAnsiTheme="minorHAnsi"/>
              </w:rPr>
            </w:pPr>
            <w:r w:rsidRPr="000D09AE">
              <w:rPr>
                <w:rFonts w:asciiTheme="minorHAnsi" w:hAnsiTheme="minorHAnsi" w:cs="Arial"/>
                <w:b/>
                <w:bCs/>
              </w:rPr>
              <w:t>Industrial waste</w:t>
            </w:r>
          </w:p>
        </w:tc>
        <w:tc>
          <w:tcPr>
            <w:tcW w:w="0" w:type="auto"/>
            <w:tcMar>
              <w:top w:w="150" w:type="dxa"/>
              <w:left w:w="225" w:type="dxa"/>
              <w:bottom w:w="150" w:type="dxa"/>
              <w:right w:w="225" w:type="dxa"/>
            </w:tcMar>
            <w:vAlign w:val="center"/>
            <w:hideMark/>
          </w:tcPr>
          <w:p w14:paraId="4A7A2599" w14:textId="77777777" w:rsidR="00434C7F" w:rsidRPr="000D09AE" w:rsidRDefault="00434C7F" w:rsidP="00932CAE">
            <w:pPr>
              <w:rPr>
                <w:rFonts w:asciiTheme="minorHAnsi" w:hAnsiTheme="minorHAnsi"/>
              </w:rPr>
            </w:pPr>
            <w:r w:rsidRPr="000D09AE">
              <w:rPr>
                <w:rFonts w:asciiTheme="minorHAnsi" w:hAnsiTheme="minorHAnsi" w:cs="Arial"/>
                <w:b/>
                <w:bCs/>
              </w:rPr>
              <w:t>Municipal waste</w:t>
            </w:r>
          </w:p>
        </w:tc>
        <w:tc>
          <w:tcPr>
            <w:tcW w:w="0" w:type="auto"/>
            <w:tcMar>
              <w:top w:w="150" w:type="dxa"/>
              <w:left w:w="225" w:type="dxa"/>
              <w:bottom w:w="150" w:type="dxa"/>
              <w:right w:w="225" w:type="dxa"/>
            </w:tcMar>
            <w:vAlign w:val="center"/>
            <w:hideMark/>
          </w:tcPr>
          <w:p w14:paraId="4A7A259A" w14:textId="77777777" w:rsidR="00434C7F" w:rsidRPr="000D09AE" w:rsidRDefault="00434C7F" w:rsidP="00932CAE">
            <w:pPr>
              <w:rPr>
                <w:rFonts w:asciiTheme="minorHAnsi" w:hAnsiTheme="minorHAnsi"/>
              </w:rPr>
            </w:pPr>
            <w:r w:rsidRPr="000D09AE">
              <w:rPr>
                <w:rFonts w:asciiTheme="minorHAnsi" w:hAnsiTheme="minorHAnsi" w:cs="Arial"/>
                <w:b/>
                <w:bCs/>
              </w:rPr>
              <w:t>Industrial waste</w:t>
            </w:r>
          </w:p>
        </w:tc>
      </w:tr>
      <w:tr w:rsidR="00434C7F" w:rsidRPr="000D09AE" w14:paraId="4A7A25A5" w14:textId="77777777" w:rsidTr="00932CAE">
        <w:trPr>
          <w:tblCellSpacing w:w="15" w:type="dxa"/>
        </w:trPr>
        <w:tc>
          <w:tcPr>
            <w:tcW w:w="0" w:type="auto"/>
            <w:tcMar>
              <w:top w:w="150" w:type="dxa"/>
              <w:left w:w="225" w:type="dxa"/>
              <w:bottom w:w="150" w:type="dxa"/>
              <w:right w:w="225" w:type="dxa"/>
            </w:tcMar>
            <w:vAlign w:val="center"/>
            <w:hideMark/>
          </w:tcPr>
          <w:p w14:paraId="4A7A259C" w14:textId="77777777" w:rsidR="00434C7F" w:rsidRPr="000D09AE" w:rsidRDefault="00434C7F" w:rsidP="00932CAE">
            <w:pPr>
              <w:rPr>
                <w:rFonts w:asciiTheme="minorHAnsi" w:hAnsiTheme="minorHAnsi"/>
              </w:rPr>
            </w:pPr>
            <w:r w:rsidRPr="000D09AE">
              <w:rPr>
                <w:rFonts w:asciiTheme="minorHAnsi" w:hAnsiTheme="minorHAnsi" w:cs="Arial"/>
              </w:rPr>
              <w:t xml:space="preserve">1 July 2017 to 30 June </w:t>
            </w:r>
            <w:r w:rsidRPr="000D09AE">
              <w:rPr>
                <w:rFonts w:asciiTheme="minorHAnsi" w:hAnsiTheme="minorHAnsi" w:cs="Arial"/>
              </w:rPr>
              <w:lastRenderedPageBreak/>
              <w:t>2018</w:t>
            </w:r>
          </w:p>
        </w:tc>
        <w:tc>
          <w:tcPr>
            <w:tcW w:w="0" w:type="auto"/>
            <w:tcMar>
              <w:top w:w="150" w:type="dxa"/>
              <w:left w:w="225" w:type="dxa"/>
              <w:bottom w:w="150" w:type="dxa"/>
              <w:right w:w="225" w:type="dxa"/>
            </w:tcMar>
            <w:hideMark/>
          </w:tcPr>
          <w:p w14:paraId="4A7A259D" w14:textId="77777777" w:rsidR="00434C7F" w:rsidRPr="000D09AE" w:rsidRDefault="00434C7F" w:rsidP="00434C7F">
            <w:pPr>
              <w:rPr>
                <w:rFonts w:asciiTheme="minorHAnsi" w:hAnsiTheme="minorHAnsi" w:cs="Arial"/>
              </w:rPr>
            </w:pPr>
            <w:r w:rsidRPr="000D09AE">
              <w:rPr>
                <w:rFonts w:asciiTheme="minorHAnsi" w:hAnsiTheme="minorHAnsi" w:cs="Arial"/>
              </w:rPr>
              <w:lastRenderedPageBreak/>
              <w:t>63.28</w:t>
            </w:r>
          </w:p>
          <w:p w14:paraId="4A7A259E" w14:textId="77777777" w:rsidR="00434C7F" w:rsidRPr="000D09AE" w:rsidRDefault="00434C7F" w:rsidP="00434C7F">
            <w:pPr>
              <w:rPr>
                <w:rFonts w:asciiTheme="minorHAnsi" w:hAnsiTheme="minorHAnsi" w:cs="Arial"/>
              </w:rPr>
            </w:pPr>
            <w:r w:rsidRPr="000D09AE">
              <w:rPr>
                <w:rFonts w:asciiTheme="minorHAnsi" w:hAnsiTheme="minorHAnsi" w:cs="Arial"/>
              </w:rPr>
              <w:lastRenderedPageBreak/>
              <w:t>(4.45 fee units)</w:t>
            </w:r>
          </w:p>
        </w:tc>
        <w:tc>
          <w:tcPr>
            <w:tcW w:w="0" w:type="auto"/>
            <w:tcMar>
              <w:top w:w="150" w:type="dxa"/>
              <w:left w:w="225" w:type="dxa"/>
              <w:bottom w:w="150" w:type="dxa"/>
              <w:right w:w="225" w:type="dxa"/>
            </w:tcMar>
            <w:hideMark/>
          </w:tcPr>
          <w:p w14:paraId="4A7A259F" w14:textId="77777777" w:rsidR="00434C7F" w:rsidRPr="000D09AE" w:rsidRDefault="00434C7F" w:rsidP="00434C7F">
            <w:pPr>
              <w:rPr>
                <w:rFonts w:asciiTheme="minorHAnsi" w:hAnsiTheme="minorHAnsi" w:cs="Arial"/>
              </w:rPr>
            </w:pPr>
            <w:r w:rsidRPr="000D09AE">
              <w:rPr>
                <w:rFonts w:asciiTheme="minorHAnsi" w:hAnsiTheme="minorHAnsi" w:cs="Arial"/>
              </w:rPr>
              <w:lastRenderedPageBreak/>
              <w:t>63.28</w:t>
            </w:r>
          </w:p>
          <w:p w14:paraId="4A7A25A0" w14:textId="77777777" w:rsidR="00434C7F" w:rsidRPr="000D09AE" w:rsidRDefault="00434C7F" w:rsidP="00434C7F">
            <w:pPr>
              <w:rPr>
                <w:rFonts w:asciiTheme="minorHAnsi" w:hAnsiTheme="minorHAnsi" w:cs="Arial"/>
              </w:rPr>
            </w:pPr>
            <w:r w:rsidRPr="000D09AE">
              <w:rPr>
                <w:rFonts w:asciiTheme="minorHAnsi" w:hAnsiTheme="minorHAnsi" w:cs="Arial"/>
              </w:rPr>
              <w:lastRenderedPageBreak/>
              <w:t>(4.45 fee units)</w:t>
            </w:r>
          </w:p>
        </w:tc>
        <w:tc>
          <w:tcPr>
            <w:tcW w:w="0" w:type="auto"/>
            <w:tcMar>
              <w:top w:w="150" w:type="dxa"/>
              <w:left w:w="225" w:type="dxa"/>
              <w:bottom w:w="150" w:type="dxa"/>
              <w:right w:w="225" w:type="dxa"/>
            </w:tcMar>
            <w:hideMark/>
          </w:tcPr>
          <w:p w14:paraId="4A7A25A1" w14:textId="77777777" w:rsidR="00434C7F" w:rsidRPr="000D09AE" w:rsidRDefault="00434C7F" w:rsidP="00434C7F">
            <w:pPr>
              <w:rPr>
                <w:rFonts w:asciiTheme="minorHAnsi" w:hAnsiTheme="minorHAnsi" w:cs="Arial"/>
              </w:rPr>
            </w:pPr>
            <w:r w:rsidRPr="000D09AE">
              <w:rPr>
                <w:rFonts w:asciiTheme="minorHAnsi" w:hAnsiTheme="minorHAnsi" w:cs="Arial"/>
              </w:rPr>
              <w:lastRenderedPageBreak/>
              <w:t>31.71</w:t>
            </w:r>
          </w:p>
          <w:p w14:paraId="4A7A25A2" w14:textId="77777777" w:rsidR="00434C7F" w:rsidRPr="000D09AE" w:rsidRDefault="00434C7F" w:rsidP="00434C7F">
            <w:pPr>
              <w:rPr>
                <w:rFonts w:asciiTheme="minorHAnsi" w:hAnsiTheme="minorHAnsi"/>
              </w:rPr>
            </w:pPr>
            <w:r w:rsidRPr="000D09AE">
              <w:rPr>
                <w:rFonts w:asciiTheme="minorHAnsi" w:hAnsiTheme="minorHAnsi" w:cs="Arial"/>
              </w:rPr>
              <w:lastRenderedPageBreak/>
              <w:t>(2.23 fee units)</w:t>
            </w:r>
          </w:p>
        </w:tc>
        <w:tc>
          <w:tcPr>
            <w:tcW w:w="0" w:type="auto"/>
            <w:tcMar>
              <w:top w:w="150" w:type="dxa"/>
              <w:left w:w="225" w:type="dxa"/>
              <w:bottom w:w="150" w:type="dxa"/>
              <w:right w:w="225" w:type="dxa"/>
            </w:tcMar>
            <w:hideMark/>
          </w:tcPr>
          <w:p w14:paraId="4A7A25A3" w14:textId="77777777" w:rsidR="00434C7F" w:rsidRPr="000D09AE" w:rsidRDefault="00434C7F" w:rsidP="00932CAE">
            <w:pPr>
              <w:rPr>
                <w:rFonts w:asciiTheme="minorHAnsi" w:hAnsiTheme="minorHAnsi" w:cs="Arial"/>
              </w:rPr>
            </w:pPr>
            <w:r w:rsidRPr="000D09AE">
              <w:rPr>
                <w:rFonts w:asciiTheme="minorHAnsi" w:hAnsiTheme="minorHAnsi" w:cs="Arial"/>
              </w:rPr>
              <w:lastRenderedPageBreak/>
              <w:t>55.46</w:t>
            </w:r>
          </w:p>
          <w:p w14:paraId="4A7A25A4" w14:textId="77777777" w:rsidR="00434C7F" w:rsidRPr="000D09AE" w:rsidRDefault="00434C7F" w:rsidP="00932CAE">
            <w:pPr>
              <w:rPr>
                <w:rFonts w:asciiTheme="minorHAnsi" w:hAnsiTheme="minorHAnsi" w:cs="Arial"/>
              </w:rPr>
            </w:pPr>
            <w:r w:rsidRPr="000D09AE">
              <w:rPr>
                <w:rFonts w:asciiTheme="minorHAnsi" w:hAnsiTheme="minorHAnsi" w:cs="Arial"/>
              </w:rPr>
              <w:lastRenderedPageBreak/>
              <w:t>(3.90 fee units)</w:t>
            </w:r>
          </w:p>
        </w:tc>
      </w:tr>
      <w:tr w:rsidR="00434C7F" w:rsidRPr="000D09AE" w14:paraId="4A7A25AF" w14:textId="77777777" w:rsidTr="00932CAE">
        <w:trPr>
          <w:tblCellSpacing w:w="15" w:type="dxa"/>
        </w:trPr>
        <w:tc>
          <w:tcPr>
            <w:tcW w:w="0" w:type="auto"/>
            <w:tcMar>
              <w:top w:w="150" w:type="dxa"/>
              <w:left w:w="225" w:type="dxa"/>
              <w:bottom w:w="150" w:type="dxa"/>
              <w:right w:w="225" w:type="dxa"/>
            </w:tcMar>
            <w:vAlign w:val="center"/>
          </w:tcPr>
          <w:p w14:paraId="4A7A25A6" w14:textId="77777777" w:rsidR="00434C7F" w:rsidRPr="000D09AE" w:rsidRDefault="00434C7F" w:rsidP="00932CAE">
            <w:pPr>
              <w:rPr>
                <w:rFonts w:asciiTheme="minorHAnsi" w:hAnsiTheme="minorHAnsi" w:cs="Arial"/>
              </w:rPr>
            </w:pPr>
            <w:r w:rsidRPr="000D09AE">
              <w:rPr>
                <w:rFonts w:asciiTheme="minorHAnsi" w:hAnsiTheme="minorHAnsi" w:cs="Arial"/>
              </w:rPr>
              <w:lastRenderedPageBreak/>
              <w:t>1 July 2016 to 30 June 2017</w:t>
            </w:r>
          </w:p>
        </w:tc>
        <w:tc>
          <w:tcPr>
            <w:tcW w:w="0" w:type="auto"/>
            <w:tcMar>
              <w:top w:w="150" w:type="dxa"/>
              <w:left w:w="225" w:type="dxa"/>
              <w:bottom w:w="150" w:type="dxa"/>
              <w:right w:w="225" w:type="dxa"/>
            </w:tcMar>
          </w:tcPr>
          <w:p w14:paraId="4A7A25A7" w14:textId="77777777" w:rsidR="00434C7F" w:rsidRPr="000D09AE" w:rsidRDefault="00434C7F" w:rsidP="00932CAE">
            <w:pPr>
              <w:rPr>
                <w:rFonts w:asciiTheme="minorHAnsi" w:hAnsiTheme="minorHAnsi" w:cs="Arial"/>
              </w:rPr>
            </w:pPr>
            <w:r w:rsidRPr="000D09AE">
              <w:rPr>
                <w:rFonts w:asciiTheme="minorHAnsi" w:hAnsiTheme="minorHAnsi" w:cs="Arial"/>
              </w:rPr>
              <w:t>62.03</w:t>
            </w:r>
          </w:p>
          <w:p w14:paraId="4A7A25A8" w14:textId="77777777" w:rsidR="00434C7F" w:rsidRPr="000D09AE" w:rsidRDefault="00434C7F" w:rsidP="00932CAE">
            <w:pPr>
              <w:rPr>
                <w:rFonts w:asciiTheme="minorHAnsi" w:hAnsiTheme="minorHAnsi" w:cs="Arial"/>
              </w:rPr>
            </w:pPr>
            <w:r w:rsidRPr="000D09AE">
              <w:rPr>
                <w:rFonts w:asciiTheme="minorHAnsi" w:hAnsiTheme="minorHAnsi" w:cs="Arial"/>
              </w:rPr>
              <w:t>(4.45 fee units)</w:t>
            </w:r>
          </w:p>
        </w:tc>
        <w:tc>
          <w:tcPr>
            <w:tcW w:w="0" w:type="auto"/>
            <w:tcMar>
              <w:top w:w="150" w:type="dxa"/>
              <w:left w:w="225" w:type="dxa"/>
              <w:bottom w:w="150" w:type="dxa"/>
              <w:right w:w="225" w:type="dxa"/>
            </w:tcMar>
          </w:tcPr>
          <w:p w14:paraId="4A7A25A9" w14:textId="77777777" w:rsidR="00434C7F" w:rsidRPr="000D09AE" w:rsidRDefault="00434C7F" w:rsidP="00932CAE">
            <w:pPr>
              <w:rPr>
                <w:rFonts w:asciiTheme="minorHAnsi" w:hAnsiTheme="minorHAnsi" w:cs="Arial"/>
              </w:rPr>
            </w:pPr>
            <w:r w:rsidRPr="000D09AE">
              <w:rPr>
                <w:rFonts w:asciiTheme="minorHAnsi" w:hAnsiTheme="minorHAnsi" w:cs="Arial"/>
              </w:rPr>
              <w:t>62.03</w:t>
            </w:r>
          </w:p>
          <w:p w14:paraId="4A7A25AA" w14:textId="77777777" w:rsidR="00434C7F" w:rsidRPr="000D09AE" w:rsidRDefault="00434C7F" w:rsidP="00932CAE">
            <w:pPr>
              <w:rPr>
                <w:rFonts w:asciiTheme="minorHAnsi" w:hAnsiTheme="minorHAnsi" w:cs="Arial"/>
              </w:rPr>
            </w:pPr>
            <w:r w:rsidRPr="000D09AE">
              <w:rPr>
                <w:rFonts w:asciiTheme="minorHAnsi" w:hAnsiTheme="minorHAnsi" w:cs="Arial"/>
              </w:rPr>
              <w:t>(4.45 fee units)</w:t>
            </w:r>
          </w:p>
        </w:tc>
        <w:tc>
          <w:tcPr>
            <w:tcW w:w="0" w:type="auto"/>
            <w:tcMar>
              <w:top w:w="150" w:type="dxa"/>
              <w:left w:w="225" w:type="dxa"/>
              <w:bottom w:w="150" w:type="dxa"/>
              <w:right w:w="225" w:type="dxa"/>
            </w:tcMar>
          </w:tcPr>
          <w:p w14:paraId="4A7A25AB" w14:textId="77777777" w:rsidR="00434C7F" w:rsidRPr="000D09AE" w:rsidRDefault="00434C7F" w:rsidP="00932CAE">
            <w:pPr>
              <w:rPr>
                <w:rFonts w:asciiTheme="minorHAnsi" w:hAnsiTheme="minorHAnsi" w:cs="Arial"/>
              </w:rPr>
            </w:pPr>
            <w:r w:rsidRPr="000D09AE">
              <w:rPr>
                <w:rFonts w:asciiTheme="minorHAnsi" w:hAnsiTheme="minorHAnsi" w:cs="Arial"/>
              </w:rPr>
              <w:t>31.09</w:t>
            </w:r>
          </w:p>
          <w:p w14:paraId="4A7A25AC" w14:textId="77777777" w:rsidR="00434C7F" w:rsidRPr="000D09AE" w:rsidRDefault="00434C7F" w:rsidP="00932CAE">
            <w:pPr>
              <w:rPr>
                <w:rFonts w:asciiTheme="minorHAnsi" w:hAnsiTheme="minorHAnsi" w:cs="Arial"/>
              </w:rPr>
            </w:pPr>
            <w:r w:rsidRPr="000D09AE">
              <w:rPr>
                <w:rFonts w:asciiTheme="minorHAnsi" w:hAnsiTheme="minorHAnsi" w:cs="Arial"/>
              </w:rPr>
              <w:t>(2.23 fee units)</w:t>
            </w:r>
          </w:p>
        </w:tc>
        <w:tc>
          <w:tcPr>
            <w:tcW w:w="0" w:type="auto"/>
            <w:tcMar>
              <w:top w:w="150" w:type="dxa"/>
              <w:left w:w="225" w:type="dxa"/>
              <w:bottom w:w="150" w:type="dxa"/>
              <w:right w:w="225" w:type="dxa"/>
            </w:tcMar>
          </w:tcPr>
          <w:p w14:paraId="4A7A25AD" w14:textId="77777777" w:rsidR="00434C7F" w:rsidRPr="000D09AE" w:rsidRDefault="00434C7F" w:rsidP="00932CAE">
            <w:pPr>
              <w:rPr>
                <w:rFonts w:asciiTheme="minorHAnsi" w:hAnsiTheme="minorHAnsi" w:cs="Arial"/>
              </w:rPr>
            </w:pPr>
            <w:r w:rsidRPr="000D09AE">
              <w:rPr>
                <w:rFonts w:asciiTheme="minorHAnsi" w:hAnsiTheme="minorHAnsi" w:cs="Arial"/>
              </w:rPr>
              <w:t>54.37</w:t>
            </w:r>
          </w:p>
          <w:p w14:paraId="4A7A25AE" w14:textId="77777777" w:rsidR="00434C7F" w:rsidRPr="000D09AE" w:rsidRDefault="00434C7F" w:rsidP="00932CAE">
            <w:pPr>
              <w:rPr>
                <w:rFonts w:asciiTheme="minorHAnsi" w:hAnsiTheme="minorHAnsi" w:cs="Arial"/>
              </w:rPr>
            </w:pPr>
            <w:r w:rsidRPr="000D09AE">
              <w:rPr>
                <w:rFonts w:asciiTheme="minorHAnsi" w:hAnsiTheme="minorHAnsi" w:cs="Arial"/>
              </w:rPr>
              <w:t>(3.90 fee units)</w:t>
            </w:r>
          </w:p>
        </w:tc>
      </w:tr>
      <w:tr w:rsidR="00434C7F" w:rsidRPr="000D09AE" w14:paraId="4A7A25B9" w14:textId="77777777" w:rsidTr="00932CAE">
        <w:trPr>
          <w:tblCellSpacing w:w="15" w:type="dxa"/>
        </w:trPr>
        <w:tc>
          <w:tcPr>
            <w:tcW w:w="0" w:type="auto"/>
            <w:tcMar>
              <w:top w:w="150" w:type="dxa"/>
              <w:left w:w="225" w:type="dxa"/>
              <w:bottom w:w="150" w:type="dxa"/>
              <w:right w:w="225" w:type="dxa"/>
            </w:tcMar>
            <w:vAlign w:val="center"/>
          </w:tcPr>
          <w:p w14:paraId="4A7A25B0" w14:textId="77777777" w:rsidR="00434C7F" w:rsidRPr="000D09AE" w:rsidRDefault="00434C7F" w:rsidP="00932CAE">
            <w:pPr>
              <w:rPr>
                <w:rFonts w:asciiTheme="minorHAnsi" w:hAnsiTheme="minorHAnsi"/>
              </w:rPr>
            </w:pPr>
            <w:r w:rsidRPr="000D09AE">
              <w:rPr>
                <w:rFonts w:asciiTheme="minorHAnsi" w:hAnsiTheme="minorHAnsi" w:cs="Arial"/>
              </w:rPr>
              <w:t>1 July 2015 to 30 June 2016</w:t>
            </w:r>
          </w:p>
        </w:tc>
        <w:tc>
          <w:tcPr>
            <w:tcW w:w="0" w:type="auto"/>
            <w:tcMar>
              <w:top w:w="150" w:type="dxa"/>
              <w:left w:w="225" w:type="dxa"/>
              <w:bottom w:w="150" w:type="dxa"/>
              <w:right w:w="225" w:type="dxa"/>
            </w:tcMar>
          </w:tcPr>
          <w:p w14:paraId="4A7A25B1" w14:textId="77777777" w:rsidR="00434C7F" w:rsidRPr="000D09AE" w:rsidRDefault="00434C7F" w:rsidP="00932CAE">
            <w:pPr>
              <w:rPr>
                <w:rFonts w:asciiTheme="minorHAnsi" w:hAnsiTheme="minorHAnsi" w:cs="Arial"/>
              </w:rPr>
            </w:pPr>
            <w:r w:rsidRPr="000D09AE">
              <w:rPr>
                <w:rFonts w:asciiTheme="minorHAnsi" w:hAnsiTheme="minorHAnsi" w:cs="Arial"/>
              </w:rPr>
              <w:t>60.52</w:t>
            </w:r>
          </w:p>
          <w:p w14:paraId="4A7A25B2" w14:textId="77777777" w:rsidR="00434C7F" w:rsidRPr="000D09AE" w:rsidRDefault="00434C7F" w:rsidP="00932CAE">
            <w:pPr>
              <w:rPr>
                <w:rFonts w:asciiTheme="minorHAnsi" w:hAnsiTheme="minorHAnsi" w:cs="Arial"/>
              </w:rPr>
            </w:pPr>
            <w:r w:rsidRPr="000D09AE">
              <w:rPr>
                <w:rFonts w:asciiTheme="minorHAnsi" w:hAnsiTheme="minorHAnsi" w:cs="Arial"/>
              </w:rPr>
              <w:t>(4.45 fee units)</w:t>
            </w:r>
          </w:p>
        </w:tc>
        <w:tc>
          <w:tcPr>
            <w:tcW w:w="0" w:type="auto"/>
            <w:tcMar>
              <w:top w:w="150" w:type="dxa"/>
              <w:left w:w="225" w:type="dxa"/>
              <w:bottom w:w="150" w:type="dxa"/>
              <w:right w:w="225" w:type="dxa"/>
            </w:tcMar>
          </w:tcPr>
          <w:p w14:paraId="4A7A25B3" w14:textId="77777777" w:rsidR="00434C7F" w:rsidRPr="000D09AE" w:rsidRDefault="00434C7F" w:rsidP="00932CAE">
            <w:pPr>
              <w:rPr>
                <w:rFonts w:asciiTheme="minorHAnsi" w:hAnsiTheme="minorHAnsi" w:cs="Arial"/>
              </w:rPr>
            </w:pPr>
            <w:r w:rsidRPr="000D09AE">
              <w:rPr>
                <w:rFonts w:asciiTheme="minorHAnsi" w:hAnsiTheme="minorHAnsi" w:cs="Arial"/>
              </w:rPr>
              <w:t>60.52</w:t>
            </w:r>
          </w:p>
          <w:p w14:paraId="4A7A25B4" w14:textId="77777777" w:rsidR="00434C7F" w:rsidRPr="000D09AE" w:rsidRDefault="00434C7F" w:rsidP="00932CAE">
            <w:pPr>
              <w:rPr>
                <w:rFonts w:asciiTheme="minorHAnsi" w:hAnsiTheme="minorHAnsi" w:cs="Arial"/>
              </w:rPr>
            </w:pPr>
            <w:r w:rsidRPr="000D09AE">
              <w:rPr>
                <w:rFonts w:asciiTheme="minorHAnsi" w:hAnsiTheme="minorHAnsi" w:cs="Arial"/>
              </w:rPr>
              <w:t>(4.45 fee units)</w:t>
            </w:r>
          </w:p>
        </w:tc>
        <w:tc>
          <w:tcPr>
            <w:tcW w:w="0" w:type="auto"/>
            <w:tcMar>
              <w:top w:w="150" w:type="dxa"/>
              <w:left w:w="225" w:type="dxa"/>
              <w:bottom w:w="150" w:type="dxa"/>
              <w:right w:w="225" w:type="dxa"/>
            </w:tcMar>
          </w:tcPr>
          <w:p w14:paraId="4A7A25B5" w14:textId="77777777" w:rsidR="00434C7F" w:rsidRPr="000D09AE" w:rsidRDefault="00434C7F" w:rsidP="00932CAE">
            <w:pPr>
              <w:rPr>
                <w:rFonts w:asciiTheme="minorHAnsi" w:hAnsiTheme="minorHAnsi" w:cs="Arial"/>
              </w:rPr>
            </w:pPr>
            <w:r w:rsidRPr="000D09AE">
              <w:rPr>
                <w:rFonts w:asciiTheme="minorHAnsi" w:hAnsiTheme="minorHAnsi" w:cs="Arial"/>
              </w:rPr>
              <w:t>30.33</w:t>
            </w:r>
          </w:p>
          <w:p w14:paraId="4A7A25B6" w14:textId="77777777" w:rsidR="00434C7F" w:rsidRPr="000D09AE" w:rsidRDefault="00434C7F" w:rsidP="00932CAE">
            <w:pPr>
              <w:rPr>
                <w:rFonts w:asciiTheme="minorHAnsi" w:hAnsiTheme="minorHAnsi"/>
              </w:rPr>
            </w:pPr>
            <w:r w:rsidRPr="000D09AE">
              <w:rPr>
                <w:rFonts w:asciiTheme="minorHAnsi" w:hAnsiTheme="minorHAnsi" w:cs="Arial"/>
              </w:rPr>
              <w:t>(2.23 fee units)</w:t>
            </w:r>
          </w:p>
        </w:tc>
        <w:tc>
          <w:tcPr>
            <w:tcW w:w="0" w:type="auto"/>
            <w:tcMar>
              <w:top w:w="150" w:type="dxa"/>
              <w:left w:w="225" w:type="dxa"/>
              <w:bottom w:w="150" w:type="dxa"/>
              <w:right w:w="225" w:type="dxa"/>
            </w:tcMar>
          </w:tcPr>
          <w:p w14:paraId="4A7A25B7" w14:textId="77777777" w:rsidR="00434C7F" w:rsidRPr="000D09AE" w:rsidRDefault="00434C7F" w:rsidP="00932CAE">
            <w:pPr>
              <w:rPr>
                <w:rFonts w:asciiTheme="minorHAnsi" w:hAnsiTheme="minorHAnsi" w:cs="Arial"/>
              </w:rPr>
            </w:pPr>
            <w:r w:rsidRPr="000D09AE">
              <w:rPr>
                <w:rFonts w:asciiTheme="minorHAnsi" w:hAnsiTheme="minorHAnsi" w:cs="Arial"/>
              </w:rPr>
              <w:t>53.04</w:t>
            </w:r>
          </w:p>
          <w:p w14:paraId="4A7A25B8" w14:textId="77777777" w:rsidR="00434C7F" w:rsidRPr="000D09AE" w:rsidRDefault="00434C7F" w:rsidP="00932CAE">
            <w:pPr>
              <w:rPr>
                <w:rFonts w:asciiTheme="minorHAnsi" w:hAnsiTheme="minorHAnsi"/>
              </w:rPr>
            </w:pPr>
            <w:r w:rsidRPr="000D09AE">
              <w:rPr>
                <w:rFonts w:asciiTheme="minorHAnsi" w:hAnsiTheme="minorHAnsi" w:cs="Arial"/>
              </w:rPr>
              <w:t>(3.90 fee units)</w:t>
            </w:r>
          </w:p>
        </w:tc>
      </w:tr>
    </w:tbl>
    <w:p w14:paraId="4A7A25BA" w14:textId="77777777" w:rsidR="00974A30" w:rsidRDefault="00974A30" w:rsidP="009231A2">
      <w:pPr>
        <w:rPr>
          <w:rFonts w:asciiTheme="minorHAnsi" w:hAnsiTheme="minorHAnsi"/>
        </w:rPr>
      </w:pPr>
    </w:p>
    <w:p w14:paraId="4A7A25BB" w14:textId="77777777" w:rsidR="00974A30" w:rsidRDefault="00974A30" w:rsidP="009231A2">
      <w:pPr>
        <w:rPr>
          <w:rFonts w:asciiTheme="minorHAnsi" w:hAnsiTheme="minorHAnsi"/>
        </w:rPr>
      </w:pPr>
    </w:p>
    <w:p w14:paraId="4A7A25BC" w14:textId="77777777" w:rsidR="00974A30" w:rsidRDefault="00974A30" w:rsidP="00524B0D">
      <w:pPr>
        <w:pStyle w:val="Heading2"/>
        <w:spacing w:before="0"/>
        <w:ind w:left="-284"/>
      </w:pPr>
      <w:r>
        <w:t>Forecast landfill levy revenue</w:t>
      </w:r>
    </w:p>
    <w:p w14:paraId="4A7A25BD" w14:textId="77777777" w:rsidR="00974A30" w:rsidRDefault="00974A30" w:rsidP="00974A30">
      <w:pPr>
        <w:ind w:left="-284"/>
        <w:rPr>
          <w:rFonts w:cs="Arial"/>
          <w:sz w:val="21"/>
          <w:szCs w:val="21"/>
        </w:rPr>
      </w:pPr>
    </w:p>
    <w:p w14:paraId="4A7A25BE" w14:textId="77777777" w:rsidR="009231A2" w:rsidRDefault="009231A2" w:rsidP="00974A30">
      <w:pPr>
        <w:ind w:left="-284"/>
        <w:rPr>
          <w:rFonts w:cs="Arial"/>
          <w:sz w:val="21"/>
          <w:szCs w:val="21"/>
        </w:rPr>
      </w:pPr>
      <w:r w:rsidRPr="008F6063">
        <w:rPr>
          <w:rFonts w:cs="Arial"/>
          <w:sz w:val="21"/>
          <w:szCs w:val="21"/>
        </w:rPr>
        <w:t>The 2017-18 State budget papers include the following income estimates for the landfill levy:</w:t>
      </w:r>
    </w:p>
    <w:p w14:paraId="4A7A25BF" w14:textId="77777777" w:rsidR="007A5960" w:rsidRPr="008F6063" w:rsidRDefault="007A5960" w:rsidP="009231A2">
      <w:pPr>
        <w:rPr>
          <w:rFonts w:cs="Arial"/>
          <w:sz w:val="21"/>
          <w:szCs w:val="21"/>
        </w:rPr>
      </w:pPr>
    </w:p>
    <w:p w14:paraId="4A7A25C0" w14:textId="77777777" w:rsidR="009231A2" w:rsidRPr="000D09AE" w:rsidRDefault="009231A2" w:rsidP="007A5960">
      <w:pPr>
        <w:ind w:left="6196" w:firstLine="1004"/>
        <w:jc w:val="center"/>
        <w:rPr>
          <w:rFonts w:asciiTheme="minorHAnsi" w:hAnsiTheme="minorHAnsi"/>
        </w:rPr>
      </w:pPr>
      <w:r w:rsidRPr="000D09AE">
        <w:rPr>
          <w:rFonts w:asciiTheme="minorHAnsi" w:hAnsiTheme="minorHAnsi"/>
        </w:rPr>
        <w:t>($ million)</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9231A2" w:rsidRPr="00932CAE" w14:paraId="4A7A25C7" w14:textId="77777777" w:rsidTr="00925944">
        <w:trPr>
          <w:trHeight w:val="652"/>
        </w:trPr>
        <w:tc>
          <w:tcPr>
            <w:tcW w:w="1540" w:type="dxa"/>
            <w:shd w:val="clear" w:color="auto" w:fill="C6D9F1" w:themeFill="text2" w:themeFillTint="33"/>
          </w:tcPr>
          <w:p w14:paraId="4A7A25C1" w14:textId="77777777" w:rsidR="009231A2" w:rsidRPr="00932CAE" w:rsidRDefault="009231A2" w:rsidP="00925944">
            <w:pPr>
              <w:ind w:left="-284"/>
              <w:rPr>
                <w:rFonts w:asciiTheme="minorHAnsi" w:hAnsiTheme="minorHAnsi"/>
                <w:b/>
              </w:rPr>
            </w:pPr>
          </w:p>
        </w:tc>
        <w:tc>
          <w:tcPr>
            <w:tcW w:w="1540" w:type="dxa"/>
            <w:shd w:val="clear" w:color="auto" w:fill="C6D9F1" w:themeFill="text2" w:themeFillTint="33"/>
          </w:tcPr>
          <w:p w14:paraId="4A7A25C2" w14:textId="77777777" w:rsidR="009231A2" w:rsidRPr="00932CAE" w:rsidRDefault="009231A2" w:rsidP="00925944">
            <w:pPr>
              <w:rPr>
                <w:rFonts w:asciiTheme="minorHAnsi" w:hAnsiTheme="minorHAnsi"/>
                <w:b/>
              </w:rPr>
            </w:pPr>
            <w:r w:rsidRPr="00932CAE">
              <w:rPr>
                <w:rFonts w:asciiTheme="minorHAnsi" w:hAnsiTheme="minorHAnsi"/>
                <w:b/>
              </w:rPr>
              <w:t>2016-17 revised</w:t>
            </w:r>
          </w:p>
        </w:tc>
        <w:tc>
          <w:tcPr>
            <w:tcW w:w="1540" w:type="dxa"/>
            <w:shd w:val="clear" w:color="auto" w:fill="C6D9F1" w:themeFill="text2" w:themeFillTint="33"/>
          </w:tcPr>
          <w:p w14:paraId="4A7A25C3" w14:textId="77777777" w:rsidR="009231A2" w:rsidRPr="00932CAE" w:rsidRDefault="009231A2" w:rsidP="00925944">
            <w:pPr>
              <w:rPr>
                <w:rFonts w:asciiTheme="minorHAnsi" w:hAnsiTheme="minorHAnsi"/>
                <w:b/>
              </w:rPr>
            </w:pPr>
            <w:r w:rsidRPr="00932CAE">
              <w:rPr>
                <w:rFonts w:asciiTheme="minorHAnsi" w:hAnsiTheme="minorHAnsi"/>
                <w:b/>
              </w:rPr>
              <w:t>2017-18 budget</w:t>
            </w:r>
          </w:p>
        </w:tc>
        <w:tc>
          <w:tcPr>
            <w:tcW w:w="1540" w:type="dxa"/>
            <w:shd w:val="clear" w:color="auto" w:fill="C6D9F1" w:themeFill="text2" w:themeFillTint="33"/>
          </w:tcPr>
          <w:p w14:paraId="4A7A25C4" w14:textId="77777777" w:rsidR="009231A2" w:rsidRPr="00932CAE" w:rsidRDefault="009231A2" w:rsidP="00925944">
            <w:pPr>
              <w:rPr>
                <w:rFonts w:asciiTheme="minorHAnsi" w:hAnsiTheme="minorHAnsi"/>
                <w:b/>
              </w:rPr>
            </w:pPr>
            <w:r w:rsidRPr="00932CAE">
              <w:rPr>
                <w:rFonts w:asciiTheme="minorHAnsi" w:hAnsiTheme="minorHAnsi"/>
                <w:b/>
              </w:rPr>
              <w:t>2018-19 estimate</w:t>
            </w:r>
          </w:p>
        </w:tc>
        <w:tc>
          <w:tcPr>
            <w:tcW w:w="1541" w:type="dxa"/>
            <w:shd w:val="clear" w:color="auto" w:fill="C6D9F1" w:themeFill="text2" w:themeFillTint="33"/>
          </w:tcPr>
          <w:p w14:paraId="4A7A25C5" w14:textId="77777777" w:rsidR="009231A2" w:rsidRPr="00932CAE" w:rsidRDefault="009231A2" w:rsidP="00925944">
            <w:pPr>
              <w:rPr>
                <w:rFonts w:asciiTheme="minorHAnsi" w:hAnsiTheme="minorHAnsi"/>
                <w:b/>
              </w:rPr>
            </w:pPr>
            <w:r w:rsidRPr="00932CAE">
              <w:rPr>
                <w:rFonts w:asciiTheme="minorHAnsi" w:hAnsiTheme="minorHAnsi"/>
                <w:b/>
              </w:rPr>
              <w:t>2019-20 estimate</w:t>
            </w:r>
          </w:p>
        </w:tc>
        <w:tc>
          <w:tcPr>
            <w:tcW w:w="1541" w:type="dxa"/>
            <w:shd w:val="clear" w:color="auto" w:fill="C6D9F1" w:themeFill="text2" w:themeFillTint="33"/>
          </w:tcPr>
          <w:p w14:paraId="4A7A25C6" w14:textId="77777777" w:rsidR="009231A2" w:rsidRPr="00932CAE" w:rsidRDefault="009231A2" w:rsidP="00925944">
            <w:pPr>
              <w:rPr>
                <w:rFonts w:asciiTheme="minorHAnsi" w:hAnsiTheme="minorHAnsi"/>
                <w:b/>
              </w:rPr>
            </w:pPr>
            <w:r w:rsidRPr="00932CAE">
              <w:rPr>
                <w:rFonts w:asciiTheme="minorHAnsi" w:hAnsiTheme="minorHAnsi"/>
                <w:b/>
              </w:rPr>
              <w:t>2020-21 estimate</w:t>
            </w:r>
          </w:p>
        </w:tc>
      </w:tr>
      <w:tr w:rsidR="009231A2" w:rsidRPr="000D09AE" w14:paraId="4A7A25D5" w14:textId="77777777" w:rsidTr="00925944">
        <w:tc>
          <w:tcPr>
            <w:tcW w:w="1540" w:type="dxa"/>
          </w:tcPr>
          <w:p w14:paraId="4A7A25C8" w14:textId="77777777" w:rsidR="00562DFD" w:rsidRDefault="00562DFD" w:rsidP="00925944">
            <w:pPr>
              <w:rPr>
                <w:rFonts w:asciiTheme="minorHAnsi" w:hAnsiTheme="minorHAnsi"/>
              </w:rPr>
            </w:pPr>
          </w:p>
          <w:p w14:paraId="4A7A25C9" w14:textId="77777777" w:rsidR="009231A2" w:rsidRDefault="009231A2" w:rsidP="00925944">
            <w:pPr>
              <w:rPr>
                <w:rFonts w:asciiTheme="minorHAnsi" w:hAnsiTheme="minorHAnsi"/>
              </w:rPr>
            </w:pPr>
            <w:r w:rsidRPr="000D09AE">
              <w:rPr>
                <w:rFonts w:asciiTheme="minorHAnsi" w:hAnsiTheme="minorHAnsi"/>
              </w:rPr>
              <w:t>Landfill levy</w:t>
            </w:r>
          </w:p>
          <w:p w14:paraId="4A7A25CA" w14:textId="77777777" w:rsidR="009231A2" w:rsidRPr="000D09AE" w:rsidRDefault="009231A2" w:rsidP="00925944">
            <w:pPr>
              <w:rPr>
                <w:rFonts w:asciiTheme="minorHAnsi" w:hAnsiTheme="minorHAnsi"/>
              </w:rPr>
            </w:pPr>
          </w:p>
        </w:tc>
        <w:tc>
          <w:tcPr>
            <w:tcW w:w="1540" w:type="dxa"/>
          </w:tcPr>
          <w:p w14:paraId="4A7A25CB" w14:textId="77777777" w:rsidR="00562DFD" w:rsidRDefault="00562DFD" w:rsidP="00925944">
            <w:pPr>
              <w:rPr>
                <w:rFonts w:asciiTheme="minorHAnsi" w:hAnsiTheme="minorHAnsi"/>
              </w:rPr>
            </w:pPr>
          </w:p>
          <w:p w14:paraId="4A7A25CC" w14:textId="77777777" w:rsidR="009231A2" w:rsidRPr="000D09AE" w:rsidRDefault="009231A2" w:rsidP="00925944">
            <w:pPr>
              <w:rPr>
                <w:rFonts w:asciiTheme="minorHAnsi" w:hAnsiTheme="minorHAnsi"/>
              </w:rPr>
            </w:pPr>
            <w:r w:rsidRPr="000D09AE">
              <w:rPr>
                <w:rFonts w:asciiTheme="minorHAnsi" w:hAnsiTheme="minorHAnsi"/>
              </w:rPr>
              <w:t>212</w:t>
            </w:r>
          </w:p>
        </w:tc>
        <w:tc>
          <w:tcPr>
            <w:tcW w:w="1540" w:type="dxa"/>
          </w:tcPr>
          <w:p w14:paraId="4A7A25CD" w14:textId="77777777" w:rsidR="00562DFD" w:rsidRDefault="00562DFD" w:rsidP="00925944">
            <w:pPr>
              <w:rPr>
                <w:rFonts w:asciiTheme="minorHAnsi" w:hAnsiTheme="minorHAnsi"/>
              </w:rPr>
            </w:pPr>
          </w:p>
          <w:p w14:paraId="4A7A25CE" w14:textId="77777777" w:rsidR="009231A2" w:rsidRPr="000D09AE" w:rsidRDefault="009231A2" w:rsidP="00925944">
            <w:pPr>
              <w:rPr>
                <w:rFonts w:asciiTheme="minorHAnsi" w:hAnsiTheme="minorHAnsi"/>
              </w:rPr>
            </w:pPr>
            <w:r w:rsidRPr="000D09AE">
              <w:rPr>
                <w:rFonts w:asciiTheme="minorHAnsi" w:hAnsiTheme="minorHAnsi"/>
              </w:rPr>
              <w:t>208</w:t>
            </w:r>
          </w:p>
        </w:tc>
        <w:tc>
          <w:tcPr>
            <w:tcW w:w="1540" w:type="dxa"/>
          </w:tcPr>
          <w:p w14:paraId="4A7A25CF" w14:textId="77777777" w:rsidR="00562DFD" w:rsidRDefault="00562DFD" w:rsidP="00925944">
            <w:pPr>
              <w:rPr>
                <w:rFonts w:asciiTheme="minorHAnsi" w:hAnsiTheme="minorHAnsi"/>
              </w:rPr>
            </w:pPr>
          </w:p>
          <w:p w14:paraId="4A7A25D0" w14:textId="77777777" w:rsidR="009231A2" w:rsidRPr="000D09AE" w:rsidRDefault="009231A2" w:rsidP="00925944">
            <w:pPr>
              <w:rPr>
                <w:rFonts w:asciiTheme="minorHAnsi" w:hAnsiTheme="minorHAnsi"/>
              </w:rPr>
            </w:pPr>
            <w:r w:rsidRPr="000D09AE">
              <w:rPr>
                <w:rFonts w:asciiTheme="minorHAnsi" w:hAnsiTheme="minorHAnsi"/>
              </w:rPr>
              <w:t>211</w:t>
            </w:r>
          </w:p>
        </w:tc>
        <w:tc>
          <w:tcPr>
            <w:tcW w:w="1541" w:type="dxa"/>
          </w:tcPr>
          <w:p w14:paraId="4A7A25D1" w14:textId="77777777" w:rsidR="00562DFD" w:rsidRDefault="00562DFD" w:rsidP="00925944">
            <w:pPr>
              <w:rPr>
                <w:rFonts w:asciiTheme="minorHAnsi" w:hAnsiTheme="minorHAnsi"/>
              </w:rPr>
            </w:pPr>
          </w:p>
          <w:p w14:paraId="4A7A25D2" w14:textId="77777777" w:rsidR="009231A2" w:rsidRPr="000D09AE" w:rsidRDefault="009231A2" w:rsidP="00925944">
            <w:pPr>
              <w:rPr>
                <w:rFonts w:asciiTheme="minorHAnsi" w:hAnsiTheme="minorHAnsi"/>
              </w:rPr>
            </w:pPr>
            <w:r w:rsidRPr="000D09AE">
              <w:rPr>
                <w:rFonts w:asciiTheme="minorHAnsi" w:hAnsiTheme="minorHAnsi"/>
              </w:rPr>
              <w:t>213</w:t>
            </w:r>
          </w:p>
        </w:tc>
        <w:tc>
          <w:tcPr>
            <w:tcW w:w="1541" w:type="dxa"/>
          </w:tcPr>
          <w:p w14:paraId="4A7A25D3" w14:textId="77777777" w:rsidR="00562DFD" w:rsidRDefault="00562DFD" w:rsidP="00925944">
            <w:pPr>
              <w:rPr>
                <w:rFonts w:asciiTheme="minorHAnsi" w:hAnsiTheme="minorHAnsi"/>
              </w:rPr>
            </w:pPr>
          </w:p>
          <w:p w14:paraId="4A7A25D4" w14:textId="77777777" w:rsidR="009231A2" w:rsidRPr="000D09AE" w:rsidRDefault="009231A2" w:rsidP="00925944">
            <w:pPr>
              <w:rPr>
                <w:rFonts w:asciiTheme="minorHAnsi" w:hAnsiTheme="minorHAnsi"/>
              </w:rPr>
            </w:pPr>
            <w:r w:rsidRPr="000D09AE">
              <w:rPr>
                <w:rFonts w:asciiTheme="minorHAnsi" w:hAnsiTheme="minorHAnsi"/>
              </w:rPr>
              <w:t>218</w:t>
            </w:r>
          </w:p>
        </w:tc>
      </w:tr>
    </w:tbl>
    <w:p w14:paraId="4A7A25D6" w14:textId="77777777" w:rsidR="009231A2" w:rsidRDefault="009231A2" w:rsidP="00E03E45">
      <w:pPr>
        <w:rPr>
          <w:rFonts w:asciiTheme="minorHAnsi" w:hAnsiTheme="minorHAnsi"/>
        </w:rPr>
      </w:pPr>
    </w:p>
    <w:p w14:paraId="4A7A25D7" w14:textId="77777777" w:rsidR="009231A2" w:rsidRDefault="009231A2" w:rsidP="00E03E45">
      <w:pPr>
        <w:rPr>
          <w:rFonts w:asciiTheme="minorHAnsi" w:hAnsiTheme="minorHAnsi"/>
        </w:rPr>
      </w:pPr>
    </w:p>
    <w:p w14:paraId="4A7A25D8" w14:textId="77777777" w:rsidR="00972413" w:rsidRPr="004A4036" w:rsidRDefault="00972413" w:rsidP="00524B0D">
      <w:pPr>
        <w:pStyle w:val="Heading2"/>
        <w:spacing w:before="0"/>
        <w:ind w:left="-284"/>
      </w:pPr>
      <w:r w:rsidRPr="004A4036">
        <w:t>Historical landfill levy rates</w:t>
      </w:r>
    </w:p>
    <w:p w14:paraId="4A7A25D9" w14:textId="77777777" w:rsidR="00644B60" w:rsidRPr="008F6063" w:rsidRDefault="008A23B7" w:rsidP="00644B60">
      <w:pPr>
        <w:pStyle w:val="Heading4"/>
        <w:shd w:val="clear" w:color="auto" w:fill="FFFFFF"/>
        <w:ind w:left="-284"/>
        <w:rPr>
          <w:rFonts w:ascii="Arial" w:eastAsia="Times New Roman" w:hAnsi="Arial" w:cs="Arial"/>
          <w:b w:val="0"/>
          <w:lang w:val="en"/>
        </w:rPr>
      </w:pPr>
      <w:r w:rsidRPr="008F6063">
        <w:rPr>
          <w:rFonts w:ascii="Arial" w:eastAsia="Times New Roman" w:hAnsi="Arial" w:cs="Arial"/>
          <w:b w:val="0"/>
          <w:lang w:val="en"/>
        </w:rPr>
        <w:t>In March 2010, the then Labor Government announced that it was</w:t>
      </w:r>
      <w:r w:rsidR="00644B60" w:rsidRPr="008F6063">
        <w:rPr>
          <w:rFonts w:ascii="Arial" w:eastAsia="Times New Roman" w:hAnsi="Arial" w:cs="Arial"/>
          <w:b w:val="0"/>
          <w:lang w:val="en"/>
        </w:rPr>
        <w:t xml:space="preserve"> substantially</w:t>
      </w:r>
      <w:r w:rsidRPr="008F6063">
        <w:rPr>
          <w:rFonts w:ascii="Arial" w:eastAsia="Times New Roman" w:hAnsi="Arial" w:cs="Arial"/>
          <w:b w:val="0"/>
          <w:lang w:val="en"/>
        </w:rPr>
        <w:t xml:space="preserve"> increasing the landfill levy. </w:t>
      </w:r>
      <w:hyperlink r:id="rId15" w:history="1">
        <w:r w:rsidRPr="008F6063">
          <w:rPr>
            <w:rStyle w:val="Hyperlink"/>
            <w:rFonts w:ascii="Arial" w:eastAsia="Times New Roman" w:hAnsi="Arial" w:cs="Arial"/>
            <w:b w:val="0"/>
            <w:lang w:val="en"/>
          </w:rPr>
          <w:t>Media</w:t>
        </w:r>
      </w:hyperlink>
      <w:r w:rsidRPr="008F6063">
        <w:rPr>
          <w:rFonts w:ascii="Arial" w:eastAsia="Times New Roman" w:hAnsi="Arial" w:cs="Arial"/>
          <w:b w:val="0"/>
          <w:lang w:val="en"/>
        </w:rPr>
        <w:t xml:space="preserve"> and </w:t>
      </w:r>
      <w:hyperlink r:id="rId16" w:history="1">
        <w:r w:rsidRPr="008F6063">
          <w:rPr>
            <w:rStyle w:val="Hyperlink"/>
            <w:rFonts w:ascii="Arial" w:eastAsia="Times New Roman" w:hAnsi="Arial" w:cs="Arial"/>
            <w:b w:val="0"/>
            <w:lang w:val="en"/>
          </w:rPr>
          <w:t>Hansard records</w:t>
        </w:r>
      </w:hyperlink>
      <w:r w:rsidRPr="008F6063">
        <w:rPr>
          <w:rFonts w:ascii="Arial" w:eastAsia="Times New Roman" w:hAnsi="Arial" w:cs="Arial"/>
          <w:b w:val="0"/>
          <w:lang w:val="en"/>
        </w:rPr>
        <w:t xml:space="preserve"> indicate that the rationale for increasing the levy was to provide further incentives for Victorians to improve their resource recovery.  </w:t>
      </w:r>
    </w:p>
    <w:p w14:paraId="4A7A25DA" w14:textId="77777777" w:rsidR="007A5960" w:rsidRDefault="00311F34" w:rsidP="00644B60">
      <w:pPr>
        <w:pStyle w:val="Heading4"/>
        <w:shd w:val="clear" w:color="auto" w:fill="FFFFFF"/>
        <w:ind w:left="-284"/>
        <w:rPr>
          <w:rFonts w:ascii="Arial" w:eastAsia="Times New Roman" w:hAnsi="Arial" w:cs="Arial"/>
          <w:b w:val="0"/>
          <w:lang w:val="en"/>
        </w:rPr>
      </w:pPr>
      <w:r w:rsidRPr="008F6063">
        <w:rPr>
          <w:rFonts w:ascii="Arial" w:eastAsia="Times New Roman" w:hAnsi="Arial" w:cs="Arial"/>
          <w:b w:val="0"/>
          <w:lang w:val="en"/>
        </w:rPr>
        <w:t>According to the then</w:t>
      </w:r>
      <w:r w:rsidR="008A23B7" w:rsidRPr="008F6063">
        <w:rPr>
          <w:rFonts w:ascii="Arial" w:eastAsia="Times New Roman" w:hAnsi="Arial" w:cs="Arial"/>
          <w:b w:val="0"/>
          <w:lang w:val="en"/>
        </w:rPr>
        <w:t xml:space="preserve"> Minister for Environment</w:t>
      </w:r>
      <w:r w:rsidRPr="008F6063">
        <w:rPr>
          <w:rFonts w:ascii="Arial" w:eastAsia="Times New Roman" w:hAnsi="Arial" w:cs="Arial"/>
          <w:b w:val="0"/>
          <w:lang w:val="en"/>
        </w:rPr>
        <w:t xml:space="preserve">, Gavin Jennings, </w:t>
      </w:r>
      <w:r w:rsidR="008A23B7" w:rsidRPr="008F6063">
        <w:rPr>
          <w:rFonts w:ascii="Arial" w:eastAsia="Times New Roman" w:hAnsi="Arial" w:cs="Arial"/>
          <w:b w:val="0"/>
          <w:lang w:val="en"/>
        </w:rPr>
        <w:t xml:space="preserve">the high levies would help divert up to 1.2 million </w:t>
      </w:r>
      <w:proofErr w:type="spellStart"/>
      <w:r w:rsidR="008A23B7" w:rsidRPr="008F6063">
        <w:rPr>
          <w:rFonts w:ascii="Arial" w:eastAsia="Times New Roman" w:hAnsi="Arial" w:cs="Arial"/>
          <w:b w:val="0"/>
          <w:lang w:val="en"/>
        </w:rPr>
        <w:t>tonnes</w:t>
      </w:r>
      <w:proofErr w:type="spellEnd"/>
      <w:r w:rsidR="008A23B7" w:rsidRPr="008F6063">
        <w:rPr>
          <w:rFonts w:ascii="Arial" w:eastAsia="Times New Roman" w:hAnsi="Arial" w:cs="Arial"/>
          <w:b w:val="0"/>
          <w:lang w:val="en"/>
        </w:rPr>
        <w:t xml:space="preserve"> of waste per year away from landfills and potentially support an additional </w:t>
      </w:r>
      <w:r w:rsidRPr="008F6063">
        <w:rPr>
          <w:rFonts w:ascii="Arial" w:eastAsia="Times New Roman" w:hAnsi="Arial" w:cs="Arial"/>
          <w:b w:val="0"/>
          <w:lang w:val="en"/>
        </w:rPr>
        <w:t xml:space="preserve">700 jobs in the waste industry. The Minister said that the revenue would support initiatives in waste diversion, resource efficiency, climate change and sustainability. </w:t>
      </w:r>
    </w:p>
    <w:p w14:paraId="4A7A25DB" w14:textId="77777777" w:rsidR="00932CAE" w:rsidRPr="008F6063" w:rsidRDefault="00311F34" w:rsidP="007A5960">
      <w:pPr>
        <w:pStyle w:val="Heading4"/>
        <w:shd w:val="clear" w:color="auto" w:fill="FFFFFF"/>
        <w:spacing w:before="0" w:beforeAutospacing="0"/>
        <w:ind w:left="-284"/>
        <w:rPr>
          <w:rFonts w:ascii="Arial" w:eastAsia="Times New Roman" w:hAnsi="Arial" w:cs="Arial"/>
          <w:b w:val="0"/>
          <w:lang w:val="en"/>
        </w:rPr>
      </w:pPr>
      <w:r w:rsidRPr="008F6063">
        <w:rPr>
          <w:rFonts w:ascii="Arial" w:eastAsia="Times New Roman" w:hAnsi="Arial" w:cs="Arial"/>
          <w:b w:val="0"/>
          <w:lang w:val="en"/>
        </w:rPr>
        <w:t>He fu</w:t>
      </w:r>
      <w:r w:rsidR="00644B60" w:rsidRPr="008F6063">
        <w:rPr>
          <w:rFonts w:ascii="Arial" w:eastAsia="Times New Roman" w:hAnsi="Arial" w:cs="Arial"/>
          <w:b w:val="0"/>
          <w:lang w:val="en"/>
        </w:rPr>
        <w:t>rther noted</w:t>
      </w:r>
      <w:r w:rsidRPr="008F6063">
        <w:rPr>
          <w:rFonts w:ascii="Arial" w:eastAsia="Times New Roman" w:hAnsi="Arial" w:cs="Arial"/>
          <w:b w:val="0"/>
          <w:lang w:val="en"/>
        </w:rPr>
        <w:t xml:space="preserve">: </w:t>
      </w:r>
    </w:p>
    <w:p w14:paraId="4A7A25DC" w14:textId="77777777" w:rsidR="008A23B7" w:rsidRPr="008F6063" w:rsidRDefault="00311F34" w:rsidP="007A5960">
      <w:pPr>
        <w:pStyle w:val="Heading4"/>
        <w:shd w:val="clear" w:color="auto" w:fill="FFFFFF"/>
        <w:spacing w:before="0" w:beforeAutospacing="0"/>
        <w:rPr>
          <w:rFonts w:ascii="Arial" w:eastAsia="Times New Roman" w:hAnsi="Arial" w:cs="Arial"/>
          <w:b w:val="0"/>
          <w:lang w:val="en"/>
        </w:rPr>
      </w:pPr>
      <w:r w:rsidRPr="008F6063">
        <w:rPr>
          <w:rFonts w:ascii="Arial" w:eastAsia="Times New Roman" w:hAnsi="Arial" w:cs="Arial"/>
          <w:b w:val="0"/>
          <w:lang w:val="en"/>
        </w:rPr>
        <w:t>`</w:t>
      </w:r>
      <w:proofErr w:type="gramStart"/>
      <w:r w:rsidRPr="008F6063">
        <w:rPr>
          <w:rFonts w:ascii="Arial" w:eastAsia="Times New Roman" w:hAnsi="Arial" w:cs="Arial"/>
          <w:b w:val="0"/>
          <w:lang w:val="en"/>
        </w:rPr>
        <w:t>new</w:t>
      </w:r>
      <w:proofErr w:type="gramEnd"/>
      <w:r w:rsidRPr="008F6063">
        <w:rPr>
          <w:rFonts w:ascii="Arial" w:eastAsia="Times New Roman" w:hAnsi="Arial" w:cs="Arial"/>
          <w:b w:val="0"/>
          <w:lang w:val="en"/>
        </w:rPr>
        <w:t xml:space="preserve"> revenue will be provided back to councils to help them reduce their waste efforts. As such, councils are receiving a direct </w:t>
      </w:r>
      <w:r w:rsidR="00324A42" w:rsidRPr="008F6063">
        <w:rPr>
          <w:rFonts w:ascii="Arial" w:eastAsia="Times New Roman" w:hAnsi="Arial" w:cs="Arial"/>
          <w:b w:val="0"/>
          <w:lang w:val="en"/>
        </w:rPr>
        <w:t>benefit</w:t>
      </w:r>
      <w:r w:rsidRPr="008F6063">
        <w:rPr>
          <w:rFonts w:ascii="Arial" w:eastAsia="Times New Roman" w:hAnsi="Arial" w:cs="Arial"/>
          <w:b w:val="0"/>
          <w:lang w:val="en"/>
        </w:rPr>
        <w:t xml:space="preserve"> from the new levy settings, and are not acting simply as collection agents’ (</w:t>
      </w:r>
      <w:hyperlink r:id="rId17" w:history="1">
        <w:r w:rsidRPr="008F6063">
          <w:rPr>
            <w:rStyle w:val="Hyperlink"/>
            <w:rFonts w:ascii="Arial" w:eastAsia="Times New Roman" w:hAnsi="Arial" w:cs="Arial"/>
            <w:b w:val="0"/>
            <w:lang w:val="en"/>
          </w:rPr>
          <w:t>Hansard</w:t>
        </w:r>
      </w:hyperlink>
      <w:r w:rsidRPr="008F6063">
        <w:rPr>
          <w:rFonts w:ascii="Arial" w:eastAsia="Times New Roman" w:hAnsi="Arial" w:cs="Arial"/>
          <w:b w:val="0"/>
          <w:lang w:val="en"/>
        </w:rPr>
        <w:t>, p. 2129)</w:t>
      </w:r>
    </w:p>
    <w:p w14:paraId="4A7A25DD" w14:textId="77777777" w:rsidR="009231A2" w:rsidRDefault="009231A2" w:rsidP="009231A2">
      <w:pPr>
        <w:pStyle w:val="Heading4"/>
        <w:shd w:val="clear" w:color="auto" w:fill="FFFFFF"/>
        <w:spacing w:before="0" w:beforeAutospacing="0" w:after="0"/>
        <w:rPr>
          <w:rFonts w:ascii="Arial" w:eastAsia="Times New Roman" w:hAnsi="Arial" w:cs="Arial"/>
          <w:b w:val="0"/>
          <w:sz w:val="22"/>
          <w:szCs w:val="22"/>
          <w:lang w:val="en"/>
        </w:rPr>
      </w:pPr>
    </w:p>
    <w:p w14:paraId="4A7A25E0" w14:textId="1AD36CA9" w:rsidR="00940B36" w:rsidRDefault="00940B36" w:rsidP="009231A2">
      <w:pPr>
        <w:pStyle w:val="Heading4"/>
        <w:shd w:val="clear" w:color="auto" w:fill="FFFFFF"/>
        <w:spacing w:before="0" w:beforeAutospacing="0" w:after="0"/>
        <w:ind w:left="-284"/>
        <w:rPr>
          <w:rFonts w:asciiTheme="minorHAnsi" w:eastAsia="Times New Roman" w:hAnsiTheme="minorHAnsi" w:cs="Arial"/>
          <w:sz w:val="22"/>
          <w:szCs w:val="22"/>
          <w:lang w:val="en"/>
        </w:rPr>
      </w:pPr>
      <w:r w:rsidRPr="000D09AE">
        <w:rPr>
          <w:rFonts w:asciiTheme="minorHAnsi" w:eastAsia="Times New Roman" w:hAnsiTheme="minorHAnsi" w:cs="Arial"/>
          <w:sz w:val="22"/>
          <w:szCs w:val="22"/>
          <w:lang w:val="en"/>
        </w:rPr>
        <w:t>Municipal and industrial waste</w:t>
      </w:r>
      <w:r w:rsidR="006956AF">
        <w:rPr>
          <w:rFonts w:asciiTheme="minorHAnsi" w:eastAsia="Times New Roman" w:hAnsiTheme="minorHAnsi" w:cs="Arial"/>
          <w:sz w:val="22"/>
          <w:szCs w:val="22"/>
          <w:lang w:val="en"/>
        </w:rPr>
        <w:t xml:space="preserve"> </w:t>
      </w:r>
      <w:r w:rsidR="00F61DDE">
        <w:rPr>
          <w:rFonts w:asciiTheme="minorHAnsi" w:eastAsia="Times New Roman" w:hAnsiTheme="minorHAnsi" w:cs="Arial"/>
          <w:sz w:val="22"/>
          <w:szCs w:val="22"/>
          <w:lang w:val="en"/>
        </w:rPr>
        <w:t>landfill levy rat</w:t>
      </w:r>
      <w:r w:rsidR="00C15241">
        <w:rPr>
          <w:rFonts w:asciiTheme="minorHAnsi" w:eastAsia="Times New Roman" w:hAnsiTheme="minorHAnsi" w:cs="Arial"/>
          <w:sz w:val="22"/>
          <w:szCs w:val="22"/>
          <w:lang w:val="en"/>
        </w:rPr>
        <w:t>es, as specified in legislation</w:t>
      </w:r>
      <w:r w:rsidR="00F61DDE">
        <w:rPr>
          <w:rFonts w:asciiTheme="minorHAnsi" w:eastAsia="Times New Roman" w:hAnsiTheme="minorHAnsi" w:cs="Arial"/>
          <w:sz w:val="22"/>
          <w:szCs w:val="22"/>
          <w:lang w:val="en"/>
        </w:rPr>
        <w:t xml:space="preserve"> </w:t>
      </w:r>
      <w:r w:rsidRPr="000D09AE">
        <w:rPr>
          <w:rFonts w:asciiTheme="minorHAnsi" w:eastAsia="Times New Roman" w:hAnsiTheme="minorHAnsi" w:cs="Arial"/>
          <w:sz w:val="22"/>
          <w:szCs w:val="22"/>
          <w:lang w:val="en"/>
        </w:rPr>
        <w:t>($/</w:t>
      </w:r>
      <w:proofErr w:type="spellStart"/>
      <w:r w:rsidRPr="000D09AE">
        <w:rPr>
          <w:rFonts w:asciiTheme="minorHAnsi" w:eastAsia="Times New Roman" w:hAnsiTheme="minorHAnsi" w:cs="Arial"/>
          <w:sz w:val="22"/>
          <w:szCs w:val="22"/>
          <w:lang w:val="en"/>
        </w:rPr>
        <w:t>tonne</w:t>
      </w:r>
      <w:proofErr w:type="spellEnd"/>
      <w:r w:rsidRPr="000D09AE">
        <w:rPr>
          <w:rFonts w:asciiTheme="minorHAnsi" w:eastAsia="Times New Roman" w:hAnsiTheme="minorHAnsi" w:cs="Arial"/>
          <w:sz w:val="22"/>
          <w:szCs w:val="22"/>
          <w:lang w:val="en"/>
        </w:rPr>
        <w:t>)</w:t>
      </w:r>
    </w:p>
    <w:p w14:paraId="4A7A25E1" w14:textId="77777777" w:rsidR="00562DFD" w:rsidRDefault="00562DFD" w:rsidP="009231A2">
      <w:pPr>
        <w:pStyle w:val="Heading4"/>
        <w:shd w:val="clear" w:color="auto" w:fill="FFFFFF"/>
        <w:spacing w:before="0" w:beforeAutospacing="0" w:after="0"/>
        <w:ind w:left="-284"/>
        <w:rPr>
          <w:rFonts w:asciiTheme="minorHAnsi" w:eastAsia="Times New Roman" w:hAnsiTheme="minorHAnsi" w:cs="Arial"/>
          <w:sz w:val="22"/>
          <w:szCs w:val="22"/>
          <w:lang w:val="e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890"/>
        <w:gridCol w:w="2074"/>
        <w:gridCol w:w="2019"/>
        <w:gridCol w:w="1609"/>
        <w:gridCol w:w="1576"/>
      </w:tblGrid>
      <w:tr w:rsidR="008B66FE" w:rsidRPr="000D09AE" w14:paraId="4A7A25E5" w14:textId="77777777" w:rsidTr="00932CAE">
        <w:trPr>
          <w:tblHeader/>
          <w:tblCellSpacing w:w="15" w:type="dxa"/>
        </w:trPr>
        <w:tc>
          <w:tcPr>
            <w:tcW w:w="0" w:type="auto"/>
            <w:shd w:val="clear" w:color="auto" w:fill="00467F"/>
            <w:tcMar>
              <w:top w:w="150" w:type="dxa"/>
              <w:left w:w="225" w:type="dxa"/>
              <w:bottom w:w="150" w:type="dxa"/>
              <w:right w:w="225" w:type="dxa"/>
            </w:tcMar>
            <w:vAlign w:val="center"/>
            <w:hideMark/>
          </w:tcPr>
          <w:p w14:paraId="4A7A25E2" w14:textId="77777777" w:rsidR="001E063F" w:rsidRPr="000D09AE" w:rsidRDefault="001E063F" w:rsidP="00932CAE">
            <w:pPr>
              <w:rPr>
                <w:rFonts w:asciiTheme="minorHAnsi" w:eastAsia="Times New Roman" w:hAnsiTheme="minorHAnsi"/>
              </w:rPr>
            </w:pPr>
          </w:p>
        </w:tc>
        <w:tc>
          <w:tcPr>
            <w:tcW w:w="0" w:type="auto"/>
            <w:gridSpan w:val="2"/>
            <w:shd w:val="clear" w:color="auto" w:fill="00467F"/>
            <w:tcMar>
              <w:top w:w="150" w:type="dxa"/>
              <w:left w:w="225" w:type="dxa"/>
              <w:bottom w:w="150" w:type="dxa"/>
              <w:right w:w="225" w:type="dxa"/>
            </w:tcMar>
            <w:vAlign w:val="center"/>
            <w:hideMark/>
          </w:tcPr>
          <w:p w14:paraId="4A7A25E3" w14:textId="77777777" w:rsidR="001E063F" w:rsidRPr="000D09AE" w:rsidRDefault="001E063F" w:rsidP="00932CAE">
            <w:pPr>
              <w:rPr>
                <w:rFonts w:asciiTheme="minorHAnsi" w:hAnsiTheme="minorHAnsi" w:cs="Arial"/>
                <w:b/>
                <w:bCs/>
                <w:color w:val="FFFFFF"/>
              </w:rPr>
            </w:pPr>
            <w:r w:rsidRPr="000D09AE">
              <w:rPr>
                <w:rFonts w:asciiTheme="minorHAnsi" w:hAnsiTheme="minorHAnsi" w:cs="Arial"/>
                <w:b/>
                <w:bCs/>
                <w:color w:val="FFFFFF"/>
              </w:rPr>
              <w:t>Metro and provincial</w:t>
            </w:r>
            <w:r w:rsidR="00940B36">
              <w:rPr>
                <w:rFonts w:asciiTheme="minorHAnsi" w:hAnsiTheme="minorHAnsi" w:cs="Arial"/>
                <w:b/>
                <w:bCs/>
                <w:color w:val="FFFFFF"/>
              </w:rPr>
              <w:t xml:space="preserve"> (Schedule C)</w:t>
            </w:r>
          </w:p>
        </w:tc>
        <w:tc>
          <w:tcPr>
            <w:tcW w:w="0" w:type="auto"/>
            <w:gridSpan w:val="2"/>
            <w:shd w:val="clear" w:color="auto" w:fill="00467F"/>
            <w:tcMar>
              <w:top w:w="150" w:type="dxa"/>
              <w:left w:w="225" w:type="dxa"/>
              <w:bottom w:w="150" w:type="dxa"/>
              <w:right w:w="225" w:type="dxa"/>
            </w:tcMar>
            <w:vAlign w:val="center"/>
            <w:hideMark/>
          </w:tcPr>
          <w:p w14:paraId="4A7A25E4" w14:textId="77777777" w:rsidR="001E063F" w:rsidRPr="000D09AE" w:rsidRDefault="001E063F" w:rsidP="00932CAE">
            <w:pPr>
              <w:rPr>
                <w:rFonts w:asciiTheme="minorHAnsi" w:hAnsiTheme="minorHAnsi" w:cs="Arial"/>
                <w:b/>
                <w:bCs/>
                <w:color w:val="FFFFFF"/>
              </w:rPr>
            </w:pPr>
            <w:r>
              <w:rPr>
                <w:rFonts w:asciiTheme="minorHAnsi" w:hAnsiTheme="minorHAnsi" w:cs="Arial"/>
                <w:b/>
                <w:bCs/>
                <w:color w:val="FFFFFF"/>
              </w:rPr>
              <w:t>Rural</w:t>
            </w:r>
          </w:p>
        </w:tc>
      </w:tr>
      <w:tr w:rsidR="008B66FE" w:rsidRPr="000D09AE" w14:paraId="4A7A25EB" w14:textId="77777777" w:rsidTr="00932CAE">
        <w:trPr>
          <w:tblCellSpacing w:w="15" w:type="dxa"/>
        </w:trPr>
        <w:tc>
          <w:tcPr>
            <w:tcW w:w="0" w:type="auto"/>
            <w:tcMar>
              <w:top w:w="150" w:type="dxa"/>
              <w:left w:w="225" w:type="dxa"/>
              <w:bottom w:w="150" w:type="dxa"/>
              <w:right w:w="225" w:type="dxa"/>
            </w:tcMar>
            <w:vAlign w:val="center"/>
            <w:hideMark/>
          </w:tcPr>
          <w:p w14:paraId="4A7A25E6" w14:textId="77777777" w:rsidR="001E063F" w:rsidRPr="000D09AE" w:rsidRDefault="001E063F" w:rsidP="00932CAE">
            <w:pPr>
              <w:rPr>
                <w:rFonts w:asciiTheme="minorHAnsi" w:hAnsiTheme="minorHAnsi" w:cs="Arial"/>
              </w:rPr>
            </w:pPr>
            <w:r w:rsidRPr="000D09AE">
              <w:rPr>
                <w:rStyle w:val="Strong"/>
                <w:rFonts w:asciiTheme="minorHAnsi" w:hAnsiTheme="minorHAnsi" w:cs="Arial"/>
              </w:rPr>
              <w:t>Year</w:t>
            </w:r>
          </w:p>
        </w:tc>
        <w:tc>
          <w:tcPr>
            <w:tcW w:w="0" w:type="auto"/>
            <w:tcMar>
              <w:top w:w="150" w:type="dxa"/>
              <w:left w:w="225" w:type="dxa"/>
              <w:bottom w:w="150" w:type="dxa"/>
              <w:right w:w="225" w:type="dxa"/>
            </w:tcMar>
            <w:vAlign w:val="center"/>
            <w:hideMark/>
          </w:tcPr>
          <w:p w14:paraId="4A7A25E7" w14:textId="77777777" w:rsidR="001E063F" w:rsidRPr="000D09AE" w:rsidRDefault="001E063F" w:rsidP="00932CAE">
            <w:pPr>
              <w:rPr>
                <w:rFonts w:asciiTheme="minorHAnsi" w:hAnsiTheme="minorHAnsi" w:cs="Arial"/>
              </w:rPr>
            </w:pPr>
            <w:r w:rsidRPr="000D09AE">
              <w:rPr>
                <w:rStyle w:val="Strong"/>
                <w:rFonts w:asciiTheme="minorHAnsi" w:hAnsiTheme="minorHAnsi" w:cs="Arial"/>
              </w:rPr>
              <w:t>Municipal</w:t>
            </w:r>
          </w:p>
        </w:tc>
        <w:tc>
          <w:tcPr>
            <w:tcW w:w="0" w:type="auto"/>
            <w:tcMar>
              <w:top w:w="150" w:type="dxa"/>
              <w:left w:w="225" w:type="dxa"/>
              <w:bottom w:w="150" w:type="dxa"/>
              <w:right w:w="225" w:type="dxa"/>
            </w:tcMar>
            <w:vAlign w:val="center"/>
            <w:hideMark/>
          </w:tcPr>
          <w:p w14:paraId="4A7A25E8" w14:textId="77777777" w:rsidR="001E063F" w:rsidRPr="000D09AE" w:rsidRDefault="001E063F" w:rsidP="00932CAE">
            <w:pPr>
              <w:rPr>
                <w:rFonts w:asciiTheme="minorHAnsi" w:hAnsiTheme="minorHAnsi" w:cs="Arial"/>
              </w:rPr>
            </w:pPr>
            <w:r w:rsidRPr="000D09AE">
              <w:rPr>
                <w:rStyle w:val="Strong"/>
                <w:rFonts w:asciiTheme="minorHAnsi" w:hAnsiTheme="minorHAnsi" w:cs="Arial"/>
              </w:rPr>
              <w:t>Industrial</w:t>
            </w:r>
          </w:p>
        </w:tc>
        <w:tc>
          <w:tcPr>
            <w:tcW w:w="0" w:type="auto"/>
            <w:tcMar>
              <w:top w:w="150" w:type="dxa"/>
              <w:left w:w="225" w:type="dxa"/>
              <w:bottom w:w="150" w:type="dxa"/>
              <w:right w:w="225" w:type="dxa"/>
            </w:tcMar>
            <w:vAlign w:val="center"/>
            <w:hideMark/>
          </w:tcPr>
          <w:p w14:paraId="4A7A25E9" w14:textId="77777777" w:rsidR="001E063F" w:rsidRPr="000D09AE" w:rsidRDefault="001E063F" w:rsidP="00932CAE">
            <w:pPr>
              <w:rPr>
                <w:rFonts w:asciiTheme="minorHAnsi" w:hAnsiTheme="minorHAnsi" w:cs="Arial"/>
              </w:rPr>
            </w:pPr>
            <w:r w:rsidRPr="000D09AE">
              <w:rPr>
                <w:rStyle w:val="Strong"/>
                <w:rFonts w:asciiTheme="minorHAnsi" w:hAnsiTheme="minorHAnsi" w:cs="Arial"/>
              </w:rPr>
              <w:t>Municipal</w:t>
            </w:r>
          </w:p>
        </w:tc>
        <w:tc>
          <w:tcPr>
            <w:tcW w:w="0" w:type="auto"/>
            <w:tcMar>
              <w:top w:w="150" w:type="dxa"/>
              <w:left w:w="225" w:type="dxa"/>
              <w:bottom w:w="150" w:type="dxa"/>
              <w:right w:w="225" w:type="dxa"/>
            </w:tcMar>
            <w:vAlign w:val="center"/>
            <w:hideMark/>
          </w:tcPr>
          <w:p w14:paraId="4A7A25EA" w14:textId="77777777" w:rsidR="001E063F" w:rsidRPr="000D09AE" w:rsidRDefault="001E063F" w:rsidP="00932CAE">
            <w:pPr>
              <w:rPr>
                <w:rFonts w:asciiTheme="minorHAnsi" w:hAnsiTheme="minorHAnsi" w:cs="Arial"/>
              </w:rPr>
            </w:pPr>
            <w:r w:rsidRPr="000D09AE">
              <w:rPr>
                <w:rStyle w:val="Strong"/>
                <w:rFonts w:asciiTheme="minorHAnsi" w:hAnsiTheme="minorHAnsi" w:cs="Arial"/>
              </w:rPr>
              <w:t>Industrial</w:t>
            </w:r>
          </w:p>
        </w:tc>
      </w:tr>
      <w:tr w:rsidR="008B66FE" w:rsidRPr="000D09AE" w14:paraId="4A7A25F1" w14:textId="77777777" w:rsidTr="001E063F">
        <w:trPr>
          <w:tblCellSpacing w:w="15" w:type="dxa"/>
        </w:trPr>
        <w:tc>
          <w:tcPr>
            <w:tcW w:w="0" w:type="auto"/>
            <w:tcMar>
              <w:top w:w="150" w:type="dxa"/>
              <w:left w:w="225" w:type="dxa"/>
              <w:bottom w:w="150" w:type="dxa"/>
              <w:right w:w="225" w:type="dxa"/>
            </w:tcMar>
            <w:vAlign w:val="center"/>
            <w:hideMark/>
          </w:tcPr>
          <w:p w14:paraId="4A7A25EC" w14:textId="77777777" w:rsidR="001E063F" w:rsidRPr="000D09AE" w:rsidRDefault="001E063F" w:rsidP="00932CAE">
            <w:pPr>
              <w:rPr>
                <w:rFonts w:asciiTheme="minorHAnsi" w:hAnsiTheme="minorHAnsi" w:cs="Arial"/>
              </w:rPr>
            </w:pPr>
            <w:r>
              <w:rPr>
                <w:rFonts w:asciiTheme="minorHAnsi" w:hAnsiTheme="minorHAnsi" w:cs="Arial"/>
              </w:rPr>
              <w:t>2014-15</w:t>
            </w:r>
          </w:p>
        </w:tc>
        <w:tc>
          <w:tcPr>
            <w:tcW w:w="0" w:type="auto"/>
            <w:tcMar>
              <w:top w:w="150" w:type="dxa"/>
              <w:left w:w="225" w:type="dxa"/>
              <w:bottom w:w="150" w:type="dxa"/>
              <w:right w:w="225" w:type="dxa"/>
            </w:tcMar>
            <w:vAlign w:val="center"/>
          </w:tcPr>
          <w:p w14:paraId="4A7A25ED" w14:textId="77777777" w:rsidR="001E063F" w:rsidRPr="000D09AE" w:rsidRDefault="001E063F" w:rsidP="00932CAE">
            <w:pPr>
              <w:rPr>
                <w:rFonts w:asciiTheme="minorHAnsi" w:hAnsiTheme="minorHAnsi" w:cs="Arial"/>
              </w:rPr>
            </w:pPr>
            <w:r>
              <w:rPr>
                <w:rFonts w:asciiTheme="minorHAnsi" w:hAnsiTheme="minorHAnsi" w:cs="Arial"/>
              </w:rPr>
              <w:t>58.50</w:t>
            </w:r>
          </w:p>
        </w:tc>
        <w:tc>
          <w:tcPr>
            <w:tcW w:w="0" w:type="auto"/>
            <w:tcMar>
              <w:top w:w="150" w:type="dxa"/>
              <w:left w:w="225" w:type="dxa"/>
              <w:bottom w:w="150" w:type="dxa"/>
              <w:right w:w="225" w:type="dxa"/>
            </w:tcMar>
            <w:vAlign w:val="center"/>
          </w:tcPr>
          <w:p w14:paraId="4A7A25EE" w14:textId="77777777" w:rsidR="001E063F" w:rsidRPr="000D09AE" w:rsidRDefault="001E063F" w:rsidP="00932CAE">
            <w:pPr>
              <w:rPr>
                <w:rFonts w:asciiTheme="minorHAnsi" w:hAnsiTheme="minorHAnsi" w:cs="Arial"/>
              </w:rPr>
            </w:pPr>
            <w:r>
              <w:rPr>
                <w:rFonts w:asciiTheme="minorHAnsi" w:hAnsiTheme="minorHAnsi" w:cs="Arial"/>
              </w:rPr>
              <w:t>58.50</w:t>
            </w:r>
          </w:p>
        </w:tc>
        <w:tc>
          <w:tcPr>
            <w:tcW w:w="0" w:type="auto"/>
            <w:tcMar>
              <w:top w:w="150" w:type="dxa"/>
              <w:left w:w="225" w:type="dxa"/>
              <w:bottom w:w="150" w:type="dxa"/>
              <w:right w:w="225" w:type="dxa"/>
            </w:tcMar>
            <w:vAlign w:val="center"/>
          </w:tcPr>
          <w:p w14:paraId="4A7A25EF" w14:textId="77777777" w:rsidR="001E063F" w:rsidRPr="000D09AE" w:rsidRDefault="001E063F" w:rsidP="00932CAE">
            <w:pPr>
              <w:rPr>
                <w:rFonts w:asciiTheme="minorHAnsi" w:hAnsiTheme="minorHAnsi" w:cs="Arial"/>
              </w:rPr>
            </w:pPr>
            <w:r>
              <w:rPr>
                <w:rFonts w:asciiTheme="minorHAnsi" w:hAnsiTheme="minorHAnsi" w:cs="Arial"/>
              </w:rPr>
              <w:t>29.30</w:t>
            </w:r>
          </w:p>
        </w:tc>
        <w:tc>
          <w:tcPr>
            <w:tcW w:w="0" w:type="auto"/>
            <w:tcMar>
              <w:top w:w="150" w:type="dxa"/>
              <w:left w:w="225" w:type="dxa"/>
              <w:bottom w:w="150" w:type="dxa"/>
              <w:right w:w="225" w:type="dxa"/>
            </w:tcMar>
            <w:vAlign w:val="center"/>
          </w:tcPr>
          <w:p w14:paraId="4A7A25F0" w14:textId="77777777" w:rsidR="001E063F" w:rsidRPr="000D09AE" w:rsidRDefault="001E063F" w:rsidP="00932CAE">
            <w:pPr>
              <w:rPr>
                <w:rFonts w:asciiTheme="minorHAnsi" w:hAnsiTheme="minorHAnsi" w:cs="Arial"/>
              </w:rPr>
            </w:pPr>
            <w:r>
              <w:rPr>
                <w:rFonts w:asciiTheme="minorHAnsi" w:hAnsiTheme="minorHAnsi" w:cs="Arial"/>
              </w:rPr>
              <w:t>51.30</w:t>
            </w:r>
          </w:p>
        </w:tc>
      </w:tr>
      <w:tr w:rsidR="008B66FE" w:rsidRPr="000D09AE" w14:paraId="4A7A25F7" w14:textId="77777777" w:rsidTr="001E063F">
        <w:trPr>
          <w:tblCellSpacing w:w="15" w:type="dxa"/>
        </w:trPr>
        <w:tc>
          <w:tcPr>
            <w:tcW w:w="0" w:type="auto"/>
            <w:tcMar>
              <w:top w:w="150" w:type="dxa"/>
              <w:left w:w="225" w:type="dxa"/>
              <w:bottom w:w="150" w:type="dxa"/>
              <w:right w:w="225" w:type="dxa"/>
            </w:tcMar>
            <w:vAlign w:val="center"/>
            <w:hideMark/>
          </w:tcPr>
          <w:p w14:paraId="4A7A25F2" w14:textId="77777777" w:rsidR="001E063F" w:rsidRPr="000D09AE" w:rsidRDefault="001E063F" w:rsidP="00932CAE">
            <w:pPr>
              <w:rPr>
                <w:rFonts w:asciiTheme="minorHAnsi" w:hAnsiTheme="minorHAnsi" w:cs="Arial"/>
              </w:rPr>
            </w:pPr>
            <w:r w:rsidRPr="000D09AE">
              <w:rPr>
                <w:rFonts w:asciiTheme="minorHAnsi" w:hAnsiTheme="minorHAnsi" w:cs="Arial"/>
              </w:rPr>
              <w:t>2013–14</w:t>
            </w:r>
          </w:p>
        </w:tc>
        <w:tc>
          <w:tcPr>
            <w:tcW w:w="0" w:type="auto"/>
            <w:tcMar>
              <w:top w:w="150" w:type="dxa"/>
              <w:left w:w="225" w:type="dxa"/>
              <w:bottom w:w="150" w:type="dxa"/>
              <w:right w:w="225" w:type="dxa"/>
            </w:tcMar>
            <w:vAlign w:val="center"/>
          </w:tcPr>
          <w:p w14:paraId="4A7A25F3" w14:textId="77777777" w:rsidR="001E063F" w:rsidRPr="000D09AE" w:rsidRDefault="001E063F" w:rsidP="00932CAE">
            <w:pPr>
              <w:rPr>
                <w:rFonts w:asciiTheme="minorHAnsi" w:hAnsiTheme="minorHAnsi" w:cs="Arial"/>
              </w:rPr>
            </w:pPr>
            <w:r>
              <w:rPr>
                <w:rFonts w:asciiTheme="minorHAnsi" w:hAnsiTheme="minorHAnsi" w:cs="Arial"/>
              </w:rPr>
              <w:t>53.20</w:t>
            </w:r>
          </w:p>
        </w:tc>
        <w:tc>
          <w:tcPr>
            <w:tcW w:w="0" w:type="auto"/>
            <w:tcMar>
              <w:top w:w="150" w:type="dxa"/>
              <w:left w:w="225" w:type="dxa"/>
              <w:bottom w:w="150" w:type="dxa"/>
              <w:right w:w="225" w:type="dxa"/>
            </w:tcMar>
            <w:vAlign w:val="center"/>
          </w:tcPr>
          <w:p w14:paraId="4A7A25F4" w14:textId="77777777" w:rsidR="001E063F" w:rsidRPr="000D09AE" w:rsidRDefault="001E063F" w:rsidP="00932CAE">
            <w:pPr>
              <w:rPr>
                <w:rFonts w:asciiTheme="minorHAnsi" w:hAnsiTheme="minorHAnsi" w:cs="Arial"/>
              </w:rPr>
            </w:pPr>
            <w:r>
              <w:rPr>
                <w:rFonts w:asciiTheme="minorHAnsi" w:hAnsiTheme="minorHAnsi" w:cs="Arial"/>
              </w:rPr>
              <w:t>53.20</w:t>
            </w:r>
          </w:p>
        </w:tc>
        <w:tc>
          <w:tcPr>
            <w:tcW w:w="0" w:type="auto"/>
            <w:tcMar>
              <w:top w:w="150" w:type="dxa"/>
              <w:left w:w="225" w:type="dxa"/>
              <w:bottom w:w="150" w:type="dxa"/>
              <w:right w:w="225" w:type="dxa"/>
            </w:tcMar>
            <w:vAlign w:val="center"/>
          </w:tcPr>
          <w:p w14:paraId="4A7A25F5" w14:textId="77777777" w:rsidR="001E063F" w:rsidRPr="000D09AE" w:rsidRDefault="001E063F" w:rsidP="00932CAE">
            <w:pPr>
              <w:rPr>
                <w:rFonts w:asciiTheme="minorHAnsi" w:hAnsiTheme="minorHAnsi" w:cs="Arial"/>
              </w:rPr>
            </w:pPr>
            <w:r>
              <w:rPr>
                <w:rFonts w:asciiTheme="minorHAnsi" w:hAnsiTheme="minorHAnsi" w:cs="Arial"/>
              </w:rPr>
              <w:t>26.60</w:t>
            </w:r>
          </w:p>
        </w:tc>
        <w:tc>
          <w:tcPr>
            <w:tcW w:w="0" w:type="auto"/>
            <w:tcMar>
              <w:top w:w="150" w:type="dxa"/>
              <w:left w:w="225" w:type="dxa"/>
              <w:bottom w:w="150" w:type="dxa"/>
              <w:right w:w="225" w:type="dxa"/>
            </w:tcMar>
            <w:vAlign w:val="center"/>
          </w:tcPr>
          <w:p w14:paraId="4A7A25F6" w14:textId="77777777" w:rsidR="001E063F" w:rsidRPr="000D09AE" w:rsidRDefault="001E063F" w:rsidP="00932CAE">
            <w:pPr>
              <w:rPr>
                <w:rFonts w:asciiTheme="minorHAnsi" w:hAnsiTheme="minorHAnsi" w:cs="Arial"/>
              </w:rPr>
            </w:pPr>
            <w:r>
              <w:rPr>
                <w:rFonts w:asciiTheme="minorHAnsi" w:hAnsiTheme="minorHAnsi" w:cs="Arial"/>
              </w:rPr>
              <w:t>46.60</w:t>
            </w:r>
          </w:p>
        </w:tc>
      </w:tr>
      <w:tr w:rsidR="008B66FE" w:rsidRPr="000D09AE" w14:paraId="4A7A25FD" w14:textId="77777777" w:rsidTr="001E063F">
        <w:trPr>
          <w:tblCellSpacing w:w="15" w:type="dxa"/>
        </w:trPr>
        <w:tc>
          <w:tcPr>
            <w:tcW w:w="0" w:type="auto"/>
            <w:tcMar>
              <w:top w:w="150" w:type="dxa"/>
              <w:left w:w="225" w:type="dxa"/>
              <w:bottom w:w="150" w:type="dxa"/>
              <w:right w:w="225" w:type="dxa"/>
            </w:tcMar>
            <w:vAlign w:val="center"/>
            <w:hideMark/>
          </w:tcPr>
          <w:p w14:paraId="4A7A25F8" w14:textId="77777777" w:rsidR="001E063F" w:rsidRPr="000D09AE" w:rsidRDefault="001E063F" w:rsidP="00932CAE">
            <w:pPr>
              <w:rPr>
                <w:rFonts w:asciiTheme="minorHAnsi" w:hAnsiTheme="minorHAnsi" w:cs="Arial"/>
              </w:rPr>
            </w:pPr>
            <w:r>
              <w:rPr>
                <w:rFonts w:asciiTheme="minorHAnsi" w:hAnsiTheme="minorHAnsi" w:cs="Arial"/>
              </w:rPr>
              <w:t>2012-13</w:t>
            </w:r>
          </w:p>
        </w:tc>
        <w:tc>
          <w:tcPr>
            <w:tcW w:w="0" w:type="auto"/>
            <w:tcMar>
              <w:top w:w="150" w:type="dxa"/>
              <w:left w:w="225" w:type="dxa"/>
              <w:bottom w:w="150" w:type="dxa"/>
              <w:right w:w="225" w:type="dxa"/>
            </w:tcMar>
            <w:vAlign w:val="center"/>
          </w:tcPr>
          <w:p w14:paraId="4A7A25F9" w14:textId="77777777" w:rsidR="001E063F" w:rsidRPr="000D09AE" w:rsidRDefault="001E063F" w:rsidP="00932CAE">
            <w:pPr>
              <w:rPr>
                <w:rFonts w:asciiTheme="minorHAnsi" w:hAnsiTheme="minorHAnsi" w:cs="Arial"/>
              </w:rPr>
            </w:pPr>
            <w:r>
              <w:rPr>
                <w:rFonts w:asciiTheme="minorHAnsi" w:hAnsiTheme="minorHAnsi" w:cs="Arial"/>
              </w:rPr>
              <w:t>48.40</w:t>
            </w:r>
          </w:p>
        </w:tc>
        <w:tc>
          <w:tcPr>
            <w:tcW w:w="0" w:type="auto"/>
            <w:tcMar>
              <w:top w:w="150" w:type="dxa"/>
              <w:left w:w="225" w:type="dxa"/>
              <w:bottom w:w="150" w:type="dxa"/>
              <w:right w:w="225" w:type="dxa"/>
            </w:tcMar>
            <w:vAlign w:val="center"/>
          </w:tcPr>
          <w:p w14:paraId="4A7A25FA" w14:textId="77777777" w:rsidR="001E063F" w:rsidRPr="000D09AE" w:rsidRDefault="001E063F" w:rsidP="00932CAE">
            <w:pPr>
              <w:rPr>
                <w:rFonts w:asciiTheme="minorHAnsi" w:hAnsiTheme="minorHAnsi" w:cs="Arial"/>
              </w:rPr>
            </w:pPr>
            <w:r>
              <w:rPr>
                <w:rFonts w:asciiTheme="minorHAnsi" w:hAnsiTheme="minorHAnsi" w:cs="Arial"/>
              </w:rPr>
              <w:t>48.40</w:t>
            </w:r>
          </w:p>
        </w:tc>
        <w:tc>
          <w:tcPr>
            <w:tcW w:w="0" w:type="auto"/>
            <w:tcMar>
              <w:top w:w="150" w:type="dxa"/>
              <w:left w:w="225" w:type="dxa"/>
              <w:bottom w:w="150" w:type="dxa"/>
              <w:right w:w="225" w:type="dxa"/>
            </w:tcMar>
            <w:vAlign w:val="center"/>
          </w:tcPr>
          <w:p w14:paraId="4A7A25FB" w14:textId="77777777" w:rsidR="001E063F" w:rsidRPr="000D09AE" w:rsidRDefault="001E063F" w:rsidP="00932CAE">
            <w:pPr>
              <w:rPr>
                <w:rFonts w:asciiTheme="minorHAnsi" w:hAnsiTheme="minorHAnsi" w:cs="Arial"/>
              </w:rPr>
            </w:pPr>
            <w:r>
              <w:rPr>
                <w:rFonts w:asciiTheme="minorHAnsi" w:hAnsiTheme="minorHAnsi" w:cs="Arial"/>
              </w:rPr>
              <w:t>24.20</w:t>
            </w:r>
          </w:p>
        </w:tc>
        <w:tc>
          <w:tcPr>
            <w:tcW w:w="0" w:type="auto"/>
            <w:tcMar>
              <w:top w:w="150" w:type="dxa"/>
              <w:left w:w="225" w:type="dxa"/>
              <w:bottom w:w="150" w:type="dxa"/>
              <w:right w:w="225" w:type="dxa"/>
            </w:tcMar>
            <w:vAlign w:val="center"/>
          </w:tcPr>
          <w:p w14:paraId="4A7A25FC" w14:textId="77777777" w:rsidR="001E063F" w:rsidRPr="000D09AE" w:rsidRDefault="001E063F" w:rsidP="00932CAE">
            <w:pPr>
              <w:rPr>
                <w:rFonts w:asciiTheme="minorHAnsi" w:hAnsiTheme="minorHAnsi" w:cs="Arial"/>
              </w:rPr>
            </w:pPr>
            <w:r>
              <w:rPr>
                <w:rFonts w:asciiTheme="minorHAnsi" w:hAnsiTheme="minorHAnsi" w:cs="Arial"/>
              </w:rPr>
              <w:t>42.40</w:t>
            </w:r>
          </w:p>
        </w:tc>
      </w:tr>
      <w:tr w:rsidR="008B66FE" w:rsidRPr="000D09AE" w14:paraId="4A7A2607" w14:textId="77777777" w:rsidTr="001E063F">
        <w:trPr>
          <w:tblCellSpacing w:w="15" w:type="dxa"/>
        </w:trPr>
        <w:tc>
          <w:tcPr>
            <w:tcW w:w="0" w:type="auto"/>
            <w:tcMar>
              <w:top w:w="150" w:type="dxa"/>
              <w:left w:w="225" w:type="dxa"/>
              <w:bottom w:w="150" w:type="dxa"/>
              <w:right w:w="225" w:type="dxa"/>
            </w:tcMar>
            <w:vAlign w:val="center"/>
            <w:hideMark/>
          </w:tcPr>
          <w:p w14:paraId="4A7A25FE" w14:textId="77777777" w:rsidR="001E063F" w:rsidRPr="000D09AE" w:rsidRDefault="001E063F" w:rsidP="00932CAE">
            <w:pPr>
              <w:rPr>
                <w:rFonts w:asciiTheme="minorHAnsi" w:hAnsiTheme="minorHAnsi" w:cs="Arial"/>
              </w:rPr>
            </w:pPr>
            <w:r>
              <w:rPr>
                <w:rFonts w:asciiTheme="minorHAnsi" w:hAnsiTheme="minorHAnsi" w:cs="Arial"/>
              </w:rPr>
              <w:t>2011-12</w:t>
            </w:r>
          </w:p>
        </w:tc>
        <w:tc>
          <w:tcPr>
            <w:tcW w:w="0" w:type="auto"/>
            <w:tcMar>
              <w:top w:w="150" w:type="dxa"/>
              <w:left w:w="225" w:type="dxa"/>
              <w:bottom w:w="150" w:type="dxa"/>
              <w:right w:w="225" w:type="dxa"/>
            </w:tcMar>
            <w:vAlign w:val="center"/>
          </w:tcPr>
          <w:p w14:paraId="4A7A2600" w14:textId="3A325206" w:rsidR="001E063F" w:rsidRPr="00932CAE" w:rsidRDefault="005E18CD" w:rsidP="008B66FE">
            <w:pPr>
              <w:rPr>
                <w:rFonts w:asciiTheme="minorHAnsi" w:hAnsiTheme="minorHAnsi" w:cs="Arial"/>
                <w:sz w:val="18"/>
                <w:szCs w:val="18"/>
              </w:rPr>
            </w:pPr>
            <w:r w:rsidRPr="00932CAE">
              <w:rPr>
                <w:rFonts w:asciiTheme="minorHAnsi" w:hAnsiTheme="minorHAnsi" w:cs="Arial"/>
              </w:rPr>
              <w:t>4</w:t>
            </w:r>
            <w:r w:rsidR="008B66FE">
              <w:rPr>
                <w:rFonts w:asciiTheme="minorHAnsi" w:hAnsiTheme="minorHAnsi" w:cs="Arial"/>
              </w:rPr>
              <w:t>4</w:t>
            </w:r>
          </w:p>
        </w:tc>
        <w:tc>
          <w:tcPr>
            <w:tcW w:w="0" w:type="auto"/>
            <w:tcMar>
              <w:top w:w="150" w:type="dxa"/>
              <w:left w:w="225" w:type="dxa"/>
              <w:bottom w:w="150" w:type="dxa"/>
              <w:right w:w="225" w:type="dxa"/>
            </w:tcMar>
            <w:vAlign w:val="center"/>
          </w:tcPr>
          <w:p w14:paraId="4A7A2602" w14:textId="67C8B771" w:rsidR="001E063F" w:rsidRPr="00932CAE" w:rsidRDefault="001E063F" w:rsidP="008B66FE">
            <w:pPr>
              <w:rPr>
                <w:rFonts w:asciiTheme="minorHAnsi" w:hAnsiTheme="minorHAnsi" w:cs="Arial"/>
              </w:rPr>
            </w:pPr>
            <w:r w:rsidRPr="00932CAE">
              <w:rPr>
                <w:rFonts w:asciiTheme="minorHAnsi" w:hAnsiTheme="minorHAnsi" w:cs="Arial"/>
              </w:rPr>
              <w:t>4</w:t>
            </w:r>
            <w:r w:rsidR="008B66FE">
              <w:rPr>
                <w:rFonts w:asciiTheme="minorHAnsi" w:hAnsiTheme="minorHAnsi" w:cs="Arial"/>
              </w:rPr>
              <w:t>4</w:t>
            </w:r>
          </w:p>
        </w:tc>
        <w:tc>
          <w:tcPr>
            <w:tcW w:w="0" w:type="auto"/>
            <w:tcMar>
              <w:top w:w="150" w:type="dxa"/>
              <w:left w:w="225" w:type="dxa"/>
              <w:bottom w:w="150" w:type="dxa"/>
              <w:right w:w="225" w:type="dxa"/>
            </w:tcMar>
            <w:vAlign w:val="center"/>
          </w:tcPr>
          <w:p w14:paraId="4A7A2604" w14:textId="17CA7497" w:rsidR="001E063F" w:rsidRPr="00932CAE" w:rsidRDefault="001E063F" w:rsidP="008B66FE">
            <w:pPr>
              <w:rPr>
                <w:rFonts w:asciiTheme="minorHAnsi" w:hAnsiTheme="minorHAnsi" w:cs="Arial"/>
                <w:sz w:val="18"/>
                <w:szCs w:val="18"/>
              </w:rPr>
            </w:pPr>
            <w:r w:rsidRPr="00932CAE">
              <w:rPr>
                <w:rFonts w:asciiTheme="minorHAnsi" w:hAnsiTheme="minorHAnsi" w:cs="Arial"/>
              </w:rPr>
              <w:t>2</w:t>
            </w:r>
            <w:r w:rsidR="008B66FE">
              <w:rPr>
                <w:rFonts w:asciiTheme="minorHAnsi" w:hAnsiTheme="minorHAnsi" w:cs="Arial"/>
              </w:rPr>
              <w:t>2</w:t>
            </w:r>
          </w:p>
        </w:tc>
        <w:tc>
          <w:tcPr>
            <w:tcW w:w="0" w:type="auto"/>
            <w:tcMar>
              <w:top w:w="150" w:type="dxa"/>
              <w:left w:w="225" w:type="dxa"/>
              <w:bottom w:w="150" w:type="dxa"/>
              <w:right w:w="225" w:type="dxa"/>
            </w:tcMar>
            <w:vAlign w:val="center"/>
          </w:tcPr>
          <w:p w14:paraId="4A7A2606" w14:textId="22E05F36" w:rsidR="001E063F" w:rsidRPr="00932CAE" w:rsidRDefault="00932CAE" w:rsidP="008B66FE">
            <w:pPr>
              <w:rPr>
                <w:rFonts w:asciiTheme="minorHAnsi" w:hAnsiTheme="minorHAnsi" w:cs="Arial"/>
                <w:sz w:val="18"/>
                <w:szCs w:val="18"/>
              </w:rPr>
            </w:pPr>
            <w:r w:rsidRPr="00932CAE">
              <w:rPr>
                <w:rFonts w:asciiTheme="minorHAnsi" w:hAnsiTheme="minorHAnsi" w:cs="Arial"/>
              </w:rPr>
              <w:t>3</w:t>
            </w:r>
            <w:r w:rsidR="008B66FE">
              <w:rPr>
                <w:rFonts w:asciiTheme="minorHAnsi" w:hAnsiTheme="minorHAnsi" w:cs="Arial"/>
              </w:rPr>
              <w:t>8.</w:t>
            </w:r>
            <w:r w:rsidRPr="00932CAE">
              <w:rPr>
                <w:rFonts w:asciiTheme="minorHAnsi" w:hAnsiTheme="minorHAnsi" w:cs="Arial"/>
              </w:rPr>
              <w:t>5</w:t>
            </w:r>
            <w:r w:rsidR="008B66FE">
              <w:rPr>
                <w:rFonts w:asciiTheme="minorHAnsi" w:hAnsiTheme="minorHAnsi" w:cs="Arial"/>
              </w:rPr>
              <w:t>0</w:t>
            </w:r>
          </w:p>
        </w:tc>
      </w:tr>
      <w:tr w:rsidR="008B66FE" w:rsidRPr="000D09AE" w14:paraId="4A7A260D" w14:textId="77777777" w:rsidTr="001E063F">
        <w:trPr>
          <w:tblCellSpacing w:w="15" w:type="dxa"/>
        </w:trPr>
        <w:tc>
          <w:tcPr>
            <w:tcW w:w="0" w:type="auto"/>
            <w:tcMar>
              <w:top w:w="150" w:type="dxa"/>
              <w:left w:w="225" w:type="dxa"/>
              <w:bottom w:w="150" w:type="dxa"/>
              <w:right w:w="225" w:type="dxa"/>
            </w:tcMar>
            <w:vAlign w:val="center"/>
          </w:tcPr>
          <w:p w14:paraId="4A7A2608" w14:textId="77777777" w:rsidR="00940B36" w:rsidRDefault="00940B36" w:rsidP="00932CAE">
            <w:pPr>
              <w:rPr>
                <w:rFonts w:asciiTheme="minorHAnsi" w:hAnsiTheme="minorHAnsi" w:cs="Arial"/>
              </w:rPr>
            </w:pPr>
            <w:r>
              <w:rPr>
                <w:rFonts w:asciiTheme="minorHAnsi" w:hAnsiTheme="minorHAnsi" w:cs="Arial"/>
              </w:rPr>
              <w:t>2010-11</w:t>
            </w:r>
          </w:p>
        </w:tc>
        <w:tc>
          <w:tcPr>
            <w:tcW w:w="0" w:type="auto"/>
            <w:tcMar>
              <w:top w:w="150" w:type="dxa"/>
              <w:left w:w="225" w:type="dxa"/>
              <w:bottom w:w="150" w:type="dxa"/>
              <w:right w:w="225" w:type="dxa"/>
            </w:tcMar>
            <w:vAlign w:val="center"/>
          </w:tcPr>
          <w:p w14:paraId="4A7A2609" w14:textId="77777777" w:rsidR="00940B36" w:rsidRDefault="00940B36" w:rsidP="00932CAE">
            <w:pPr>
              <w:rPr>
                <w:rFonts w:asciiTheme="minorHAnsi" w:hAnsiTheme="minorHAnsi" w:cs="Arial"/>
              </w:rPr>
            </w:pPr>
            <w:r>
              <w:rPr>
                <w:rFonts w:asciiTheme="minorHAnsi" w:hAnsiTheme="minorHAnsi" w:cs="Arial"/>
              </w:rPr>
              <w:t>30</w:t>
            </w:r>
          </w:p>
        </w:tc>
        <w:tc>
          <w:tcPr>
            <w:tcW w:w="0" w:type="auto"/>
            <w:tcMar>
              <w:top w:w="150" w:type="dxa"/>
              <w:left w:w="225" w:type="dxa"/>
              <w:bottom w:w="150" w:type="dxa"/>
              <w:right w:w="225" w:type="dxa"/>
            </w:tcMar>
            <w:vAlign w:val="center"/>
          </w:tcPr>
          <w:p w14:paraId="4A7A260A" w14:textId="77777777" w:rsidR="00940B36" w:rsidRDefault="00940B36" w:rsidP="00932CAE">
            <w:pPr>
              <w:rPr>
                <w:rFonts w:asciiTheme="minorHAnsi" w:hAnsiTheme="minorHAnsi" w:cs="Arial"/>
              </w:rPr>
            </w:pPr>
            <w:r>
              <w:rPr>
                <w:rFonts w:asciiTheme="minorHAnsi" w:hAnsiTheme="minorHAnsi" w:cs="Arial"/>
              </w:rPr>
              <w:t>30</w:t>
            </w:r>
          </w:p>
        </w:tc>
        <w:tc>
          <w:tcPr>
            <w:tcW w:w="0" w:type="auto"/>
            <w:tcMar>
              <w:top w:w="150" w:type="dxa"/>
              <w:left w:w="225" w:type="dxa"/>
              <w:bottom w:w="150" w:type="dxa"/>
              <w:right w:w="225" w:type="dxa"/>
            </w:tcMar>
            <w:vAlign w:val="center"/>
          </w:tcPr>
          <w:p w14:paraId="4A7A260B" w14:textId="77777777" w:rsidR="00940B36" w:rsidRDefault="00940B36" w:rsidP="00932CAE">
            <w:pPr>
              <w:rPr>
                <w:rFonts w:asciiTheme="minorHAnsi" w:hAnsiTheme="minorHAnsi" w:cs="Arial"/>
              </w:rPr>
            </w:pPr>
            <w:r>
              <w:rPr>
                <w:rFonts w:asciiTheme="minorHAnsi" w:hAnsiTheme="minorHAnsi" w:cs="Arial"/>
              </w:rPr>
              <w:t>15</w:t>
            </w:r>
          </w:p>
        </w:tc>
        <w:tc>
          <w:tcPr>
            <w:tcW w:w="0" w:type="auto"/>
            <w:tcMar>
              <w:top w:w="150" w:type="dxa"/>
              <w:left w:w="225" w:type="dxa"/>
              <w:bottom w:w="150" w:type="dxa"/>
              <w:right w:w="225" w:type="dxa"/>
            </w:tcMar>
            <w:vAlign w:val="center"/>
          </w:tcPr>
          <w:p w14:paraId="4A7A260C" w14:textId="77777777" w:rsidR="00940B36" w:rsidRDefault="00940B36" w:rsidP="00932CAE">
            <w:pPr>
              <w:rPr>
                <w:rFonts w:asciiTheme="minorHAnsi" w:hAnsiTheme="minorHAnsi" w:cs="Arial"/>
              </w:rPr>
            </w:pPr>
            <w:r>
              <w:rPr>
                <w:rFonts w:asciiTheme="minorHAnsi" w:hAnsiTheme="minorHAnsi" w:cs="Arial"/>
              </w:rPr>
              <w:t>25</w:t>
            </w:r>
          </w:p>
        </w:tc>
      </w:tr>
      <w:tr w:rsidR="008B66FE" w:rsidRPr="000D09AE" w14:paraId="4A7A2613" w14:textId="77777777" w:rsidTr="001E063F">
        <w:trPr>
          <w:tblCellSpacing w:w="15" w:type="dxa"/>
        </w:trPr>
        <w:tc>
          <w:tcPr>
            <w:tcW w:w="0" w:type="auto"/>
            <w:tcMar>
              <w:top w:w="150" w:type="dxa"/>
              <w:left w:w="225" w:type="dxa"/>
              <w:bottom w:w="150" w:type="dxa"/>
              <w:right w:w="225" w:type="dxa"/>
            </w:tcMar>
            <w:vAlign w:val="center"/>
          </w:tcPr>
          <w:p w14:paraId="4A7A260E" w14:textId="77777777" w:rsidR="00AD4428" w:rsidRDefault="00434C7F" w:rsidP="00932CAE">
            <w:pPr>
              <w:rPr>
                <w:rFonts w:asciiTheme="minorHAnsi" w:hAnsiTheme="minorHAnsi" w:cs="Arial"/>
              </w:rPr>
            </w:pPr>
            <w:r>
              <w:rPr>
                <w:rFonts w:asciiTheme="minorHAnsi" w:hAnsiTheme="minorHAnsi" w:cs="Arial"/>
              </w:rPr>
              <w:t>On or after 1 July 2007</w:t>
            </w:r>
          </w:p>
        </w:tc>
        <w:tc>
          <w:tcPr>
            <w:tcW w:w="0" w:type="auto"/>
            <w:tcMar>
              <w:top w:w="150" w:type="dxa"/>
              <w:left w:w="225" w:type="dxa"/>
              <w:bottom w:w="150" w:type="dxa"/>
              <w:right w:w="225" w:type="dxa"/>
            </w:tcMar>
            <w:vAlign w:val="center"/>
          </w:tcPr>
          <w:p w14:paraId="4A7A260F" w14:textId="77777777" w:rsidR="00AD4428" w:rsidRDefault="00434C7F" w:rsidP="00932CAE">
            <w:pPr>
              <w:rPr>
                <w:rFonts w:asciiTheme="minorHAnsi" w:hAnsiTheme="minorHAnsi" w:cs="Arial"/>
              </w:rPr>
            </w:pPr>
            <w:r>
              <w:rPr>
                <w:rFonts w:asciiTheme="minorHAnsi" w:hAnsiTheme="minorHAnsi" w:cs="Arial"/>
              </w:rPr>
              <w:t>9</w:t>
            </w:r>
          </w:p>
        </w:tc>
        <w:tc>
          <w:tcPr>
            <w:tcW w:w="0" w:type="auto"/>
            <w:tcMar>
              <w:top w:w="150" w:type="dxa"/>
              <w:left w:w="225" w:type="dxa"/>
              <w:bottom w:w="150" w:type="dxa"/>
              <w:right w:w="225" w:type="dxa"/>
            </w:tcMar>
            <w:vAlign w:val="center"/>
          </w:tcPr>
          <w:p w14:paraId="4A7A2610" w14:textId="77777777" w:rsidR="00AD4428" w:rsidRDefault="00434C7F" w:rsidP="00932CAE">
            <w:pPr>
              <w:rPr>
                <w:rFonts w:asciiTheme="minorHAnsi" w:hAnsiTheme="minorHAnsi" w:cs="Arial"/>
              </w:rPr>
            </w:pPr>
            <w:r>
              <w:rPr>
                <w:rFonts w:asciiTheme="minorHAnsi" w:hAnsiTheme="minorHAnsi" w:cs="Arial"/>
              </w:rPr>
              <w:t>15</w:t>
            </w:r>
          </w:p>
        </w:tc>
        <w:tc>
          <w:tcPr>
            <w:tcW w:w="0" w:type="auto"/>
            <w:tcMar>
              <w:top w:w="150" w:type="dxa"/>
              <w:left w:w="225" w:type="dxa"/>
              <w:bottom w:w="150" w:type="dxa"/>
              <w:right w:w="225" w:type="dxa"/>
            </w:tcMar>
            <w:vAlign w:val="center"/>
          </w:tcPr>
          <w:p w14:paraId="4A7A2611" w14:textId="77777777" w:rsidR="00AD4428" w:rsidRDefault="00434C7F" w:rsidP="00932CAE">
            <w:pPr>
              <w:rPr>
                <w:rFonts w:asciiTheme="minorHAnsi" w:hAnsiTheme="minorHAnsi" w:cs="Arial"/>
              </w:rPr>
            </w:pPr>
            <w:r>
              <w:rPr>
                <w:rFonts w:asciiTheme="minorHAnsi" w:hAnsiTheme="minorHAnsi" w:cs="Arial"/>
              </w:rPr>
              <w:t>7</w:t>
            </w:r>
          </w:p>
        </w:tc>
        <w:tc>
          <w:tcPr>
            <w:tcW w:w="0" w:type="auto"/>
            <w:tcMar>
              <w:top w:w="150" w:type="dxa"/>
              <w:left w:w="225" w:type="dxa"/>
              <w:bottom w:w="150" w:type="dxa"/>
              <w:right w:w="225" w:type="dxa"/>
            </w:tcMar>
            <w:vAlign w:val="center"/>
          </w:tcPr>
          <w:p w14:paraId="4A7A2612" w14:textId="77777777" w:rsidR="00AD4428" w:rsidRDefault="00434C7F" w:rsidP="00932CAE">
            <w:pPr>
              <w:rPr>
                <w:rFonts w:asciiTheme="minorHAnsi" w:hAnsiTheme="minorHAnsi" w:cs="Arial"/>
              </w:rPr>
            </w:pPr>
            <w:r>
              <w:rPr>
                <w:rFonts w:asciiTheme="minorHAnsi" w:hAnsiTheme="minorHAnsi" w:cs="Arial"/>
              </w:rPr>
              <w:t>13</w:t>
            </w:r>
          </w:p>
        </w:tc>
      </w:tr>
      <w:tr w:rsidR="008B66FE" w:rsidRPr="000D09AE" w14:paraId="4A7A2619" w14:textId="77777777" w:rsidTr="001E063F">
        <w:trPr>
          <w:tblCellSpacing w:w="15" w:type="dxa"/>
        </w:trPr>
        <w:tc>
          <w:tcPr>
            <w:tcW w:w="0" w:type="auto"/>
            <w:tcMar>
              <w:top w:w="150" w:type="dxa"/>
              <w:left w:w="225" w:type="dxa"/>
              <w:bottom w:w="150" w:type="dxa"/>
              <w:right w:w="225" w:type="dxa"/>
            </w:tcMar>
            <w:vAlign w:val="center"/>
          </w:tcPr>
          <w:p w14:paraId="4A7A2614" w14:textId="77777777" w:rsidR="00AD4428" w:rsidRDefault="00434C7F" w:rsidP="00932CAE">
            <w:pPr>
              <w:rPr>
                <w:rFonts w:asciiTheme="minorHAnsi" w:hAnsiTheme="minorHAnsi" w:cs="Arial"/>
              </w:rPr>
            </w:pPr>
            <w:r>
              <w:rPr>
                <w:rFonts w:asciiTheme="minorHAnsi" w:hAnsiTheme="minorHAnsi" w:cs="Arial"/>
              </w:rPr>
              <w:t>2006-07</w:t>
            </w:r>
          </w:p>
        </w:tc>
        <w:tc>
          <w:tcPr>
            <w:tcW w:w="0" w:type="auto"/>
            <w:tcMar>
              <w:top w:w="150" w:type="dxa"/>
              <w:left w:w="225" w:type="dxa"/>
              <w:bottom w:w="150" w:type="dxa"/>
              <w:right w:w="225" w:type="dxa"/>
            </w:tcMar>
            <w:vAlign w:val="center"/>
          </w:tcPr>
          <w:p w14:paraId="4A7A2615" w14:textId="77777777" w:rsidR="00AD4428" w:rsidRDefault="00434C7F" w:rsidP="00932CAE">
            <w:pPr>
              <w:rPr>
                <w:rFonts w:asciiTheme="minorHAnsi" w:hAnsiTheme="minorHAnsi" w:cs="Arial"/>
              </w:rPr>
            </w:pPr>
            <w:r>
              <w:rPr>
                <w:rFonts w:asciiTheme="minorHAnsi" w:hAnsiTheme="minorHAnsi" w:cs="Arial"/>
              </w:rPr>
              <w:t>8</w:t>
            </w:r>
          </w:p>
        </w:tc>
        <w:tc>
          <w:tcPr>
            <w:tcW w:w="0" w:type="auto"/>
            <w:tcMar>
              <w:top w:w="150" w:type="dxa"/>
              <w:left w:w="225" w:type="dxa"/>
              <w:bottom w:w="150" w:type="dxa"/>
              <w:right w:w="225" w:type="dxa"/>
            </w:tcMar>
            <w:vAlign w:val="center"/>
          </w:tcPr>
          <w:p w14:paraId="4A7A2616" w14:textId="77777777" w:rsidR="00AD4428" w:rsidRDefault="00434C7F" w:rsidP="00932CAE">
            <w:pPr>
              <w:rPr>
                <w:rFonts w:asciiTheme="minorHAnsi" w:hAnsiTheme="minorHAnsi" w:cs="Arial"/>
              </w:rPr>
            </w:pPr>
            <w:r>
              <w:rPr>
                <w:rFonts w:asciiTheme="minorHAnsi" w:hAnsiTheme="minorHAnsi" w:cs="Arial"/>
              </w:rPr>
              <w:t>13</w:t>
            </w:r>
          </w:p>
        </w:tc>
        <w:tc>
          <w:tcPr>
            <w:tcW w:w="0" w:type="auto"/>
            <w:tcMar>
              <w:top w:w="150" w:type="dxa"/>
              <w:left w:w="225" w:type="dxa"/>
              <w:bottom w:w="150" w:type="dxa"/>
              <w:right w:w="225" w:type="dxa"/>
            </w:tcMar>
            <w:vAlign w:val="center"/>
          </w:tcPr>
          <w:p w14:paraId="4A7A2617" w14:textId="77777777" w:rsidR="00AD4428" w:rsidRDefault="00434C7F" w:rsidP="00932CAE">
            <w:pPr>
              <w:rPr>
                <w:rFonts w:asciiTheme="minorHAnsi" w:hAnsiTheme="minorHAnsi" w:cs="Arial"/>
              </w:rPr>
            </w:pPr>
            <w:r>
              <w:rPr>
                <w:rFonts w:asciiTheme="minorHAnsi" w:hAnsiTheme="minorHAnsi" w:cs="Arial"/>
              </w:rPr>
              <w:t>6</w:t>
            </w:r>
          </w:p>
        </w:tc>
        <w:tc>
          <w:tcPr>
            <w:tcW w:w="0" w:type="auto"/>
            <w:tcMar>
              <w:top w:w="150" w:type="dxa"/>
              <w:left w:w="225" w:type="dxa"/>
              <w:bottom w:w="150" w:type="dxa"/>
              <w:right w:w="225" w:type="dxa"/>
            </w:tcMar>
            <w:vAlign w:val="center"/>
          </w:tcPr>
          <w:p w14:paraId="4A7A2618" w14:textId="77777777" w:rsidR="00AD4428" w:rsidRDefault="00434C7F" w:rsidP="00932CAE">
            <w:pPr>
              <w:rPr>
                <w:rFonts w:asciiTheme="minorHAnsi" w:hAnsiTheme="minorHAnsi" w:cs="Arial"/>
              </w:rPr>
            </w:pPr>
            <w:r>
              <w:rPr>
                <w:rFonts w:asciiTheme="minorHAnsi" w:hAnsiTheme="minorHAnsi" w:cs="Arial"/>
              </w:rPr>
              <w:t>11</w:t>
            </w:r>
          </w:p>
        </w:tc>
      </w:tr>
      <w:tr w:rsidR="008B66FE" w:rsidRPr="000D09AE" w14:paraId="4A7A261F" w14:textId="77777777" w:rsidTr="001E063F">
        <w:trPr>
          <w:tblCellSpacing w:w="15" w:type="dxa"/>
        </w:trPr>
        <w:tc>
          <w:tcPr>
            <w:tcW w:w="0" w:type="auto"/>
            <w:tcMar>
              <w:top w:w="150" w:type="dxa"/>
              <w:left w:w="225" w:type="dxa"/>
              <w:bottom w:w="150" w:type="dxa"/>
              <w:right w:w="225" w:type="dxa"/>
            </w:tcMar>
            <w:vAlign w:val="center"/>
          </w:tcPr>
          <w:p w14:paraId="4A7A261A" w14:textId="77777777" w:rsidR="00AD4428" w:rsidRDefault="00434C7F" w:rsidP="00932CAE">
            <w:pPr>
              <w:rPr>
                <w:rFonts w:asciiTheme="minorHAnsi" w:hAnsiTheme="minorHAnsi" w:cs="Arial"/>
              </w:rPr>
            </w:pPr>
            <w:r>
              <w:rPr>
                <w:rFonts w:asciiTheme="minorHAnsi" w:hAnsiTheme="minorHAnsi" w:cs="Arial"/>
              </w:rPr>
              <w:t>2005-06</w:t>
            </w:r>
          </w:p>
        </w:tc>
        <w:tc>
          <w:tcPr>
            <w:tcW w:w="0" w:type="auto"/>
            <w:tcMar>
              <w:top w:w="150" w:type="dxa"/>
              <w:left w:w="225" w:type="dxa"/>
              <w:bottom w:w="150" w:type="dxa"/>
              <w:right w:w="225" w:type="dxa"/>
            </w:tcMar>
            <w:vAlign w:val="center"/>
          </w:tcPr>
          <w:p w14:paraId="4A7A261B" w14:textId="77777777" w:rsidR="00AD4428" w:rsidRDefault="00434C7F" w:rsidP="00932CAE">
            <w:pPr>
              <w:rPr>
                <w:rFonts w:asciiTheme="minorHAnsi" w:hAnsiTheme="minorHAnsi" w:cs="Arial"/>
              </w:rPr>
            </w:pPr>
            <w:r>
              <w:rPr>
                <w:rFonts w:asciiTheme="minorHAnsi" w:hAnsiTheme="minorHAnsi" w:cs="Arial"/>
              </w:rPr>
              <w:t>7</w:t>
            </w:r>
          </w:p>
        </w:tc>
        <w:tc>
          <w:tcPr>
            <w:tcW w:w="0" w:type="auto"/>
            <w:tcMar>
              <w:top w:w="150" w:type="dxa"/>
              <w:left w:w="225" w:type="dxa"/>
              <w:bottom w:w="150" w:type="dxa"/>
              <w:right w:w="225" w:type="dxa"/>
            </w:tcMar>
            <w:vAlign w:val="center"/>
          </w:tcPr>
          <w:p w14:paraId="4A7A261C" w14:textId="77777777" w:rsidR="00AD4428" w:rsidRDefault="00434C7F" w:rsidP="00932CAE">
            <w:pPr>
              <w:rPr>
                <w:rFonts w:asciiTheme="minorHAnsi" w:hAnsiTheme="minorHAnsi" w:cs="Arial"/>
              </w:rPr>
            </w:pPr>
            <w:r>
              <w:rPr>
                <w:rFonts w:asciiTheme="minorHAnsi" w:hAnsiTheme="minorHAnsi" w:cs="Arial"/>
              </w:rPr>
              <w:t>11</w:t>
            </w:r>
          </w:p>
        </w:tc>
        <w:tc>
          <w:tcPr>
            <w:tcW w:w="0" w:type="auto"/>
            <w:tcMar>
              <w:top w:w="150" w:type="dxa"/>
              <w:left w:w="225" w:type="dxa"/>
              <w:bottom w:w="150" w:type="dxa"/>
              <w:right w:w="225" w:type="dxa"/>
            </w:tcMar>
            <w:vAlign w:val="center"/>
          </w:tcPr>
          <w:p w14:paraId="4A7A261D" w14:textId="77777777" w:rsidR="00AD4428" w:rsidRDefault="00434C7F" w:rsidP="00932CAE">
            <w:pPr>
              <w:rPr>
                <w:rFonts w:asciiTheme="minorHAnsi" w:hAnsiTheme="minorHAnsi" w:cs="Arial"/>
              </w:rPr>
            </w:pPr>
            <w:r>
              <w:rPr>
                <w:rFonts w:asciiTheme="minorHAnsi" w:hAnsiTheme="minorHAnsi" w:cs="Arial"/>
              </w:rPr>
              <w:t>5</w:t>
            </w:r>
          </w:p>
        </w:tc>
        <w:tc>
          <w:tcPr>
            <w:tcW w:w="0" w:type="auto"/>
            <w:tcMar>
              <w:top w:w="150" w:type="dxa"/>
              <w:left w:w="225" w:type="dxa"/>
              <w:bottom w:w="150" w:type="dxa"/>
              <w:right w:w="225" w:type="dxa"/>
            </w:tcMar>
            <w:vAlign w:val="center"/>
          </w:tcPr>
          <w:p w14:paraId="4A7A261E" w14:textId="77777777" w:rsidR="00AD4428" w:rsidRDefault="00434C7F" w:rsidP="00932CAE">
            <w:pPr>
              <w:rPr>
                <w:rFonts w:asciiTheme="minorHAnsi" w:hAnsiTheme="minorHAnsi" w:cs="Arial"/>
              </w:rPr>
            </w:pPr>
            <w:r>
              <w:rPr>
                <w:rFonts w:asciiTheme="minorHAnsi" w:hAnsiTheme="minorHAnsi" w:cs="Arial"/>
              </w:rPr>
              <w:t>9</w:t>
            </w:r>
          </w:p>
        </w:tc>
      </w:tr>
      <w:tr w:rsidR="008B66FE" w:rsidRPr="000D09AE" w14:paraId="4A7A2625" w14:textId="77777777" w:rsidTr="001E063F">
        <w:trPr>
          <w:tblCellSpacing w:w="15" w:type="dxa"/>
        </w:trPr>
        <w:tc>
          <w:tcPr>
            <w:tcW w:w="0" w:type="auto"/>
            <w:tcMar>
              <w:top w:w="150" w:type="dxa"/>
              <w:left w:w="225" w:type="dxa"/>
              <w:bottom w:w="150" w:type="dxa"/>
              <w:right w:w="225" w:type="dxa"/>
            </w:tcMar>
            <w:vAlign w:val="center"/>
          </w:tcPr>
          <w:p w14:paraId="4A7A2620" w14:textId="77777777" w:rsidR="00AD4428" w:rsidRDefault="00434C7F" w:rsidP="00932CAE">
            <w:pPr>
              <w:rPr>
                <w:rFonts w:asciiTheme="minorHAnsi" w:hAnsiTheme="minorHAnsi" w:cs="Arial"/>
              </w:rPr>
            </w:pPr>
            <w:r>
              <w:rPr>
                <w:rFonts w:asciiTheme="minorHAnsi" w:hAnsiTheme="minorHAnsi" w:cs="Arial"/>
              </w:rPr>
              <w:t>2004-05</w:t>
            </w:r>
          </w:p>
        </w:tc>
        <w:tc>
          <w:tcPr>
            <w:tcW w:w="0" w:type="auto"/>
            <w:tcMar>
              <w:top w:w="150" w:type="dxa"/>
              <w:left w:w="225" w:type="dxa"/>
              <w:bottom w:w="150" w:type="dxa"/>
              <w:right w:w="225" w:type="dxa"/>
            </w:tcMar>
            <w:vAlign w:val="center"/>
          </w:tcPr>
          <w:p w14:paraId="4A7A2621" w14:textId="77777777" w:rsidR="00AD4428" w:rsidRDefault="00434C7F" w:rsidP="00932CAE">
            <w:pPr>
              <w:rPr>
                <w:rFonts w:asciiTheme="minorHAnsi" w:hAnsiTheme="minorHAnsi" w:cs="Arial"/>
              </w:rPr>
            </w:pPr>
            <w:r>
              <w:rPr>
                <w:rFonts w:asciiTheme="minorHAnsi" w:hAnsiTheme="minorHAnsi" w:cs="Arial"/>
              </w:rPr>
              <w:t>6</w:t>
            </w:r>
          </w:p>
        </w:tc>
        <w:tc>
          <w:tcPr>
            <w:tcW w:w="0" w:type="auto"/>
            <w:tcMar>
              <w:top w:w="150" w:type="dxa"/>
              <w:left w:w="225" w:type="dxa"/>
              <w:bottom w:w="150" w:type="dxa"/>
              <w:right w:w="225" w:type="dxa"/>
            </w:tcMar>
            <w:vAlign w:val="center"/>
          </w:tcPr>
          <w:p w14:paraId="4A7A2622" w14:textId="77777777" w:rsidR="00AD4428" w:rsidRDefault="00434C7F" w:rsidP="00932CAE">
            <w:pPr>
              <w:rPr>
                <w:rFonts w:asciiTheme="minorHAnsi" w:hAnsiTheme="minorHAnsi" w:cs="Arial"/>
              </w:rPr>
            </w:pPr>
            <w:r>
              <w:rPr>
                <w:rFonts w:asciiTheme="minorHAnsi" w:hAnsiTheme="minorHAnsi" w:cs="Arial"/>
              </w:rPr>
              <w:t>9</w:t>
            </w:r>
          </w:p>
        </w:tc>
        <w:tc>
          <w:tcPr>
            <w:tcW w:w="0" w:type="auto"/>
            <w:tcMar>
              <w:top w:w="150" w:type="dxa"/>
              <w:left w:w="225" w:type="dxa"/>
              <w:bottom w:w="150" w:type="dxa"/>
              <w:right w:w="225" w:type="dxa"/>
            </w:tcMar>
            <w:vAlign w:val="center"/>
          </w:tcPr>
          <w:p w14:paraId="4A7A2623" w14:textId="77777777" w:rsidR="00AD4428" w:rsidRDefault="00434C7F" w:rsidP="00932CAE">
            <w:pPr>
              <w:rPr>
                <w:rFonts w:asciiTheme="minorHAnsi" w:hAnsiTheme="minorHAnsi" w:cs="Arial"/>
              </w:rPr>
            </w:pPr>
            <w:r>
              <w:rPr>
                <w:rFonts w:asciiTheme="minorHAnsi" w:hAnsiTheme="minorHAnsi" w:cs="Arial"/>
              </w:rPr>
              <w:t>4</w:t>
            </w:r>
          </w:p>
        </w:tc>
        <w:tc>
          <w:tcPr>
            <w:tcW w:w="0" w:type="auto"/>
            <w:tcMar>
              <w:top w:w="150" w:type="dxa"/>
              <w:left w:w="225" w:type="dxa"/>
              <w:bottom w:w="150" w:type="dxa"/>
              <w:right w:w="225" w:type="dxa"/>
            </w:tcMar>
            <w:vAlign w:val="center"/>
          </w:tcPr>
          <w:p w14:paraId="4A7A2624" w14:textId="77777777" w:rsidR="00AD4428" w:rsidRDefault="00434C7F" w:rsidP="00932CAE">
            <w:pPr>
              <w:rPr>
                <w:rFonts w:asciiTheme="minorHAnsi" w:hAnsiTheme="minorHAnsi" w:cs="Arial"/>
              </w:rPr>
            </w:pPr>
            <w:r>
              <w:rPr>
                <w:rFonts w:asciiTheme="minorHAnsi" w:hAnsiTheme="minorHAnsi" w:cs="Arial"/>
              </w:rPr>
              <w:t>7</w:t>
            </w:r>
          </w:p>
        </w:tc>
      </w:tr>
      <w:tr w:rsidR="008B66FE" w:rsidRPr="000D09AE" w14:paraId="4A7A262B" w14:textId="77777777" w:rsidTr="001E063F">
        <w:trPr>
          <w:tblCellSpacing w:w="15" w:type="dxa"/>
        </w:trPr>
        <w:tc>
          <w:tcPr>
            <w:tcW w:w="0" w:type="auto"/>
            <w:tcMar>
              <w:top w:w="150" w:type="dxa"/>
              <w:left w:w="225" w:type="dxa"/>
              <w:bottom w:w="150" w:type="dxa"/>
              <w:right w:w="225" w:type="dxa"/>
            </w:tcMar>
            <w:vAlign w:val="center"/>
          </w:tcPr>
          <w:p w14:paraId="4A7A2626" w14:textId="77777777" w:rsidR="00AD4428" w:rsidRDefault="00434C7F" w:rsidP="00932CAE">
            <w:pPr>
              <w:rPr>
                <w:rFonts w:asciiTheme="minorHAnsi" w:hAnsiTheme="minorHAnsi" w:cs="Arial"/>
              </w:rPr>
            </w:pPr>
            <w:r>
              <w:rPr>
                <w:rFonts w:asciiTheme="minorHAnsi" w:hAnsiTheme="minorHAnsi" w:cs="Arial"/>
              </w:rPr>
              <w:t>2003-04</w:t>
            </w:r>
          </w:p>
        </w:tc>
        <w:tc>
          <w:tcPr>
            <w:tcW w:w="0" w:type="auto"/>
            <w:tcMar>
              <w:top w:w="150" w:type="dxa"/>
              <w:left w:w="225" w:type="dxa"/>
              <w:bottom w:w="150" w:type="dxa"/>
              <w:right w:w="225" w:type="dxa"/>
            </w:tcMar>
            <w:vAlign w:val="center"/>
          </w:tcPr>
          <w:p w14:paraId="4A7A2627" w14:textId="77777777" w:rsidR="00AD4428" w:rsidRDefault="00434C7F" w:rsidP="00932CAE">
            <w:pPr>
              <w:rPr>
                <w:rFonts w:asciiTheme="minorHAnsi" w:hAnsiTheme="minorHAnsi" w:cs="Arial"/>
              </w:rPr>
            </w:pPr>
            <w:r>
              <w:rPr>
                <w:rFonts w:asciiTheme="minorHAnsi" w:hAnsiTheme="minorHAnsi" w:cs="Arial"/>
              </w:rPr>
              <w:t>5</w:t>
            </w:r>
          </w:p>
        </w:tc>
        <w:tc>
          <w:tcPr>
            <w:tcW w:w="0" w:type="auto"/>
            <w:tcMar>
              <w:top w:w="150" w:type="dxa"/>
              <w:left w:w="225" w:type="dxa"/>
              <w:bottom w:w="150" w:type="dxa"/>
              <w:right w:w="225" w:type="dxa"/>
            </w:tcMar>
            <w:vAlign w:val="center"/>
          </w:tcPr>
          <w:p w14:paraId="4A7A2628" w14:textId="77777777" w:rsidR="00AD4428" w:rsidRDefault="00434C7F" w:rsidP="00932CAE">
            <w:pPr>
              <w:rPr>
                <w:rFonts w:asciiTheme="minorHAnsi" w:hAnsiTheme="minorHAnsi" w:cs="Arial"/>
              </w:rPr>
            </w:pPr>
            <w:r>
              <w:rPr>
                <w:rFonts w:asciiTheme="minorHAnsi" w:hAnsiTheme="minorHAnsi" w:cs="Arial"/>
              </w:rPr>
              <w:t>7</w:t>
            </w:r>
          </w:p>
        </w:tc>
        <w:tc>
          <w:tcPr>
            <w:tcW w:w="0" w:type="auto"/>
            <w:tcMar>
              <w:top w:w="150" w:type="dxa"/>
              <w:left w:w="225" w:type="dxa"/>
              <w:bottom w:w="150" w:type="dxa"/>
              <w:right w:w="225" w:type="dxa"/>
            </w:tcMar>
            <w:vAlign w:val="center"/>
          </w:tcPr>
          <w:p w14:paraId="4A7A2629" w14:textId="77777777" w:rsidR="00AD4428" w:rsidRDefault="00434C7F" w:rsidP="00932CAE">
            <w:pPr>
              <w:rPr>
                <w:rFonts w:asciiTheme="minorHAnsi" w:hAnsiTheme="minorHAnsi" w:cs="Arial"/>
              </w:rPr>
            </w:pPr>
            <w:r>
              <w:rPr>
                <w:rFonts w:asciiTheme="minorHAnsi" w:hAnsiTheme="minorHAnsi" w:cs="Arial"/>
              </w:rPr>
              <w:t>3</w:t>
            </w:r>
          </w:p>
        </w:tc>
        <w:tc>
          <w:tcPr>
            <w:tcW w:w="0" w:type="auto"/>
            <w:tcMar>
              <w:top w:w="150" w:type="dxa"/>
              <w:left w:w="225" w:type="dxa"/>
              <w:bottom w:w="150" w:type="dxa"/>
              <w:right w:w="225" w:type="dxa"/>
            </w:tcMar>
            <w:vAlign w:val="center"/>
          </w:tcPr>
          <w:p w14:paraId="4A7A262A" w14:textId="77777777" w:rsidR="00AD4428" w:rsidRDefault="00434C7F" w:rsidP="00932CAE">
            <w:pPr>
              <w:rPr>
                <w:rFonts w:asciiTheme="minorHAnsi" w:hAnsiTheme="minorHAnsi" w:cs="Arial"/>
              </w:rPr>
            </w:pPr>
            <w:r>
              <w:rPr>
                <w:rFonts w:asciiTheme="minorHAnsi" w:hAnsiTheme="minorHAnsi" w:cs="Arial"/>
              </w:rPr>
              <w:t>5</w:t>
            </w:r>
          </w:p>
        </w:tc>
      </w:tr>
      <w:tr w:rsidR="008B66FE" w:rsidRPr="000D09AE" w14:paraId="4A7A2631" w14:textId="77777777" w:rsidTr="001E063F">
        <w:trPr>
          <w:tblCellSpacing w:w="15" w:type="dxa"/>
        </w:trPr>
        <w:tc>
          <w:tcPr>
            <w:tcW w:w="0" w:type="auto"/>
            <w:tcMar>
              <w:top w:w="150" w:type="dxa"/>
              <w:left w:w="225" w:type="dxa"/>
              <w:bottom w:w="150" w:type="dxa"/>
              <w:right w:w="225" w:type="dxa"/>
            </w:tcMar>
            <w:vAlign w:val="center"/>
          </w:tcPr>
          <w:p w14:paraId="4A7A262C" w14:textId="77777777" w:rsidR="00AD4428" w:rsidRDefault="00434C7F" w:rsidP="00932CAE">
            <w:pPr>
              <w:rPr>
                <w:rFonts w:asciiTheme="minorHAnsi" w:hAnsiTheme="minorHAnsi" w:cs="Arial"/>
              </w:rPr>
            </w:pPr>
            <w:r>
              <w:rPr>
                <w:rFonts w:asciiTheme="minorHAnsi" w:hAnsiTheme="minorHAnsi" w:cs="Arial"/>
              </w:rPr>
              <w:t>2002-03</w:t>
            </w:r>
          </w:p>
        </w:tc>
        <w:tc>
          <w:tcPr>
            <w:tcW w:w="0" w:type="auto"/>
            <w:tcMar>
              <w:top w:w="150" w:type="dxa"/>
              <w:left w:w="225" w:type="dxa"/>
              <w:bottom w:w="150" w:type="dxa"/>
              <w:right w:w="225" w:type="dxa"/>
            </w:tcMar>
            <w:vAlign w:val="center"/>
          </w:tcPr>
          <w:p w14:paraId="4A7A262D" w14:textId="77777777" w:rsidR="00AD4428" w:rsidRDefault="00434C7F" w:rsidP="00932CAE">
            <w:pPr>
              <w:rPr>
                <w:rFonts w:asciiTheme="minorHAnsi" w:hAnsiTheme="minorHAnsi" w:cs="Arial"/>
              </w:rPr>
            </w:pPr>
            <w:r>
              <w:rPr>
                <w:rFonts w:asciiTheme="minorHAnsi" w:hAnsiTheme="minorHAnsi" w:cs="Arial"/>
              </w:rPr>
              <w:t>4</w:t>
            </w:r>
          </w:p>
        </w:tc>
        <w:tc>
          <w:tcPr>
            <w:tcW w:w="0" w:type="auto"/>
            <w:tcMar>
              <w:top w:w="150" w:type="dxa"/>
              <w:left w:w="225" w:type="dxa"/>
              <w:bottom w:w="150" w:type="dxa"/>
              <w:right w:w="225" w:type="dxa"/>
            </w:tcMar>
            <w:vAlign w:val="center"/>
          </w:tcPr>
          <w:p w14:paraId="4A7A262E" w14:textId="77777777" w:rsidR="00AD4428" w:rsidRDefault="00434C7F" w:rsidP="00932CAE">
            <w:pPr>
              <w:rPr>
                <w:rFonts w:asciiTheme="minorHAnsi" w:hAnsiTheme="minorHAnsi" w:cs="Arial"/>
              </w:rPr>
            </w:pPr>
            <w:r>
              <w:rPr>
                <w:rFonts w:asciiTheme="minorHAnsi" w:hAnsiTheme="minorHAnsi" w:cs="Arial"/>
              </w:rPr>
              <w:t>5</w:t>
            </w:r>
          </w:p>
        </w:tc>
        <w:tc>
          <w:tcPr>
            <w:tcW w:w="0" w:type="auto"/>
            <w:tcMar>
              <w:top w:w="150" w:type="dxa"/>
              <w:left w:w="225" w:type="dxa"/>
              <w:bottom w:w="150" w:type="dxa"/>
              <w:right w:w="225" w:type="dxa"/>
            </w:tcMar>
            <w:vAlign w:val="center"/>
          </w:tcPr>
          <w:p w14:paraId="4A7A262F" w14:textId="77777777" w:rsidR="00AD4428" w:rsidRDefault="00434C7F" w:rsidP="00932CAE">
            <w:pPr>
              <w:rPr>
                <w:rFonts w:asciiTheme="minorHAnsi" w:hAnsiTheme="minorHAnsi" w:cs="Arial"/>
              </w:rPr>
            </w:pPr>
            <w:r>
              <w:rPr>
                <w:rFonts w:asciiTheme="minorHAnsi" w:hAnsiTheme="minorHAnsi" w:cs="Arial"/>
              </w:rPr>
              <w:t>2</w:t>
            </w:r>
          </w:p>
        </w:tc>
        <w:tc>
          <w:tcPr>
            <w:tcW w:w="0" w:type="auto"/>
            <w:tcMar>
              <w:top w:w="150" w:type="dxa"/>
              <w:left w:w="225" w:type="dxa"/>
              <w:bottom w:w="150" w:type="dxa"/>
              <w:right w:w="225" w:type="dxa"/>
            </w:tcMar>
            <w:vAlign w:val="center"/>
          </w:tcPr>
          <w:p w14:paraId="4A7A2630" w14:textId="77777777" w:rsidR="00AD4428" w:rsidRDefault="00434C7F" w:rsidP="00932CAE">
            <w:pPr>
              <w:rPr>
                <w:rFonts w:asciiTheme="minorHAnsi" w:hAnsiTheme="minorHAnsi" w:cs="Arial"/>
              </w:rPr>
            </w:pPr>
            <w:r>
              <w:rPr>
                <w:rFonts w:asciiTheme="minorHAnsi" w:hAnsiTheme="minorHAnsi" w:cs="Arial"/>
              </w:rPr>
              <w:t>3</w:t>
            </w:r>
          </w:p>
        </w:tc>
      </w:tr>
    </w:tbl>
    <w:p w14:paraId="4A7A2632" w14:textId="77777777" w:rsidR="001E063F" w:rsidRDefault="001E063F" w:rsidP="00255042">
      <w:pPr>
        <w:rPr>
          <w:rFonts w:asciiTheme="minorHAnsi" w:hAnsiTheme="minorHAnsi"/>
        </w:rPr>
      </w:pPr>
    </w:p>
    <w:p w14:paraId="4A7A2633" w14:textId="77777777" w:rsidR="00974A30" w:rsidRDefault="00974A30" w:rsidP="00255042">
      <w:pPr>
        <w:rPr>
          <w:rFonts w:asciiTheme="minorHAnsi" w:hAnsiTheme="minorHAnsi"/>
        </w:rPr>
      </w:pPr>
    </w:p>
    <w:p w14:paraId="4A7A2634" w14:textId="77777777" w:rsidR="00151F23" w:rsidRPr="004A4036" w:rsidRDefault="00151F23" w:rsidP="009231A2">
      <w:pPr>
        <w:pStyle w:val="Heading2"/>
        <w:ind w:left="-284"/>
      </w:pPr>
      <w:r w:rsidRPr="004A4036">
        <w:t>Sustainability Fund</w:t>
      </w:r>
    </w:p>
    <w:p w14:paraId="4A7A2635" w14:textId="77777777" w:rsidR="00E04BD1" w:rsidRPr="008F6063" w:rsidRDefault="00E04BD1" w:rsidP="009231A2">
      <w:pPr>
        <w:pStyle w:val="NormalWeb"/>
        <w:ind w:left="-284"/>
        <w:rPr>
          <w:rFonts w:ascii="Arial" w:hAnsi="Arial" w:cs="Arial"/>
          <w:sz w:val="21"/>
          <w:szCs w:val="21"/>
          <w:lang w:val="en"/>
        </w:rPr>
      </w:pPr>
      <w:r w:rsidRPr="008F6063">
        <w:rPr>
          <w:rFonts w:ascii="Arial" w:hAnsi="Arial" w:cs="Arial"/>
          <w:sz w:val="21"/>
          <w:szCs w:val="21"/>
          <w:lang w:val="en"/>
        </w:rPr>
        <w:t xml:space="preserve">The Sustainability Fund </w:t>
      </w:r>
      <w:r w:rsidR="0004446C" w:rsidRPr="008F6063">
        <w:rPr>
          <w:rFonts w:ascii="Arial" w:hAnsi="Arial" w:cs="Arial"/>
          <w:sz w:val="21"/>
          <w:szCs w:val="21"/>
          <w:lang w:val="en"/>
        </w:rPr>
        <w:t>Account</w:t>
      </w:r>
      <w:r w:rsidR="003F5DAF" w:rsidRPr="008F6063">
        <w:rPr>
          <w:rFonts w:ascii="Arial" w:hAnsi="Arial" w:cs="Arial"/>
          <w:sz w:val="21"/>
          <w:szCs w:val="21"/>
          <w:lang w:val="en"/>
        </w:rPr>
        <w:t xml:space="preserve">, </w:t>
      </w:r>
      <w:r w:rsidRPr="008F6063">
        <w:rPr>
          <w:rFonts w:ascii="Arial" w:hAnsi="Arial" w:cs="Arial"/>
          <w:sz w:val="21"/>
          <w:szCs w:val="21"/>
          <w:lang w:val="en"/>
        </w:rPr>
        <w:t>established under section 70</w:t>
      </w:r>
      <w:r w:rsidR="00FB5E5B" w:rsidRPr="008F6063">
        <w:rPr>
          <w:rFonts w:ascii="Arial" w:hAnsi="Arial" w:cs="Arial"/>
          <w:sz w:val="21"/>
          <w:szCs w:val="21"/>
          <w:lang w:val="en"/>
        </w:rPr>
        <w:t>F</w:t>
      </w:r>
      <w:r w:rsidR="00644B60" w:rsidRPr="008F6063">
        <w:rPr>
          <w:rFonts w:ascii="Arial" w:hAnsi="Arial" w:cs="Arial"/>
          <w:sz w:val="21"/>
          <w:szCs w:val="21"/>
          <w:lang w:val="en"/>
        </w:rPr>
        <w:t xml:space="preserve"> </w:t>
      </w:r>
      <w:r w:rsidR="000269B1" w:rsidRPr="008F6063">
        <w:rPr>
          <w:rFonts w:ascii="Arial" w:hAnsi="Arial" w:cs="Arial"/>
          <w:sz w:val="21"/>
          <w:szCs w:val="21"/>
          <w:lang w:val="en"/>
        </w:rPr>
        <w:t>of the Act</w:t>
      </w:r>
      <w:r w:rsidR="003F5DAF" w:rsidRPr="008F6063">
        <w:rPr>
          <w:rFonts w:ascii="Arial" w:hAnsi="Arial" w:cs="Arial"/>
          <w:sz w:val="21"/>
          <w:szCs w:val="21"/>
          <w:lang w:val="en"/>
        </w:rPr>
        <w:t xml:space="preserve">, </w:t>
      </w:r>
      <w:r w:rsidRPr="008F6063">
        <w:rPr>
          <w:rFonts w:ascii="Arial" w:hAnsi="Arial" w:cs="Arial"/>
          <w:sz w:val="21"/>
          <w:szCs w:val="21"/>
          <w:lang w:val="en"/>
        </w:rPr>
        <w:t xml:space="preserve">receives </w:t>
      </w:r>
      <w:r w:rsidR="0004446C" w:rsidRPr="008F6063">
        <w:rPr>
          <w:rFonts w:ascii="Arial" w:hAnsi="Arial" w:cs="Arial"/>
          <w:sz w:val="21"/>
          <w:szCs w:val="21"/>
          <w:lang w:val="en"/>
        </w:rPr>
        <w:t xml:space="preserve">the balance of </w:t>
      </w:r>
      <w:r w:rsidRPr="008F6063">
        <w:rPr>
          <w:rFonts w:ascii="Arial" w:hAnsi="Arial" w:cs="Arial"/>
          <w:sz w:val="21"/>
          <w:szCs w:val="21"/>
          <w:lang w:val="en"/>
        </w:rPr>
        <w:t xml:space="preserve">money collected from Victorian landfill levies after funds </w:t>
      </w:r>
      <w:r w:rsidR="0004446C" w:rsidRPr="008F6063">
        <w:rPr>
          <w:rFonts w:ascii="Arial" w:hAnsi="Arial" w:cs="Arial"/>
          <w:sz w:val="21"/>
          <w:szCs w:val="21"/>
          <w:lang w:val="en"/>
        </w:rPr>
        <w:t xml:space="preserve">have been </w:t>
      </w:r>
      <w:r w:rsidRPr="008F6063">
        <w:rPr>
          <w:rFonts w:ascii="Arial" w:hAnsi="Arial" w:cs="Arial"/>
          <w:sz w:val="21"/>
          <w:szCs w:val="21"/>
          <w:lang w:val="en"/>
        </w:rPr>
        <w:t xml:space="preserve">distributed by the Minister </w:t>
      </w:r>
      <w:r w:rsidR="000269B1" w:rsidRPr="008F6063">
        <w:rPr>
          <w:rFonts w:ascii="Arial" w:hAnsi="Arial" w:cs="Arial"/>
          <w:sz w:val="21"/>
          <w:szCs w:val="21"/>
          <w:lang w:val="en"/>
        </w:rPr>
        <w:t xml:space="preserve">to </w:t>
      </w:r>
      <w:r w:rsidRPr="008F6063">
        <w:rPr>
          <w:rFonts w:ascii="Arial" w:hAnsi="Arial" w:cs="Arial"/>
          <w:sz w:val="21"/>
          <w:szCs w:val="21"/>
          <w:lang w:val="en"/>
        </w:rPr>
        <w:t xml:space="preserve">environmental agencies including the </w:t>
      </w:r>
      <w:r w:rsidR="00F61DDE">
        <w:rPr>
          <w:rFonts w:ascii="Arial" w:hAnsi="Arial" w:cs="Arial"/>
          <w:sz w:val="21"/>
          <w:szCs w:val="21"/>
          <w:lang w:val="en"/>
        </w:rPr>
        <w:t>EPA</w:t>
      </w:r>
      <w:r w:rsidRPr="008F6063">
        <w:rPr>
          <w:rFonts w:ascii="Arial" w:hAnsi="Arial" w:cs="Arial"/>
          <w:sz w:val="21"/>
          <w:szCs w:val="21"/>
          <w:lang w:val="en"/>
        </w:rPr>
        <w:t xml:space="preserve">, </w:t>
      </w:r>
      <w:r w:rsidR="00F61DDE">
        <w:rPr>
          <w:rFonts w:ascii="Arial" w:hAnsi="Arial" w:cs="Arial"/>
          <w:sz w:val="21"/>
          <w:szCs w:val="21"/>
          <w:lang w:val="en"/>
        </w:rPr>
        <w:t>SV</w:t>
      </w:r>
      <w:r w:rsidRPr="008F6063">
        <w:rPr>
          <w:rFonts w:ascii="Arial" w:hAnsi="Arial" w:cs="Arial"/>
          <w:sz w:val="21"/>
          <w:szCs w:val="21"/>
          <w:lang w:val="en"/>
        </w:rPr>
        <w:t xml:space="preserve"> and the seven Waste and Resource Recovery Groups.</w:t>
      </w:r>
    </w:p>
    <w:p w14:paraId="4A7A2636" w14:textId="77777777" w:rsidR="0004446C" w:rsidRPr="008F6063" w:rsidRDefault="0004446C" w:rsidP="009231A2">
      <w:pPr>
        <w:spacing w:before="100" w:beforeAutospacing="1" w:after="100" w:afterAutospacing="1"/>
        <w:ind w:left="-284"/>
        <w:rPr>
          <w:rFonts w:eastAsia="Times New Roman" w:cs="Arial"/>
          <w:sz w:val="21"/>
          <w:szCs w:val="21"/>
          <w:lang w:val="en" w:eastAsia="en-AU"/>
        </w:rPr>
      </w:pPr>
      <w:r w:rsidRPr="008F6063">
        <w:rPr>
          <w:rFonts w:eastAsia="Times New Roman" w:cs="Arial"/>
          <w:sz w:val="21"/>
          <w:szCs w:val="21"/>
          <w:lang w:val="en" w:eastAsia="en-AU"/>
        </w:rPr>
        <w:t xml:space="preserve">The Act requires that the Fund monies only be applied for the following purposes: </w:t>
      </w:r>
    </w:p>
    <w:p w14:paraId="4A7A2637" w14:textId="77777777" w:rsidR="00E04BD1" w:rsidRPr="008F6063" w:rsidRDefault="0004446C" w:rsidP="009231A2">
      <w:pPr>
        <w:pStyle w:val="ListParagraph"/>
        <w:numPr>
          <w:ilvl w:val="0"/>
          <w:numId w:val="6"/>
        </w:numPr>
        <w:ind w:left="426"/>
        <w:rPr>
          <w:rFonts w:eastAsia="Times New Roman" w:cs="Arial"/>
          <w:sz w:val="21"/>
          <w:szCs w:val="21"/>
          <w:lang w:val="en" w:eastAsia="en-AU"/>
        </w:rPr>
      </w:pPr>
      <w:r w:rsidRPr="008F6063">
        <w:rPr>
          <w:rFonts w:eastAsia="Times New Roman" w:cs="Arial"/>
          <w:sz w:val="21"/>
          <w:szCs w:val="21"/>
          <w:lang w:val="en" w:eastAsia="en-AU"/>
        </w:rPr>
        <w:t xml:space="preserve">to </w:t>
      </w:r>
      <w:r w:rsidR="00E04BD1" w:rsidRPr="008F6063">
        <w:rPr>
          <w:rFonts w:eastAsia="Times New Roman" w:cs="Arial"/>
          <w:sz w:val="21"/>
          <w:szCs w:val="21"/>
          <w:lang w:val="en" w:eastAsia="en-AU"/>
        </w:rPr>
        <w:t xml:space="preserve">foster environmentally sustainable uses of resources and best practices in waste management to advance the social and economic development of </w:t>
      </w:r>
      <w:r w:rsidRPr="008F6063">
        <w:rPr>
          <w:rFonts w:eastAsia="Times New Roman" w:cs="Arial"/>
          <w:sz w:val="21"/>
          <w:szCs w:val="21"/>
          <w:lang w:val="en" w:eastAsia="en-AU"/>
        </w:rPr>
        <w:t xml:space="preserve">Victoria; </w:t>
      </w:r>
      <w:r w:rsidR="00E04BD1" w:rsidRPr="008F6063">
        <w:rPr>
          <w:rFonts w:eastAsia="Times New Roman" w:cs="Arial"/>
          <w:sz w:val="21"/>
          <w:szCs w:val="21"/>
          <w:lang w:val="en" w:eastAsia="en-AU"/>
        </w:rPr>
        <w:t>or</w:t>
      </w:r>
    </w:p>
    <w:p w14:paraId="4A7A2638" w14:textId="77777777" w:rsidR="0004446C" w:rsidRPr="008F6063" w:rsidRDefault="0004446C" w:rsidP="009231A2">
      <w:pPr>
        <w:pStyle w:val="ListParagraph"/>
        <w:ind w:left="426"/>
        <w:rPr>
          <w:rFonts w:eastAsia="Times New Roman" w:cs="Arial"/>
          <w:sz w:val="21"/>
          <w:szCs w:val="21"/>
          <w:lang w:val="en" w:eastAsia="en-AU"/>
        </w:rPr>
      </w:pPr>
    </w:p>
    <w:p w14:paraId="4A7A2639" w14:textId="77777777" w:rsidR="00E04BD1" w:rsidRPr="008F6063" w:rsidRDefault="0004446C" w:rsidP="009231A2">
      <w:pPr>
        <w:numPr>
          <w:ilvl w:val="0"/>
          <w:numId w:val="4"/>
        </w:numPr>
        <w:ind w:left="426"/>
        <w:rPr>
          <w:rFonts w:eastAsia="Times New Roman" w:cs="Arial"/>
          <w:sz w:val="21"/>
          <w:szCs w:val="21"/>
          <w:lang w:val="en" w:eastAsia="en-AU"/>
        </w:rPr>
      </w:pPr>
      <w:proofErr w:type="gramStart"/>
      <w:r w:rsidRPr="008F6063">
        <w:rPr>
          <w:rFonts w:eastAsia="Times New Roman" w:cs="Arial"/>
          <w:sz w:val="21"/>
          <w:szCs w:val="21"/>
          <w:lang w:val="en" w:eastAsia="en-AU"/>
        </w:rPr>
        <w:t>to</w:t>
      </w:r>
      <w:proofErr w:type="gramEnd"/>
      <w:r w:rsidRPr="008F6063">
        <w:rPr>
          <w:rFonts w:eastAsia="Times New Roman" w:cs="Arial"/>
          <w:sz w:val="21"/>
          <w:szCs w:val="21"/>
          <w:lang w:val="en" w:eastAsia="en-AU"/>
        </w:rPr>
        <w:t xml:space="preserve"> </w:t>
      </w:r>
      <w:r w:rsidR="00E04BD1" w:rsidRPr="008F6063">
        <w:rPr>
          <w:rFonts w:eastAsia="Times New Roman" w:cs="Arial"/>
          <w:sz w:val="21"/>
          <w:szCs w:val="21"/>
          <w:lang w:val="en" w:eastAsia="en-AU"/>
        </w:rPr>
        <w:t>foster community action or innovation in relation to the reduction of greenhouse gas substance emissions or adaptation or adjustment to climate change in Victoria.</w:t>
      </w:r>
    </w:p>
    <w:p w14:paraId="2CB960EE" w14:textId="77777777" w:rsidR="00524B0D" w:rsidRDefault="00524B0D" w:rsidP="009231A2">
      <w:pPr>
        <w:spacing w:before="100" w:beforeAutospacing="1" w:after="100" w:afterAutospacing="1"/>
        <w:ind w:left="-284"/>
        <w:rPr>
          <w:rFonts w:eastAsia="Times New Roman" w:cs="Arial"/>
          <w:sz w:val="21"/>
          <w:szCs w:val="21"/>
          <w:lang w:val="en" w:eastAsia="en-AU"/>
        </w:rPr>
      </w:pPr>
    </w:p>
    <w:p w14:paraId="4ADCD294" w14:textId="77777777" w:rsidR="00524B0D" w:rsidRDefault="00524B0D" w:rsidP="009231A2">
      <w:pPr>
        <w:spacing w:before="100" w:beforeAutospacing="1" w:after="100" w:afterAutospacing="1"/>
        <w:ind w:left="-284"/>
        <w:rPr>
          <w:rFonts w:eastAsia="Times New Roman" w:cs="Arial"/>
          <w:sz w:val="21"/>
          <w:szCs w:val="21"/>
          <w:lang w:val="en" w:eastAsia="en-AU"/>
        </w:rPr>
      </w:pPr>
    </w:p>
    <w:p w14:paraId="4A7A263A" w14:textId="77777777" w:rsidR="00E04BD1" w:rsidRPr="008F6063" w:rsidRDefault="00E04BD1" w:rsidP="009231A2">
      <w:pPr>
        <w:spacing w:before="100" w:beforeAutospacing="1" w:after="100" w:afterAutospacing="1"/>
        <w:ind w:left="-284"/>
        <w:rPr>
          <w:rFonts w:eastAsia="Times New Roman" w:cs="Arial"/>
          <w:sz w:val="21"/>
          <w:szCs w:val="21"/>
          <w:lang w:val="en" w:eastAsia="en-AU"/>
        </w:rPr>
      </w:pPr>
      <w:r w:rsidRPr="008F6063">
        <w:rPr>
          <w:rFonts w:eastAsia="Times New Roman" w:cs="Arial"/>
          <w:sz w:val="21"/>
          <w:szCs w:val="21"/>
          <w:lang w:val="en" w:eastAsia="en-AU"/>
        </w:rPr>
        <w:t xml:space="preserve">Funding allocations </w:t>
      </w:r>
      <w:r w:rsidR="00324A42">
        <w:rPr>
          <w:rFonts w:eastAsia="Times New Roman" w:cs="Arial"/>
          <w:sz w:val="21"/>
          <w:szCs w:val="21"/>
          <w:lang w:val="en" w:eastAsia="en-AU"/>
        </w:rPr>
        <w:t xml:space="preserve">from the Sustainability Fund </w:t>
      </w:r>
      <w:r w:rsidRPr="008F6063">
        <w:rPr>
          <w:rFonts w:eastAsia="Times New Roman" w:cs="Arial"/>
          <w:sz w:val="21"/>
          <w:szCs w:val="21"/>
          <w:lang w:val="en" w:eastAsia="en-AU"/>
        </w:rPr>
        <w:t xml:space="preserve">are made by the Premier and the Minister, taking into account government policy and the Fund's </w:t>
      </w:r>
      <w:hyperlink r:id="rId18" w:history="1">
        <w:r w:rsidRPr="008F6063">
          <w:rPr>
            <w:rStyle w:val="Hyperlink"/>
            <w:rFonts w:eastAsia="Times New Roman" w:cs="Arial"/>
            <w:sz w:val="21"/>
            <w:szCs w:val="21"/>
            <w:lang w:val="en" w:eastAsia="en-AU"/>
          </w:rPr>
          <w:t>Priority Statement</w:t>
        </w:r>
      </w:hyperlink>
      <w:r w:rsidRPr="008F6063">
        <w:rPr>
          <w:rFonts w:eastAsia="Times New Roman" w:cs="Arial"/>
          <w:sz w:val="21"/>
          <w:szCs w:val="21"/>
          <w:lang w:val="en" w:eastAsia="en-AU"/>
        </w:rPr>
        <w:t>.</w:t>
      </w:r>
    </w:p>
    <w:p w14:paraId="4A7A263B" w14:textId="77777777" w:rsidR="00026B94" w:rsidRDefault="00644B60" w:rsidP="009231A2">
      <w:pPr>
        <w:ind w:left="-284"/>
        <w:rPr>
          <w:rFonts w:cs="Arial"/>
          <w:sz w:val="21"/>
          <w:szCs w:val="21"/>
          <w:lang w:val="en"/>
        </w:rPr>
      </w:pPr>
      <w:r w:rsidRPr="008F6063">
        <w:rPr>
          <w:rFonts w:cs="Arial"/>
          <w:sz w:val="21"/>
          <w:szCs w:val="21"/>
          <w:lang w:val="en"/>
        </w:rPr>
        <w:t xml:space="preserve">The Priority Statement was reviewed in 2015 </w:t>
      </w:r>
      <w:r w:rsidR="00026B94" w:rsidRPr="008F6063">
        <w:rPr>
          <w:rFonts w:cs="Arial"/>
          <w:sz w:val="21"/>
          <w:szCs w:val="21"/>
          <w:lang w:val="en"/>
        </w:rPr>
        <w:t>and sets out the following strategic priorities:</w:t>
      </w:r>
    </w:p>
    <w:p w14:paraId="4A7A263D" w14:textId="77777777" w:rsidR="00974A30" w:rsidRDefault="00974A30" w:rsidP="009231A2">
      <w:pPr>
        <w:ind w:left="-284"/>
        <w:rPr>
          <w:rFonts w:cs="Arial"/>
          <w:lang w:val="en"/>
        </w:rPr>
      </w:pPr>
    </w:p>
    <w:tbl>
      <w:tblPr>
        <w:tblStyle w:val="TableGrid"/>
        <w:tblW w:w="5179" w:type="pct"/>
        <w:tblInd w:w="-176" w:type="dxa"/>
        <w:tblLook w:val="04A0" w:firstRow="1" w:lastRow="0" w:firstColumn="1" w:lastColumn="0" w:noHBand="0" w:noVBand="1"/>
      </w:tblPr>
      <w:tblGrid>
        <w:gridCol w:w="5248"/>
        <w:gridCol w:w="4959"/>
      </w:tblGrid>
      <w:tr w:rsidR="00026B94" w:rsidRPr="00974A30" w14:paraId="4A7A2640" w14:textId="77777777" w:rsidTr="000B4F25">
        <w:tc>
          <w:tcPr>
            <w:tcW w:w="5000" w:type="pct"/>
            <w:gridSpan w:val="2"/>
            <w:tcBorders>
              <w:bottom w:val="nil"/>
            </w:tcBorders>
            <w:shd w:val="clear" w:color="auto" w:fill="31849B" w:themeFill="accent5" w:themeFillShade="BF"/>
          </w:tcPr>
          <w:p w14:paraId="4A7A263E" w14:textId="77777777" w:rsidR="00026B94" w:rsidRDefault="00026B94" w:rsidP="00932CAE">
            <w:pPr>
              <w:spacing w:before="40" w:after="40"/>
              <w:jc w:val="center"/>
              <w:rPr>
                <w:rFonts w:asciiTheme="minorHAnsi" w:hAnsiTheme="minorHAnsi"/>
                <w:b/>
                <w:color w:val="FFFFFF" w:themeColor="background1"/>
                <w:sz w:val="20"/>
                <w:szCs w:val="20"/>
              </w:rPr>
            </w:pPr>
            <w:r w:rsidRPr="00974A30">
              <w:rPr>
                <w:rFonts w:asciiTheme="minorHAnsi" w:hAnsiTheme="minorHAnsi"/>
                <w:b/>
                <w:color w:val="FFFFFF" w:themeColor="background1"/>
                <w:sz w:val="20"/>
                <w:szCs w:val="20"/>
              </w:rPr>
              <w:t>Sustainability Fund’s legislated purpose:</w:t>
            </w:r>
          </w:p>
          <w:p w14:paraId="4A7A263F" w14:textId="77777777" w:rsidR="00974A30" w:rsidRPr="00974A30" w:rsidRDefault="00974A30" w:rsidP="00932CAE">
            <w:pPr>
              <w:spacing w:before="40" w:after="40"/>
              <w:jc w:val="center"/>
              <w:rPr>
                <w:color w:val="FFFFFF" w:themeColor="background1"/>
                <w:sz w:val="20"/>
                <w:szCs w:val="20"/>
              </w:rPr>
            </w:pPr>
          </w:p>
        </w:tc>
      </w:tr>
      <w:tr w:rsidR="00026B94" w:rsidRPr="00974A30" w14:paraId="4A7A2644" w14:textId="77777777" w:rsidTr="000B4F25">
        <w:tc>
          <w:tcPr>
            <w:tcW w:w="2571" w:type="pct"/>
            <w:tcBorders>
              <w:top w:val="nil"/>
              <w:right w:val="nil"/>
            </w:tcBorders>
            <w:shd w:val="clear" w:color="auto" w:fill="31849B" w:themeFill="accent5" w:themeFillShade="BF"/>
          </w:tcPr>
          <w:p w14:paraId="4A7A2641" w14:textId="77777777" w:rsidR="00026B94" w:rsidRDefault="00026B94" w:rsidP="00932CAE">
            <w:pPr>
              <w:spacing w:before="40" w:after="40"/>
              <w:rPr>
                <w:rFonts w:asciiTheme="minorHAnsi" w:hAnsiTheme="minorHAnsi"/>
                <w:color w:val="FFFFFF" w:themeColor="background1"/>
                <w:sz w:val="20"/>
                <w:szCs w:val="20"/>
              </w:rPr>
            </w:pPr>
            <w:r w:rsidRPr="00974A30">
              <w:rPr>
                <w:rFonts w:asciiTheme="minorHAnsi" w:hAnsiTheme="minorHAnsi"/>
                <w:color w:val="FFFFFF" w:themeColor="background1"/>
                <w:sz w:val="20"/>
                <w:szCs w:val="20"/>
              </w:rPr>
              <w:t>Fostering environmentally sustainable uses of resources and best practices in waste management to advance the social and economic development of Victoria</w:t>
            </w:r>
          </w:p>
          <w:p w14:paraId="4A7A2642" w14:textId="77777777" w:rsidR="00974A30" w:rsidRPr="00974A30" w:rsidRDefault="00974A30" w:rsidP="00932CAE">
            <w:pPr>
              <w:spacing w:before="40" w:after="40"/>
              <w:rPr>
                <w:rFonts w:asciiTheme="minorHAnsi" w:hAnsiTheme="minorHAnsi"/>
                <w:color w:val="FFFFFF" w:themeColor="background1"/>
                <w:sz w:val="20"/>
                <w:szCs w:val="20"/>
              </w:rPr>
            </w:pPr>
          </w:p>
        </w:tc>
        <w:tc>
          <w:tcPr>
            <w:tcW w:w="2429" w:type="pct"/>
            <w:tcBorders>
              <w:top w:val="nil"/>
              <w:left w:val="nil"/>
            </w:tcBorders>
            <w:shd w:val="clear" w:color="auto" w:fill="31849B" w:themeFill="accent5" w:themeFillShade="BF"/>
          </w:tcPr>
          <w:p w14:paraId="4A7A2643" w14:textId="77777777" w:rsidR="00026B94" w:rsidRPr="00974A30" w:rsidRDefault="00026B94" w:rsidP="00932CAE">
            <w:pPr>
              <w:spacing w:before="40" w:after="40"/>
              <w:rPr>
                <w:rFonts w:asciiTheme="minorHAnsi" w:hAnsiTheme="minorHAnsi"/>
                <w:color w:val="FFFFFF" w:themeColor="background1"/>
                <w:sz w:val="20"/>
                <w:szCs w:val="20"/>
              </w:rPr>
            </w:pPr>
            <w:r w:rsidRPr="00974A30">
              <w:rPr>
                <w:rFonts w:asciiTheme="minorHAnsi" w:hAnsiTheme="minorHAnsi"/>
                <w:color w:val="FFFFFF" w:themeColor="background1"/>
                <w:sz w:val="20"/>
                <w:szCs w:val="20"/>
              </w:rPr>
              <w:t>Fostering community action or innovation in relation to the reduction of greenhouse gas substance emissions [mitigation] or adaptation or adjustment to climate change in Victoria</w:t>
            </w:r>
          </w:p>
        </w:tc>
      </w:tr>
      <w:tr w:rsidR="00026B94" w:rsidRPr="00974A30" w14:paraId="4A7A2655" w14:textId="77777777" w:rsidTr="000B4F25">
        <w:tc>
          <w:tcPr>
            <w:tcW w:w="2571" w:type="pct"/>
          </w:tcPr>
          <w:p w14:paraId="4A7A2645" w14:textId="77777777" w:rsidR="00974A30" w:rsidRDefault="00974A30" w:rsidP="00932CAE">
            <w:pPr>
              <w:spacing w:before="40" w:after="40"/>
              <w:rPr>
                <w:rFonts w:asciiTheme="minorHAnsi" w:hAnsiTheme="minorHAnsi"/>
                <w:b/>
                <w:color w:val="31849B" w:themeColor="accent5" w:themeShade="BF"/>
                <w:sz w:val="20"/>
                <w:szCs w:val="20"/>
              </w:rPr>
            </w:pPr>
          </w:p>
          <w:p w14:paraId="4A7A2646" w14:textId="77777777" w:rsidR="00026B94" w:rsidRPr="00974A30" w:rsidRDefault="00974A30" w:rsidP="00932CAE">
            <w:pPr>
              <w:spacing w:before="40" w:after="40"/>
              <w:rPr>
                <w:rFonts w:asciiTheme="minorHAnsi" w:hAnsiTheme="minorHAnsi"/>
                <w:b/>
                <w:color w:val="31849B" w:themeColor="accent5" w:themeShade="BF"/>
                <w:sz w:val="20"/>
                <w:szCs w:val="20"/>
              </w:rPr>
            </w:pPr>
            <w:r>
              <w:rPr>
                <w:rFonts w:asciiTheme="minorHAnsi" w:hAnsiTheme="minorHAnsi"/>
                <w:b/>
                <w:color w:val="31849B" w:themeColor="accent5" w:themeShade="BF"/>
                <w:sz w:val="20"/>
                <w:szCs w:val="20"/>
              </w:rPr>
              <w:t>S</w:t>
            </w:r>
            <w:r w:rsidR="00026B94" w:rsidRPr="00974A30">
              <w:rPr>
                <w:rFonts w:asciiTheme="minorHAnsi" w:hAnsiTheme="minorHAnsi"/>
                <w:b/>
                <w:color w:val="31849B" w:themeColor="accent5" w:themeShade="BF"/>
                <w:sz w:val="20"/>
                <w:szCs w:val="20"/>
              </w:rPr>
              <w:t>trategic priorities:</w:t>
            </w:r>
          </w:p>
          <w:p w14:paraId="4A7A2647" w14:textId="77777777" w:rsidR="00026B94" w:rsidRPr="00974A30" w:rsidRDefault="00026B94" w:rsidP="00026B94">
            <w:pPr>
              <w:pStyle w:val="ListParagraph"/>
              <w:numPr>
                <w:ilvl w:val="0"/>
                <w:numId w:val="8"/>
              </w:numPr>
              <w:tabs>
                <w:tab w:val="left" w:pos="267"/>
              </w:tabs>
              <w:spacing w:before="40" w:after="40"/>
              <w:ind w:left="267" w:hanging="267"/>
              <w:rPr>
                <w:rFonts w:ascii="Calibri" w:hAnsi="Calibri"/>
                <w:sz w:val="20"/>
                <w:szCs w:val="20"/>
              </w:rPr>
            </w:pPr>
            <w:r w:rsidRPr="00974A30">
              <w:rPr>
                <w:rFonts w:ascii="Calibri" w:hAnsi="Calibri"/>
                <w:sz w:val="20"/>
                <w:szCs w:val="20"/>
              </w:rPr>
              <w:t>making alternatives to landfill more viable and cost competitive through the stimulation, creation and expansion of viable markets for recycled and recovered materials;</w:t>
            </w:r>
          </w:p>
          <w:p w14:paraId="4A7A2648" w14:textId="77777777" w:rsidR="00026B94" w:rsidRPr="00974A30" w:rsidRDefault="00026B94" w:rsidP="00026B94">
            <w:pPr>
              <w:pStyle w:val="ListParagraph"/>
              <w:numPr>
                <w:ilvl w:val="0"/>
                <w:numId w:val="8"/>
              </w:numPr>
              <w:tabs>
                <w:tab w:val="left" w:pos="267"/>
              </w:tabs>
              <w:spacing w:before="40" w:after="40"/>
              <w:ind w:left="267" w:hanging="267"/>
              <w:rPr>
                <w:rFonts w:ascii="Calibri" w:hAnsi="Calibri"/>
                <w:sz w:val="20"/>
                <w:szCs w:val="20"/>
              </w:rPr>
            </w:pPr>
            <w:r w:rsidRPr="00974A30">
              <w:rPr>
                <w:rFonts w:ascii="Calibri" w:hAnsi="Calibri"/>
                <w:sz w:val="20"/>
                <w:szCs w:val="20"/>
              </w:rPr>
              <w:t>facilitating a network of best practice waste and resource recovery infrastructure which minimises public health and environmental impacts and maximises resource recovery opportunities;</w:t>
            </w:r>
          </w:p>
          <w:p w14:paraId="4A7A2649" w14:textId="77777777" w:rsidR="00026B94" w:rsidRPr="00974A30" w:rsidRDefault="00026B94" w:rsidP="00026B94">
            <w:pPr>
              <w:pStyle w:val="ListParagraph"/>
              <w:numPr>
                <w:ilvl w:val="0"/>
                <w:numId w:val="8"/>
              </w:numPr>
              <w:tabs>
                <w:tab w:val="left" w:pos="267"/>
              </w:tabs>
              <w:spacing w:before="40" w:after="40"/>
              <w:ind w:left="267" w:hanging="267"/>
              <w:rPr>
                <w:rFonts w:ascii="Calibri" w:hAnsi="Calibri"/>
                <w:sz w:val="20"/>
                <w:szCs w:val="20"/>
              </w:rPr>
            </w:pPr>
            <w:r w:rsidRPr="00974A30">
              <w:rPr>
                <w:rFonts w:ascii="Calibri" w:hAnsi="Calibri"/>
                <w:sz w:val="20"/>
                <w:szCs w:val="20"/>
              </w:rPr>
              <w:t xml:space="preserve">providing equity in access to, and reducing impacts of, waste and resource recovery services on communities; </w:t>
            </w:r>
          </w:p>
          <w:p w14:paraId="4A7A264A" w14:textId="77777777" w:rsidR="00026B94" w:rsidRPr="00974A30" w:rsidRDefault="00026B94" w:rsidP="00026B94">
            <w:pPr>
              <w:pStyle w:val="ListParagraph"/>
              <w:numPr>
                <w:ilvl w:val="0"/>
                <w:numId w:val="8"/>
              </w:numPr>
              <w:tabs>
                <w:tab w:val="left" w:pos="426"/>
              </w:tabs>
              <w:spacing w:before="40" w:after="40"/>
              <w:ind w:left="284" w:hanging="284"/>
              <w:rPr>
                <w:rFonts w:ascii="Calibri" w:hAnsi="Calibri"/>
                <w:sz w:val="20"/>
                <w:szCs w:val="20"/>
              </w:rPr>
            </w:pPr>
            <w:r w:rsidRPr="00974A30">
              <w:rPr>
                <w:rFonts w:ascii="Calibri" w:hAnsi="Calibri"/>
                <w:sz w:val="20"/>
                <w:szCs w:val="20"/>
              </w:rPr>
              <w:t>improving waste education and waste management capability to reduce waste generation, recover resources, and prevent littering and illegal dumping; and</w:t>
            </w:r>
          </w:p>
          <w:p w14:paraId="4A7A264B" w14:textId="77777777" w:rsidR="00026B94" w:rsidRPr="00974A30" w:rsidRDefault="00026B94" w:rsidP="00026B94">
            <w:pPr>
              <w:pStyle w:val="ListParagraph"/>
              <w:numPr>
                <w:ilvl w:val="0"/>
                <w:numId w:val="8"/>
              </w:numPr>
              <w:tabs>
                <w:tab w:val="left" w:pos="267"/>
              </w:tabs>
              <w:spacing w:before="40" w:after="40"/>
              <w:ind w:left="267" w:hanging="267"/>
              <w:rPr>
                <w:rFonts w:ascii="Calibri" w:hAnsi="Calibri"/>
                <w:sz w:val="20"/>
                <w:szCs w:val="20"/>
              </w:rPr>
            </w:pPr>
            <w:proofErr w:type="gramStart"/>
            <w:r w:rsidRPr="00974A30">
              <w:rPr>
                <w:rFonts w:ascii="Calibri" w:hAnsi="Calibri"/>
                <w:sz w:val="20"/>
                <w:szCs w:val="20"/>
              </w:rPr>
              <w:t>modernising</w:t>
            </w:r>
            <w:proofErr w:type="gramEnd"/>
            <w:r w:rsidRPr="00974A30">
              <w:rPr>
                <w:rFonts w:ascii="Calibri" w:hAnsi="Calibri"/>
                <w:sz w:val="20"/>
                <w:szCs w:val="20"/>
              </w:rPr>
              <w:t xml:space="preserve"> the management of legacy contamination or pollution.</w:t>
            </w:r>
          </w:p>
          <w:p w14:paraId="4A7A264C" w14:textId="77777777" w:rsidR="00026B94" w:rsidRDefault="00026B94" w:rsidP="00932CAE">
            <w:pPr>
              <w:spacing w:before="40" w:after="40"/>
              <w:jc w:val="both"/>
              <w:rPr>
                <w:rFonts w:asciiTheme="minorHAnsi" w:hAnsiTheme="minorHAnsi"/>
                <w:sz w:val="20"/>
                <w:szCs w:val="20"/>
              </w:rPr>
            </w:pPr>
            <w:r w:rsidRPr="00974A30">
              <w:rPr>
                <w:rFonts w:asciiTheme="minorHAnsi" w:hAnsiTheme="minorHAnsi"/>
                <w:sz w:val="20"/>
                <w:szCs w:val="20"/>
              </w:rPr>
              <w:t>Investment will be guided by Victorian government policies, including the Statewide Waste and Resource Recovery Infrastructure Plan, Regional Waste and Resource Recovery Implementation Plans and other relevant strategies.</w:t>
            </w:r>
          </w:p>
          <w:p w14:paraId="4A7A264D" w14:textId="77777777" w:rsidR="00974A30" w:rsidRPr="00974A30" w:rsidRDefault="00974A30" w:rsidP="00932CAE">
            <w:pPr>
              <w:spacing w:before="40" w:after="40"/>
              <w:jc w:val="both"/>
              <w:rPr>
                <w:rFonts w:asciiTheme="minorHAnsi" w:hAnsiTheme="minorHAnsi"/>
                <w:sz w:val="20"/>
                <w:szCs w:val="20"/>
              </w:rPr>
            </w:pPr>
          </w:p>
        </w:tc>
        <w:tc>
          <w:tcPr>
            <w:tcW w:w="2429" w:type="pct"/>
          </w:tcPr>
          <w:p w14:paraId="4A7A264E" w14:textId="77777777" w:rsidR="00974A30" w:rsidRDefault="00974A30" w:rsidP="00932CAE">
            <w:pPr>
              <w:spacing w:before="40" w:after="40"/>
              <w:rPr>
                <w:rFonts w:asciiTheme="minorHAnsi" w:hAnsiTheme="minorHAnsi"/>
                <w:b/>
                <w:color w:val="31849B" w:themeColor="accent5" w:themeShade="BF"/>
                <w:sz w:val="20"/>
                <w:szCs w:val="20"/>
              </w:rPr>
            </w:pPr>
          </w:p>
          <w:p w14:paraId="4A7A264F" w14:textId="77777777" w:rsidR="00026B94" w:rsidRPr="00974A30" w:rsidRDefault="00026B94" w:rsidP="00932CAE">
            <w:pPr>
              <w:spacing w:before="40" w:after="40"/>
              <w:rPr>
                <w:rFonts w:asciiTheme="minorHAnsi" w:hAnsiTheme="minorHAnsi"/>
                <w:b/>
                <w:color w:val="31849B" w:themeColor="accent5" w:themeShade="BF"/>
                <w:sz w:val="20"/>
                <w:szCs w:val="20"/>
              </w:rPr>
            </w:pPr>
            <w:r w:rsidRPr="00974A30">
              <w:rPr>
                <w:rFonts w:asciiTheme="minorHAnsi" w:hAnsiTheme="minorHAnsi"/>
                <w:b/>
                <w:color w:val="31849B" w:themeColor="accent5" w:themeShade="BF"/>
                <w:sz w:val="20"/>
                <w:szCs w:val="20"/>
              </w:rPr>
              <w:t>Strategic priorities:</w:t>
            </w:r>
          </w:p>
          <w:p w14:paraId="4A7A2650" w14:textId="77777777" w:rsidR="00026B94" w:rsidRPr="00974A30" w:rsidRDefault="00026B94" w:rsidP="00026B94">
            <w:pPr>
              <w:pStyle w:val="ListParagraph"/>
              <w:numPr>
                <w:ilvl w:val="0"/>
                <w:numId w:val="9"/>
              </w:numPr>
              <w:tabs>
                <w:tab w:val="left" w:pos="222"/>
              </w:tabs>
              <w:spacing w:before="40" w:after="40"/>
              <w:ind w:left="222" w:hanging="222"/>
              <w:rPr>
                <w:rFonts w:ascii="Calibri" w:hAnsi="Calibri"/>
                <w:sz w:val="20"/>
                <w:szCs w:val="20"/>
              </w:rPr>
            </w:pPr>
            <w:r w:rsidRPr="00974A30">
              <w:rPr>
                <w:rFonts w:ascii="Calibri" w:hAnsi="Calibri"/>
                <w:sz w:val="20"/>
                <w:szCs w:val="20"/>
              </w:rPr>
              <w:t>supporting individuals, communities and industry to transition to a low carbon economy;</w:t>
            </w:r>
          </w:p>
          <w:p w14:paraId="4A7A2651" w14:textId="77777777" w:rsidR="00026B94" w:rsidRPr="00974A30" w:rsidRDefault="00026B94" w:rsidP="00026B94">
            <w:pPr>
              <w:pStyle w:val="ListParagraph"/>
              <w:numPr>
                <w:ilvl w:val="0"/>
                <w:numId w:val="9"/>
              </w:numPr>
              <w:tabs>
                <w:tab w:val="left" w:pos="222"/>
              </w:tabs>
              <w:spacing w:before="40" w:after="40"/>
              <w:ind w:left="222" w:hanging="222"/>
              <w:rPr>
                <w:rFonts w:ascii="Calibri" w:hAnsi="Calibri"/>
                <w:sz w:val="20"/>
                <w:szCs w:val="20"/>
              </w:rPr>
            </w:pPr>
            <w:r w:rsidRPr="00974A30">
              <w:rPr>
                <w:rFonts w:ascii="Calibri" w:hAnsi="Calibri"/>
                <w:sz w:val="20"/>
                <w:szCs w:val="20"/>
              </w:rPr>
              <w:t>supporting Victorians to adapt to the impacts of climate change, particularly those most vulnerable and least able to do so;</w:t>
            </w:r>
          </w:p>
          <w:p w14:paraId="4A7A2652" w14:textId="77777777" w:rsidR="00026B94" w:rsidRPr="00974A30" w:rsidRDefault="00026B94" w:rsidP="00026B94">
            <w:pPr>
              <w:pStyle w:val="ListParagraph"/>
              <w:numPr>
                <w:ilvl w:val="0"/>
                <w:numId w:val="9"/>
              </w:numPr>
              <w:tabs>
                <w:tab w:val="left" w:pos="222"/>
              </w:tabs>
              <w:spacing w:before="40" w:after="40"/>
              <w:ind w:left="239" w:hanging="219"/>
              <w:rPr>
                <w:rFonts w:ascii="Calibri" w:hAnsi="Calibri"/>
                <w:sz w:val="20"/>
                <w:szCs w:val="20"/>
              </w:rPr>
            </w:pPr>
            <w:r w:rsidRPr="00974A30">
              <w:rPr>
                <w:rFonts w:ascii="Calibri" w:hAnsi="Calibri"/>
                <w:sz w:val="20"/>
                <w:szCs w:val="20"/>
              </w:rPr>
              <w:t>building Victorian communities’ capacity, capability and skills in responding to climate change; and</w:t>
            </w:r>
          </w:p>
          <w:p w14:paraId="4A7A2653" w14:textId="77777777" w:rsidR="00026B94" w:rsidRPr="00974A30" w:rsidRDefault="00026B94" w:rsidP="00026B94">
            <w:pPr>
              <w:pStyle w:val="ListParagraph"/>
              <w:numPr>
                <w:ilvl w:val="0"/>
                <w:numId w:val="9"/>
              </w:numPr>
              <w:tabs>
                <w:tab w:val="left" w:pos="222"/>
              </w:tabs>
              <w:spacing w:before="40" w:after="40"/>
              <w:ind w:left="222" w:hanging="222"/>
              <w:rPr>
                <w:rFonts w:ascii="Calibri" w:hAnsi="Calibri"/>
                <w:sz w:val="20"/>
                <w:szCs w:val="20"/>
              </w:rPr>
            </w:pPr>
            <w:proofErr w:type="gramStart"/>
            <w:r w:rsidRPr="00974A30">
              <w:rPr>
                <w:rFonts w:ascii="Calibri" w:hAnsi="Calibri"/>
                <w:sz w:val="20"/>
                <w:szCs w:val="20"/>
              </w:rPr>
              <w:t>assisting</w:t>
            </w:r>
            <w:proofErr w:type="gramEnd"/>
            <w:r w:rsidRPr="00974A30">
              <w:rPr>
                <w:rFonts w:ascii="Calibri" w:hAnsi="Calibri"/>
                <w:sz w:val="20"/>
                <w:szCs w:val="20"/>
              </w:rPr>
              <w:t xml:space="preserve"> Victoria's ecosystems and native species to be more resilient to climate change and/or support mitigation outcomes.</w:t>
            </w:r>
          </w:p>
          <w:p w14:paraId="4A7A2654" w14:textId="77777777" w:rsidR="00026B94" w:rsidRPr="00974A30" w:rsidRDefault="00026B94" w:rsidP="00932CAE">
            <w:pPr>
              <w:spacing w:before="40" w:after="40"/>
              <w:jc w:val="both"/>
              <w:rPr>
                <w:sz w:val="20"/>
                <w:szCs w:val="20"/>
              </w:rPr>
            </w:pPr>
            <w:r w:rsidRPr="00974A30">
              <w:rPr>
                <w:rFonts w:asciiTheme="minorHAnsi" w:hAnsiTheme="minorHAnsi"/>
                <w:sz w:val="20"/>
                <w:szCs w:val="20"/>
              </w:rPr>
              <w:t>Investment will be guided by Victorian government policies, including climate change policies, the Victorian Climate Change Adaptation Plan, Energy Efficiency and Productivity Statement, Renewable Energy Action Plan, biodiversity plan and other relevant strategies.</w:t>
            </w:r>
          </w:p>
        </w:tc>
      </w:tr>
    </w:tbl>
    <w:p w14:paraId="4A7A2656" w14:textId="77777777" w:rsidR="00026B94" w:rsidRDefault="00026B94" w:rsidP="00644B60">
      <w:pPr>
        <w:rPr>
          <w:rFonts w:cs="Arial"/>
          <w:lang w:val="en"/>
        </w:rPr>
      </w:pPr>
    </w:p>
    <w:p w14:paraId="4A7A2657" w14:textId="77777777" w:rsidR="00324A42" w:rsidRDefault="00324A42" w:rsidP="008F6063">
      <w:pPr>
        <w:ind w:left="-284"/>
        <w:rPr>
          <w:rFonts w:cs="Arial"/>
          <w:sz w:val="21"/>
          <w:szCs w:val="21"/>
          <w:lang w:val="en"/>
        </w:rPr>
      </w:pPr>
    </w:p>
    <w:p w14:paraId="4A7A2658" w14:textId="77777777" w:rsidR="00644B60" w:rsidRPr="008F6063" w:rsidRDefault="00644B60" w:rsidP="008F6063">
      <w:pPr>
        <w:ind w:left="-284"/>
        <w:rPr>
          <w:rFonts w:cs="Arial"/>
          <w:sz w:val="21"/>
          <w:szCs w:val="21"/>
        </w:rPr>
      </w:pPr>
      <w:r w:rsidRPr="008F6063">
        <w:rPr>
          <w:rFonts w:cs="Arial"/>
          <w:sz w:val="21"/>
          <w:szCs w:val="21"/>
          <w:lang w:val="en"/>
        </w:rPr>
        <w:t xml:space="preserve">The </w:t>
      </w:r>
      <w:hyperlink r:id="rId19" w:history="1">
        <w:r w:rsidR="00026B94" w:rsidRPr="008F6063">
          <w:rPr>
            <w:rStyle w:val="Hyperlink"/>
            <w:rFonts w:cs="Arial"/>
            <w:sz w:val="21"/>
            <w:szCs w:val="21"/>
            <w:lang w:val="en"/>
          </w:rPr>
          <w:t>Sustainability Fund Guidelines</w:t>
        </w:r>
      </w:hyperlink>
      <w:r w:rsidRPr="008F6063">
        <w:rPr>
          <w:rFonts w:cs="Arial"/>
          <w:sz w:val="21"/>
          <w:szCs w:val="21"/>
          <w:lang w:val="en"/>
        </w:rPr>
        <w:t xml:space="preserve"> outline how the Minister and the Premier will exercise their powers in </w:t>
      </w:r>
      <w:r w:rsidR="00117D3B" w:rsidRPr="008F6063">
        <w:rPr>
          <w:rFonts w:cs="Arial"/>
          <w:sz w:val="21"/>
          <w:szCs w:val="21"/>
          <w:lang w:val="en"/>
        </w:rPr>
        <w:t>relation to distribution of the</w:t>
      </w:r>
      <w:r w:rsidRPr="008F6063">
        <w:rPr>
          <w:rFonts w:cs="Arial"/>
          <w:sz w:val="21"/>
          <w:szCs w:val="21"/>
          <w:lang w:val="en"/>
        </w:rPr>
        <w:t xml:space="preserve"> monies from the Fund</w:t>
      </w:r>
      <w:r w:rsidR="00117D3B" w:rsidRPr="008F6063">
        <w:rPr>
          <w:rFonts w:cs="Arial"/>
          <w:sz w:val="21"/>
          <w:szCs w:val="21"/>
          <w:lang w:val="en"/>
        </w:rPr>
        <w:t xml:space="preserve"> and note that </w:t>
      </w:r>
      <w:r w:rsidRPr="008F6063">
        <w:rPr>
          <w:rFonts w:cs="Arial"/>
          <w:sz w:val="21"/>
          <w:szCs w:val="21"/>
        </w:rPr>
        <w:t>DELWP will publish the allocation of funds in its Annual Report</w:t>
      </w:r>
      <w:r w:rsidR="00117D3B" w:rsidRPr="008F6063">
        <w:rPr>
          <w:rFonts w:cs="Arial"/>
          <w:sz w:val="21"/>
          <w:szCs w:val="21"/>
        </w:rPr>
        <w:t xml:space="preserve">. </w:t>
      </w:r>
    </w:p>
    <w:p w14:paraId="4A7A2659" w14:textId="77777777" w:rsidR="009231A2" w:rsidRPr="008F6063" w:rsidRDefault="009231A2" w:rsidP="008F6063">
      <w:pPr>
        <w:ind w:left="-284"/>
        <w:rPr>
          <w:rFonts w:cs="Arial"/>
          <w:sz w:val="21"/>
          <w:szCs w:val="21"/>
        </w:rPr>
      </w:pPr>
    </w:p>
    <w:p w14:paraId="4A7A265A" w14:textId="77777777" w:rsidR="009231A2" w:rsidRPr="008F6063" w:rsidRDefault="009231A2" w:rsidP="008F6063">
      <w:pPr>
        <w:ind w:left="-284"/>
        <w:rPr>
          <w:rStyle w:val="Hyperlink"/>
          <w:rFonts w:cs="Arial"/>
          <w:color w:val="auto"/>
          <w:sz w:val="21"/>
          <w:szCs w:val="21"/>
          <w:u w:val="none"/>
          <w:lang w:val="en"/>
        </w:rPr>
      </w:pPr>
      <w:r w:rsidRPr="008F6063">
        <w:rPr>
          <w:rFonts w:cs="Arial"/>
          <w:sz w:val="21"/>
          <w:szCs w:val="21"/>
          <w:lang w:val="en"/>
        </w:rPr>
        <w:t xml:space="preserve">The </w:t>
      </w:r>
      <w:hyperlink r:id="rId20" w:history="1">
        <w:r w:rsidRPr="008F6063">
          <w:rPr>
            <w:rStyle w:val="Hyperlink"/>
            <w:rFonts w:cs="Arial"/>
            <w:sz w:val="21"/>
            <w:szCs w:val="21"/>
            <w:lang w:val="en"/>
          </w:rPr>
          <w:t>2016 DELWP Annual Report</w:t>
        </w:r>
      </w:hyperlink>
      <w:r w:rsidRPr="008F6063">
        <w:rPr>
          <w:rStyle w:val="Hyperlink"/>
          <w:rFonts w:cs="Arial"/>
          <w:sz w:val="21"/>
          <w:szCs w:val="21"/>
          <w:u w:val="none"/>
          <w:lang w:val="en"/>
        </w:rPr>
        <w:t xml:space="preserve"> </w:t>
      </w:r>
      <w:r w:rsidRPr="008F6063">
        <w:rPr>
          <w:rStyle w:val="Hyperlink"/>
          <w:rFonts w:cs="Arial"/>
          <w:color w:val="auto"/>
          <w:sz w:val="21"/>
          <w:szCs w:val="21"/>
          <w:u w:val="none"/>
          <w:lang w:val="en"/>
        </w:rPr>
        <w:t>indicates that in 2015-16 a total of $150.93 million was paid into the Municipal and Industrial Landfill Levy</w:t>
      </w:r>
      <w:r w:rsidR="00FD34C2">
        <w:rPr>
          <w:rStyle w:val="Hyperlink"/>
          <w:rFonts w:cs="Arial"/>
          <w:color w:val="auto"/>
          <w:sz w:val="21"/>
          <w:szCs w:val="21"/>
          <w:u w:val="none"/>
          <w:lang w:val="en"/>
        </w:rPr>
        <w:t xml:space="preserve"> Trust Account</w:t>
      </w:r>
      <w:r w:rsidRPr="008F6063">
        <w:rPr>
          <w:rStyle w:val="Hyperlink"/>
          <w:rFonts w:cs="Arial"/>
          <w:color w:val="auto"/>
          <w:sz w:val="21"/>
          <w:szCs w:val="21"/>
          <w:u w:val="none"/>
          <w:lang w:val="en"/>
        </w:rPr>
        <w:t>, with $56.31 million in payments made to the</w:t>
      </w:r>
      <w:r w:rsidR="008F6063" w:rsidRPr="008F6063">
        <w:rPr>
          <w:rStyle w:val="Hyperlink"/>
          <w:rFonts w:cs="Arial"/>
          <w:color w:val="auto"/>
          <w:sz w:val="21"/>
          <w:szCs w:val="21"/>
          <w:u w:val="none"/>
          <w:lang w:val="en"/>
        </w:rPr>
        <w:t xml:space="preserve"> EPA, SV and the waste and resource recovery groups </w:t>
      </w:r>
      <w:r w:rsidRPr="008F6063">
        <w:rPr>
          <w:rStyle w:val="Hyperlink"/>
          <w:rFonts w:cs="Arial"/>
          <w:color w:val="auto"/>
          <w:sz w:val="21"/>
          <w:szCs w:val="21"/>
          <w:u w:val="none"/>
          <w:lang w:val="en"/>
        </w:rPr>
        <w:t xml:space="preserve">and the balance of $94.62 million transferred into the Sustainability Fund. </w:t>
      </w:r>
    </w:p>
    <w:p w14:paraId="4A7A265B" w14:textId="77777777" w:rsidR="009231A2" w:rsidRPr="008F6063" w:rsidRDefault="009231A2" w:rsidP="008F6063">
      <w:pPr>
        <w:ind w:left="-284"/>
        <w:rPr>
          <w:rStyle w:val="Hyperlink"/>
          <w:rFonts w:cs="Arial"/>
          <w:color w:val="auto"/>
          <w:sz w:val="21"/>
          <w:szCs w:val="21"/>
          <w:u w:val="none"/>
          <w:lang w:val="en"/>
        </w:rPr>
      </w:pPr>
    </w:p>
    <w:p w14:paraId="4A7A265C" w14:textId="77777777" w:rsidR="009231A2" w:rsidRPr="008F6063" w:rsidRDefault="009231A2" w:rsidP="008F6063">
      <w:pPr>
        <w:ind w:left="-284"/>
        <w:rPr>
          <w:rFonts w:cs="Arial"/>
          <w:bCs/>
          <w:sz w:val="21"/>
          <w:szCs w:val="21"/>
        </w:rPr>
      </w:pPr>
      <w:r w:rsidRPr="008F6063">
        <w:rPr>
          <w:rStyle w:val="Hyperlink"/>
          <w:rFonts w:cs="Arial"/>
          <w:color w:val="auto"/>
          <w:sz w:val="21"/>
          <w:szCs w:val="21"/>
          <w:u w:val="none"/>
          <w:lang w:val="en"/>
        </w:rPr>
        <w:t>T</w:t>
      </w:r>
      <w:r w:rsidRPr="008F6063">
        <w:rPr>
          <w:rFonts w:cs="Arial"/>
          <w:sz w:val="21"/>
          <w:szCs w:val="21"/>
          <w:lang w:val="en"/>
        </w:rPr>
        <w:t xml:space="preserve">he balance of the Sustainability Fund at 30 June 2016 was </w:t>
      </w:r>
      <w:r w:rsidRPr="00524B0D">
        <w:rPr>
          <w:rFonts w:cs="Arial"/>
          <w:b/>
          <w:sz w:val="21"/>
          <w:szCs w:val="21"/>
          <w:lang w:val="en"/>
        </w:rPr>
        <w:t>$</w:t>
      </w:r>
      <w:r w:rsidRPr="00524B0D">
        <w:rPr>
          <w:rFonts w:cs="Arial"/>
          <w:b/>
          <w:bCs/>
          <w:sz w:val="21"/>
          <w:szCs w:val="21"/>
        </w:rPr>
        <w:t>466,252,000</w:t>
      </w:r>
      <w:r w:rsidRPr="008F6063">
        <w:rPr>
          <w:rFonts w:cs="Arial"/>
          <w:bCs/>
          <w:sz w:val="21"/>
          <w:szCs w:val="21"/>
        </w:rPr>
        <w:t>.</w:t>
      </w:r>
    </w:p>
    <w:p w14:paraId="4A7A265D" w14:textId="77777777" w:rsidR="009231A2" w:rsidRPr="008F6063" w:rsidRDefault="009231A2" w:rsidP="008F6063">
      <w:pPr>
        <w:ind w:left="-284"/>
        <w:rPr>
          <w:rFonts w:cs="Arial"/>
          <w:sz w:val="21"/>
          <w:szCs w:val="21"/>
        </w:rPr>
      </w:pPr>
    </w:p>
    <w:p w14:paraId="553E3E8E" w14:textId="77777777" w:rsidR="00524B0D" w:rsidRDefault="00524B0D">
      <w:pPr>
        <w:rPr>
          <w:rFonts w:ascii="Cambria" w:hAnsi="Cambria" w:cs="Times New Roman"/>
          <w:b/>
          <w:bCs/>
          <w:color w:val="4F81BD"/>
          <w:sz w:val="26"/>
          <w:szCs w:val="26"/>
          <w:lang w:val="en" w:eastAsia="en-AU"/>
        </w:rPr>
      </w:pPr>
      <w:r>
        <w:rPr>
          <w:lang w:val="en"/>
        </w:rPr>
        <w:br w:type="page"/>
      </w:r>
    </w:p>
    <w:p w14:paraId="6F6A9106" w14:textId="77777777" w:rsidR="00F827D2" w:rsidRDefault="00F827D2" w:rsidP="008F6063">
      <w:pPr>
        <w:pStyle w:val="Heading2"/>
        <w:ind w:left="-284"/>
        <w:rPr>
          <w:lang w:val="en"/>
        </w:rPr>
      </w:pPr>
    </w:p>
    <w:p w14:paraId="4A7A265E" w14:textId="020A03BE" w:rsidR="00117D3B" w:rsidRDefault="00117D3B" w:rsidP="008F6063">
      <w:pPr>
        <w:pStyle w:val="Heading2"/>
        <w:ind w:left="-284"/>
        <w:rPr>
          <w:lang w:val="en"/>
        </w:rPr>
      </w:pPr>
      <w:r>
        <w:rPr>
          <w:lang w:val="en"/>
        </w:rPr>
        <w:t>Victorian Budget 2017</w:t>
      </w:r>
      <w:r w:rsidR="00505357">
        <w:rPr>
          <w:lang w:val="en"/>
        </w:rPr>
        <w:t>-18</w:t>
      </w:r>
    </w:p>
    <w:p w14:paraId="4A7A265F" w14:textId="77777777" w:rsidR="0009357F" w:rsidRDefault="0009357F" w:rsidP="008F6063">
      <w:pPr>
        <w:ind w:left="-284"/>
        <w:rPr>
          <w:lang w:val="en"/>
        </w:rPr>
      </w:pPr>
    </w:p>
    <w:p w14:paraId="4A7A2660" w14:textId="77777777" w:rsidR="008F6063" w:rsidRPr="008F6063" w:rsidRDefault="00505357" w:rsidP="008F6063">
      <w:pPr>
        <w:ind w:left="-284"/>
        <w:rPr>
          <w:sz w:val="21"/>
          <w:szCs w:val="21"/>
          <w:lang w:val="en"/>
        </w:rPr>
      </w:pPr>
      <w:r w:rsidRPr="008F6063">
        <w:rPr>
          <w:sz w:val="21"/>
          <w:szCs w:val="21"/>
          <w:lang w:val="en"/>
        </w:rPr>
        <w:t xml:space="preserve">The Victorian Budget 2017-18 includes numerous commitments funded by the landfill levy. </w:t>
      </w:r>
    </w:p>
    <w:p w14:paraId="4A7A2661" w14:textId="77777777" w:rsidR="008F6063" w:rsidRPr="008F6063" w:rsidRDefault="008F6063" w:rsidP="008F6063">
      <w:pPr>
        <w:ind w:left="-284"/>
        <w:rPr>
          <w:sz w:val="21"/>
          <w:szCs w:val="21"/>
          <w:lang w:val="en"/>
        </w:rPr>
      </w:pPr>
    </w:p>
    <w:p w14:paraId="4A7A2662" w14:textId="77777777" w:rsidR="00505357" w:rsidRDefault="00505357" w:rsidP="008F6063">
      <w:pPr>
        <w:ind w:left="-284"/>
        <w:rPr>
          <w:sz w:val="21"/>
          <w:szCs w:val="21"/>
          <w:lang w:val="en"/>
        </w:rPr>
      </w:pPr>
      <w:r w:rsidRPr="008F6063">
        <w:rPr>
          <w:sz w:val="21"/>
          <w:szCs w:val="21"/>
          <w:lang w:val="en"/>
        </w:rPr>
        <w:t xml:space="preserve">A total of $166.2 million of landfill levy revenue is committed to be expended in 2017-18, and </w:t>
      </w:r>
      <w:r w:rsidR="008F6063" w:rsidRPr="008F6063">
        <w:rPr>
          <w:sz w:val="21"/>
          <w:szCs w:val="21"/>
          <w:lang w:val="en"/>
        </w:rPr>
        <w:t xml:space="preserve">a total of </w:t>
      </w:r>
      <w:r w:rsidRPr="008F6063">
        <w:rPr>
          <w:sz w:val="21"/>
          <w:szCs w:val="21"/>
          <w:lang w:val="en"/>
        </w:rPr>
        <w:t>$540 million over the next four years (including 2017-18).</w:t>
      </w:r>
      <w:r w:rsidR="005E18CD" w:rsidRPr="008F6063">
        <w:rPr>
          <w:sz w:val="21"/>
          <w:szCs w:val="21"/>
          <w:lang w:val="en"/>
        </w:rPr>
        <w:t xml:space="preserve"> Only a very small proportion of that funding appears to be dedicated to diverting waste from landfill.</w:t>
      </w:r>
      <w:r w:rsidR="008F6063" w:rsidRPr="008F6063">
        <w:rPr>
          <w:sz w:val="21"/>
          <w:szCs w:val="21"/>
          <w:lang w:val="en"/>
        </w:rPr>
        <w:t xml:space="preserve"> </w:t>
      </w:r>
    </w:p>
    <w:p w14:paraId="40A5CB44" w14:textId="77777777" w:rsidR="00324A42" w:rsidRDefault="00324A42" w:rsidP="008F6063">
      <w:pPr>
        <w:ind w:left="-284"/>
        <w:rPr>
          <w:sz w:val="21"/>
          <w:szCs w:val="21"/>
          <w:lang w:val="en"/>
        </w:rPr>
      </w:pPr>
    </w:p>
    <w:p w14:paraId="4A7A2664" w14:textId="77777777" w:rsidR="008F6063" w:rsidRPr="00974A30" w:rsidRDefault="00974A30" w:rsidP="00324A42">
      <w:pPr>
        <w:ind w:left="-284"/>
        <w:jc w:val="right"/>
        <w:rPr>
          <w:rFonts w:asciiTheme="minorHAnsi" w:hAnsiTheme="minorHAnsi"/>
          <w:lang w:val="en"/>
        </w:rPr>
      </w:pPr>
      <w:r w:rsidRPr="00974A30">
        <w:rPr>
          <w:rFonts w:asciiTheme="minorHAnsi" w:hAnsiTheme="minorHAnsi"/>
          <w:lang w:val="en"/>
        </w:rPr>
        <w:t>($ million)</w:t>
      </w:r>
    </w:p>
    <w:tbl>
      <w:tblPr>
        <w:tblW w:w="9890" w:type="dxa"/>
        <w:tblInd w:w="-176" w:type="dxa"/>
        <w:tblLook w:val="04A0" w:firstRow="1" w:lastRow="0" w:firstColumn="1" w:lastColumn="0" w:noHBand="0" w:noVBand="1"/>
      </w:tblPr>
      <w:tblGrid>
        <w:gridCol w:w="5822"/>
        <w:gridCol w:w="819"/>
        <w:gridCol w:w="819"/>
        <w:gridCol w:w="904"/>
        <w:gridCol w:w="916"/>
        <w:gridCol w:w="610"/>
      </w:tblGrid>
      <w:tr w:rsidR="008F008E" w14:paraId="4A7A266C" w14:textId="77777777" w:rsidTr="00C15241">
        <w:trPr>
          <w:trHeight w:val="300"/>
        </w:trPr>
        <w:tc>
          <w:tcPr>
            <w:tcW w:w="58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7A2665" w14:textId="77777777" w:rsidR="008F008E" w:rsidRDefault="00A92E63">
            <w:pPr>
              <w:rPr>
                <w:rFonts w:ascii="Calibri" w:hAnsi="Calibri" w:cs="Arial"/>
                <w:b/>
                <w:bCs/>
                <w:color w:val="000000"/>
              </w:rPr>
            </w:pPr>
            <w:r>
              <w:rPr>
                <w:rFonts w:ascii="Calibri" w:hAnsi="Calibri" w:cs="Arial"/>
                <w:b/>
                <w:bCs/>
                <w:color w:val="000000"/>
              </w:rPr>
              <w:t>Victorian Budget 2017-18 output initiatives</w:t>
            </w:r>
          </w:p>
          <w:p w14:paraId="4A7A2666" w14:textId="77777777" w:rsidR="008F6063" w:rsidRDefault="008F6063">
            <w:pPr>
              <w:rPr>
                <w:rFonts w:ascii="Calibri" w:hAnsi="Calibri" w:cs="Arial"/>
                <w:b/>
                <w:bCs/>
                <w:color w:val="000000"/>
              </w:rPr>
            </w:pPr>
          </w:p>
        </w:tc>
        <w:tc>
          <w:tcPr>
            <w:tcW w:w="819" w:type="dxa"/>
            <w:tcBorders>
              <w:top w:val="single" w:sz="4" w:space="0" w:color="auto"/>
              <w:left w:val="nil"/>
              <w:bottom w:val="single" w:sz="4" w:space="0" w:color="auto"/>
              <w:right w:val="single" w:sz="4" w:space="0" w:color="auto"/>
            </w:tcBorders>
            <w:shd w:val="clear" w:color="000000" w:fill="C5D9F1"/>
            <w:vAlign w:val="bottom"/>
            <w:hideMark/>
          </w:tcPr>
          <w:p w14:paraId="4A7A2667" w14:textId="77777777" w:rsidR="008F008E" w:rsidRDefault="008F008E">
            <w:pPr>
              <w:rPr>
                <w:rFonts w:ascii="Calibri" w:hAnsi="Calibri" w:cs="Arial"/>
                <w:b/>
                <w:bCs/>
                <w:color w:val="000000"/>
              </w:rPr>
            </w:pPr>
            <w:r>
              <w:rPr>
                <w:rFonts w:ascii="Calibri" w:hAnsi="Calibri" w:cs="Arial"/>
                <w:b/>
                <w:bCs/>
                <w:color w:val="000000"/>
              </w:rPr>
              <w:t>2017-18</w:t>
            </w:r>
          </w:p>
        </w:tc>
        <w:tc>
          <w:tcPr>
            <w:tcW w:w="819" w:type="dxa"/>
            <w:tcBorders>
              <w:top w:val="single" w:sz="4" w:space="0" w:color="auto"/>
              <w:left w:val="nil"/>
              <w:bottom w:val="single" w:sz="4" w:space="0" w:color="auto"/>
              <w:right w:val="single" w:sz="4" w:space="0" w:color="auto"/>
            </w:tcBorders>
            <w:shd w:val="clear" w:color="000000" w:fill="C5D9F1"/>
            <w:vAlign w:val="bottom"/>
            <w:hideMark/>
          </w:tcPr>
          <w:p w14:paraId="4A7A2668" w14:textId="77777777" w:rsidR="008F008E" w:rsidRDefault="008F008E">
            <w:pPr>
              <w:rPr>
                <w:rFonts w:ascii="Calibri" w:hAnsi="Calibri" w:cs="Arial"/>
                <w:b/>
                <w:bCs/>
                <w:color w:val="000000"/>
              </w:rPr>
            </w:pPr>
            <w:r>
              <w:rPr>
                <w:rFonts w:ascii="Calibri" w:hAnsi="Calibri" w:cs="Arial"/>
                <w:b/>
                <w:bCs/>
                <w:color w:val="000000"/>
              </w:rPr>
              <w:t>2018-19</w:t>
            </w:r>
          </w:p>
        </w:tc>
        <w:tc>
          <w:tcPr>
            <w:tcW w:w="904" w:type="dxa"/>
            <w:tcBorders>
              <w:top w:val="single" w:sz="4" w:space="0" w:color="auto"/>
              <w:left w:val="nil"/>
              <w:bottom w:val="single" w:sz="4" w:space="0" w:color="auto"/>
              <w:right w:val="single" w:sz="4" w:space="0" w:color="auto"/>
            </w:tcBorders>
            <w:shd w:val="clear" w:color="000000" w:fill="C5D9F1"/>
            <w:vAlign w:val="bottom"/>
            <w:hideMark/>
          </w:tcPr>
          <w:p w14:paraId="4A7A2669" w14:textId="77777777" w:rsidR="008F008E" w:rsidRDefault="008F008E">
            <w:pPr>
              <w:rPr>
                <w:rFonts w:ascii="Calibri" w:hAnsi="Calibri" w:cs="Arial"/>
                <w:b/>
                <w:bCs/>
                <w:color w:val="000000"/>
              </w:rPr>
            </w:pPr>
            <w:r>
              <w:rPr>
                <w:rFonts w:ascii="Calibri" w:hAnsi="Calibri" w:cs="Arial"/>
                <w:b/>
                <w:bCs/>
                <w:color w:val="000000"/>
              </w:rPr>
              <w:t>2019-20</w:t>
            </w:r>
          </w:p>
        </w:tc>
        <w:tc>
          <w:tcPr>
            <w:tcW w:w="916" w:type="dxa"/>
            <w:tcBorders>
              <w:top w:val="single" w:sz="4" w:space="0" w:color="auto"/>
              <w:left w:val="nil"/>
              <w:bottom w:val="single" w:sz="4" w:space="0" w:color="auto"/>
              <w:right w:val="single" w:sz="4" w:space="0" w:color="auto"/>
            </w:tcBorders>
            <w:shd w:val="clear" w:color="000000" w:fill="C5D9F1"/>
            <w:vAlign w:val="bottom"/>
            <w:hideMark/>
          </w:tcPr>
          <w:p w14:paraId="4A7A266A" w14:textId="77777777" w:rsidR="008F008E" w:rsidRDefault="008F008E">
            <w:pPr>
              <w:rPr>
                <w:rFonts w:ascii="Calibri" w:hAnsi="Calibri" w:cs="Arial"/>
                <w:b/>
                <w:bCs/>
                <w:color w:val="000000"/>
              </w:rPr>
            </w:pPr>
            <w:r>
              <w:rPr>
                <w:rFonts w:ascii="Calibri" w:hAnsi="Calibri" w:cs="Arial"/>
                <w:b/>
                <w:bCs/>
                <w:color w:val="000000"/>
              </w:rPr>
              <w:t>2020-21</w:t>
            </w:r>
          </w:p>
        </w:tc>
        <w:tc>
          <w:tcPr>
            <w:tcW w:w="610" w:type="dxa"/>
            <w:tcBorders>
              <w:top w:val="single" w:sz="4" w:space="0" w:color="auto"/>
              <w:left w:val="nil"/>
              <w:bottom w:val="single" w:sz="4" w:space="0" w:color="auto"/>
              <w:right w:val="single" w:sz="4" w:space="0" w:color="auto"/>
            </w:tcBorders>
            <w:shd w:val="clear" w:color="000000" w:fill="C5D9F1"/>
            <w:vAlign w:val="bottom"/>
            <w:hideMark/>
          </w:tcPr>
          <w:p w14:paraId="4A7A266B" w14:textId="77777777" w:rsidR="008F008E" w:rsidRDefault="008F008E">
            <w:pPr>
              <w:rPr>
                <w:rFonts w:ascii="Calibri" w:hAnsi="Calibri" w:cs="Arial"/>
                <w:color w:val="000000"/>
              </w:rPr>
            </w:pPr>
            <w:r>
              <w:rPr>
                <w:rFonts w:ascii="Calibri" w:hAnsi="Calibri" w:cs="Arial"/>
                <w:color w:val="000000"/>
              </w:rPr>
              <w:t> </w:t>
            </w:r>
          </w:p>
        </w:tc>
      </w:tr>
      <w:tr w:rsidR="008F008E" w14:paraId="4A7A2673" w14:textId="77777777" w:rsidTr="00C15241">
        <w:trPr>
          <w:trHeight w:val="300"/>
        </w:trPr>
        <w:tc>
          <w:tcPr>
            <w:tcW w:w="5822" w:type="dxa"/>
            <w:tcBorders>
              <w:top w:val="nil"/>
              <w:left w:val="single" w:sz="4" w:space="0" w:color="auto"/>
              <w:bottom w:val="single" w:sz="4" w:space="0" w:color="auto"/>
              <w:right w:val="single" w:sz="4" w:space="0" w:color="auto"/>
            </w:tcBorders>
            <w:shd w:val="clear" w:color="auto" w:fill="auto"/>
            <w:vAlign w:val="bottom"/>
          </w:tcPr>
          <w:p w14:paraId="4A7A266D" w14:textId="77777777" w:rsidR="008F008E" w:rsidRDefault="00A92E63">
            <w:pPr>
              <w:rPr>
                <w:rFonts w:ascii="Calibri" w:hAnsi="Calibri" w:cs="Arial"/>
                <w:color w:val="000000"/>
              </w:rPr>
            </w:pPr>
            <w:r>
              <w:rPr>
                <w:rFonts w:ascii="Calibri" w:hAnsi="Calibri" w:cs="Arial"/>
                <w:b/>
                <w:bCs/>
                <w:color w:val="000000"/>
              </w:rPr>
              <w:t xml:space="preserve">Funding source: </w:t>
            </w:r>
            <w:r w:rsidR="00505357">
              <w:rPr>
                <w:rFonts w:ascii="Calibri" w:hAnsi="Calibri" w:cs="Arial"/>
                <w:b/>
                <w:bCs/>
                <w:color w:val="000000"/>
              </w:rPr>
              <w:t>Sustainability Fund</w:t>
            </w:r>
          </w:p>
        </w:tc>
        <w:tc>
          <w:tcPr>
            <w:tcW w:w="819" w:type="dxa"/>
            <w:tcBorders>
              <w:top w:val="nil"/>
              <w:left w:val="nil"/>
              <w:bottom w:val="single" w:sz="4" w:space="0" w:color="auto"/>
              <w:right w:val="single" w:sz="4" w:space="0" w:color="auto"/>
            </w:tcBorders>
            <w:shd w:val="clear" w:color="auto" w:fill="auto"/>
            <w:vAlign w:val="bottom"/>
          </w:tcPr>
          <w:p w14:paraId="4A7A266E" w14:textId="77777777" w:rsidR="008F008E" w:rsidRDefault="008F008E">
            <w:pPr>
              <w:jc w:val="right"/>
              <w:rPr>
                <w:rFonts w:ascii="Calibri" w:hAnsi="Calibri" w:cs="Arial"/>
                <w:color w:val="000000"/>
              </w:rPr>
            </w:pPr>
          </w:p>
        </w:tc>
        <w:tc>
          <w:tcPr>
            <w:tcW w:w="819" w:type="dxa"/>
            <w:tcBorders>
              <w:top w:val="nil"/>
              <w:left w:val="nil"/>
              <w:bottom w:val="single" w:sz="4" w:space="0" w:color="auto"/>
              <w:right w:val="single" w:sz="4" w:space="0" w:color="auto"/>
            </w:tcBorders>
            <w:shd w:val="clear" w:color="auto" w:fill="auto"/>
            <w:vAlign w:val="bottom"/>
          </w:tcPr>
          <w:p w14:paraId="4A7A266F" w14:textId="77777777" w:rsidR="008F008E" w:rsidRDefault="008F008E">
            <w:pPr>
              <w:jc w:val="right"/>
              <w:rPr>
                <w:rFonts w:ascii="Calibri" w:hAnsi="Calibri" w:cs="Arial"/>
                <w:color w:val="000000"/>
              </w:rPr>
            </w:pPr>
          </w:p>
        </w:tc>
        <w:tc>
          <w:tcPr>
            <w:tcW w:w="904" w:type="dxa"/>
            <w:tcBorders>
              <w:top w:val="nil"/>
              <w:left w:val="nil"/>
              <w:bottom w:val="single" w:sz="4" w:space="0" w:color="auto"/>
              <w:right w:val="single" w:sz="4" w:space="0" w:color="auto"/>
            </w:tcBorders>
            <w:shd w:val="clear" w:color="auto" w:fill="auto"/>
            <w:vAlign w:val="bottom"/>
          </w:tcPr>
          <w:p w14:paraId="4A7A2670" w14:textId="77777777" w:rsidR="008F008E" w:rsidRDefault="008F008E">
            <w:pPr>
              <w:jc w:val="right"/>
              <w:rPr>
                <w:rFonts w:ascii="Calibri" w:hAnsi="Calibri" w:cs="Arial"/>
                <w:color w:val="000000"/>
              </w:rPr>
            </w:pPr>
          </w:p>
        </w:tc>
        <w:tc>
          <w:tcPr>
            <w:tcW w:w="916" w:type="dxa"/>
            <w:tcBorders>
              <w:top w:val="nil"/>
              <w:left w:val="nil"/>
              <w:bottom w:val="single" w:sz="4" w:space="0" w:color="auto"/>
              <w:right w:val="single" w:sz="4" w:space="0" w:color="auto"/>
            </w:tcBorders>
            <w:shd w:val="clear" w:color="auto" w:fill="auto"/>
            <w:vAlign w:val="bottom"/>
          </w:tcPr>
          <w:p w14:paraId="4A7A2671" w14:textId="77777777" w:rsidR="008F008E" w:rsidRDefault="008F008E">
            <w:pPr>
              <w:jc w:val="right"/>
              <w:rPr>
                <w:rFonts w:ascii="Calibri" w:hAnsi="Calibri" w:cs="Arial"/>
                <w:color w:val="000000"/>
              </w:rPr>
            </w:pPr>
          </w:p>
        </w:tc>
        <w:tc>
          <w:tcPr>
            <w:tcW w:w="610" w:type="dxa"/>
            <w:tcBorders>
              <w:top w:val="nil"/>
              <w:left w:val="nil"/>
              <w:bottom w:val="single" w:sz="4" w:space="0" w:color="auto"/>
              <w:right w:val="single" w:sz="4" w:space="0" w:color="auto"/>
            </w:tcBorders>
            <w:shd w:val="clear" w:color="auto" w:fill="auto"/>
            <w:vAlign w:val="bottom"/>
          </w:tcPr>
          <w:p w14:paraId="4A7A2672" w14:textId="77777777" w:rsidR="008F008E" w:rsidRDefault="008F008E">
            <w:pPr>
              <w:rPr>
                <w:rFonts w:ascii="Calibri" w:hAnsi="Calibri" w:cs="Arial"/>
                <w:color w:val="000000"/>
              </w:rPr>
            </w:pPr>
          </w:p>
        </w:tc>
      </w:tr>
      <w:tr w:rsidR="00505357" w14:paraId="4A7A267A" w14:textId="77777777" w:rsidTr="00C15241">
        <w:trPr>
          <w:trHeight w:val="300"/>
        </w:trPr>
        <w:tc>
          <w:tcPr>
            <w:tcW w:w="5822" w:type="dxa"/>
            <w:tcBorders>
              <w:top w:val="nil"/>
              <w:left w:val="single" w:sz="4" w:space="0" w:color="auto"/>
              <w:bottom w:val="single" w:sz="4" w:space="0" w:color="auto"/>
              <w:right w:val="single" w:sz="4" w:space="0" w:color="auto"/>
            </w:tcBorders>
            <w:shd w:val="clear" w:color="auto" w:fill="auto"/>
            <w:vAlign w:val="bottom"/>
          </w:tcPr>
          <w:p w14:paraId="4A7A2674" w14:textId="77777777" w:rsidR="00505357" w:rsidRDefault="00505357" w:rsidP="00932CAE">
            <w:pPr>
              <w:rPr>
                <w:rFonts w:ascii="Calibri" w:hAnsi="Calibri" w:cs="Arial"/>
                <w:color w:val="000000"/>
              </w:rPr>
            </w:pPr>
            <w:r>
              <w:rPr>
                <w:rFonts w:ascii="Calibri" w:hAnsi="Calibri" w:cs="Arial"/>
                <w:color w:val="000000"/>
              </w:rPr>
              <w:t>Timber plantation establishment</w:t>
            </w:r>
          </w:p>
        </w:tc>
        <w:tc>
          <w:tcPr>
            <w:tcW w:w="819" w:type="dxa"/>
            <w:tcBorders>
              <w:top w:val="nil"/>
              <w:left w:val="nil"/>
              <w:bottom w:val="single" w:sz="4" w:space="0" w:color="auto"/>
              <w:right w:val="single" w:sz="4" w:space="0" w:color="auto"/>
            </w:tcBorders>
            <w:shd w:val="clear" w:color="auto" w:fill="auto"/>
            <w:vAlign w:val="bottom"/>
          </w:tcPr>
          <w:p w14:paraId="4A7A2675" w14:textId="77777777" w:rsidR="00505357" w:rsidRDefault="00505357" w:rsidP="00932CAE">
            <w:pPr>
              <w:jc w:val="right"/>
              <w:rPr>
                <w:rFonts w:ascii="Calibri" w:hAnsi="Calibri" w:cs="Arial"/>
                <w:color w:val="000000"/>
              </w:rPr>
            </w:pPr>
            <w:r>
              <w:rPr>
                <w:rFonts w:ascii="Calibri" w:hAnsi="Calibri" w:cs="Arial"/>
                <w:color w:val="000000"/>
              </w:rPr>
              <w:t>17.5</w:t>
            </w:r>
          </w:p>
        </w:tc>
        <w:tc>
          <w:tcPr>
            <w:tcW w:w="819" w:type="dxa"/>
            <w:tcBorders>
              <w:top w:val="nil"/>
              <w:left w:val="nil"/>
              <w:bottom w:val="single" w:sz="4" w:space="0" w:color="auto"/>
              <w:right w:val="single" w:sz="4" w:space="0" w:color="auto"/>
            </w:tcBorders>
            <w:shd w:val="clear" w:color="auto" w:fill="auto"/>
            <w:vAlign w:val="bottom"/>
          </w:tcPr>
          <w:p w14:paraId="4A7A2676" w14:textId="77777777" w:rsidR="00505357" w:rsidRDefault="00505357" w:rsidP="00932CAE">
            <w:pPr>
              <w:jc w:val="right"/>
              <w:rPr>
                <w:rFonts w:ascii="Calibri" w:hAnsi="Calibri" w:cs="Arial"/>
                <w:color w:val="000000"/>
              </w:rPr>
            </w:pPr>
            <w:r>
              <w:rPr>
                <w:rFonts w:ascii="Calibri" w:hAnsi="Calibri" w:cs="Arial"/>
                <w:color w:val="000000"/>
              </w:rPr>
              <w:t>22.5</w:t>
            </w:r>
          </w:p>
        </w:tc>
        <w:tc>
          <w:tcPr>
            <w:tcW w:w="904" w:type="dxa"/>
            <w:tcBorders>
              <w:top w:val="nil"/>
              <w:left w:val="nil"/>
              <w:bottom w:val="single" w:sz="4" w:space="0" w:color="auto"/>
              <w:right w:val="single" w:sz="4" w:space="0" w:color="auto"/>
            </w:tcBorders>
            <w:shd w:val="clear" w:color="auto" w:fill="auto"/>
            <w:vAlign w:val="bottom"/>
          </w:tcPr>
          <w:p w14:paraId="4A7A2677" w14:textId="77777777" w:rsidR="00505357" w:rsidRDefault="00505357" w:rsidP="00932CAE">
            <w:pPr>
              <w:jc w:val="right"/>
              <w:rPr>
                <w:rFonts w:ascii="Calibri" w:hAnsi="Calibri" w:cs="Arial"/>
                <w:color w:val="000000"/>
              </w:rPr>
            </w:pPr>
            <w:r>
              <w:rPr>
                <w:rFonts w:ascii="Calibri" w:hAnsi="Calibri" w:cs="Arial"/>
                <w:color w:val="000000"/>
              </w:rPr>
              <w:t>27.5</w:t>
            </w:r>
          </w:p>
        </w:tc>
        <w:tc>
          <w:tcPr>
            <w:tcW w:w="916" w:type="dxa"/>
            <w:tcBorders>
              <w:top w:val="nil"/>
              <w:left w:val="nil"/>
              <w:bottom w:val="single" w:sz="4" w:space="0" w:color="auto"/>
              <w:right w:val="single" w:sz="4" w:space="0" w:color="auto"/>
            </w:tcBorders>
            <w:shd w:val="clear" w:color="auto" w:fill="auto"/>
            <w:vAlign w:val="bottom"/>
          </w:tcPr>
          <w:p w14:paraId="4A7A2678" w14:textId="77777777" w:rsidR="00505357" w:rsidRDefault="00505357" w:rsidP="00932CAE">
            <w:pPr>
              <w:jc w:val="right"/>
              <w:rPr>
                <w:rFonts w:ascii="Calibri" w:hAnsi="Calibri" w:cs="Arial"/>
                <w:color w:val="000000"/>
              </w:rPr>
            </w:pPr>
            <w:r>
              <w:rPr>
                <w:rFonts w:ascii="Calibri" w:hAnsi="Calibri" w:cs="Arial"/>
                <w:color w:val="000000"/>
              </w:rPr>
              <w:t>32.5</w:t>
            </w:r>
          </w:p>
        </w:tc>
        <w:tc>
          <w:tcPr>
            <w:tcW w:w="610" w:type="dxa"/>
            <w:tcBorders>
              <w:top w:val="nil"/>
              <w:left w:val="nil"/>
              <w:bottom w:val="single" w:sz="4" w:space="0" w:color="auto"/>
              <w:right w:val="single" w:sz="4" w:space="0" w:color="auto"/>
            </w:tcBorders>
            <w:shd w:val="clear" w:color="auto" w:fill="auto"/>
            <w:vAlign w:val="bottom"/>
          </w:tcPr>
          <w:p w14:paraId="4A7A2679" w14:textId="77777777" w:rsidR="00505357" w:rsidRDefault="00505357" w:rsidP="00932CAE">
            <w:pPr>
              <w:rPr>
                <w:rFonts w:ascii="Calibri" w:hAnsi="Calibri" w:cs="Arial"/>
                <w:color w:val="000000"/>
              </w:rPr>
            </w:pPr>
            <w:r>
              <w:rPr>
                <w:rFonts w:ascii="Calibri" w:hAnsi="Calibri" w:cs="Arial"/>
                <w:color w:val="000000"/>
              </w:rPr>
              <w:t> </w:t>
            </w:r>
          </w:p>
        </w:tc>
      </w:tr>
      <w:tr w:rsidR="00505357" w14:paraId="4A7A2681" w14:textId="77777777" w:rsidTr="00C15241">
        <w:trPr>
          <w:trHeight w:val="300"/>
        </w:trPr>
        <w:tc>
          <w:tcPr>
            <w:tcW w:w="5822" w:type="dxa"/>
            <w:tcBorders>
              <w:top w:val="nil"/>
              <w:left w:val="single" w:sz="4" w:space="0" w:color="auto"/>
              <w:bottom w:val="single" w:sz="4" w:space="0" w:color="auto"/>
              <w:right w:val="single" w:sz="4" w:space="0" w:color="auto"/>
            </w:tcBorders>
            <w:shd w:val="clear" w:color="auto" w:fill="auto"/>
            <w:vAlign w:val="bottom"/>
          </w:tcPr>
          <w:p w14:paraId="4A7A267B" w14:textId="77777777" w:rsidR="00505357" w:rsidRDefault="00505357" w:rsidP="00932CAE">
            <w:pPr>
              <w:rPr>
                <w:rFonts w:ascii="Calibri" w:hAnsi="Calibri" w:cs="Arial"/>
                <w:color w:val="000000"/>
              </w:rPr>
            </w:pPr>
            <w:r>
              <w:rPr>
                <w:rFonts w:ascii="Calibri" w:hAnsi="Calibri" w:cs="Arial"/>
                <w:color w:val="000000"/>
              </w:rPr>
              <w:t>Investing in waste and resource recovery for a growing Victoria</w:t>
            </w:r>
          </w:p>
        </w:tc>
        <w:tc>
          <w:tcPr>
            <w:tcW w:w="819" w:type="dxa"/>
            <w:tcBorders>
              <w:top w:val="nil"/>
              <w:left w:val="nil"/>
              <w:bottom w:val="single" w:sz="4" w:space="0" w:color="auto"/>
              <w:right w:val="single" w:sz="4" w:space="0" w:color="auto"/>
            </w:tcBorders>
            <w:shd w:val="clear" w:color="auto" w:fill="auto"/>
            <w:vAlign w:val="bottom"/>
          </w:tcPr>
          <w:p w14:paraId="4A7A267C" w14:textId="77777777" w:rsidR="00505357" w:rsidRDefault="00505357" w:rsidP="00932CAE">
            <w:pPr>
              <w:jc w:val="right"/>
              <w:rPr>
                <w:rFonts w:ascii="Calibri" w:hAnsi="Calibri" w:cs="Arial"/>
                <w:color w:val="000000"/>
              </w:rPr>
            </w:pPr>
            <w:r>
              <w:rPr>
                <w:rFonts w:ascii="Calibri" w:hAnsi="Calibri" w:cs="Arial"/>
                <w:color w:val="000000"/>
              </w:rPr>
              <w:t>8.0</w:t>
            </w:r>
          </w:p>
        </w:tc>
        <w:tc>
          <w:tcPr>
            <w:tcW w:w="819" w:type="dxa"/>
            <w:tcBorders>
              <w:top w:val="nil"/>
              <w:left w:val="nil"/>
              <w:bottom w:val="single" w:sz="4" w:space="0" w:color="auto"/>
              <w:right w:val="single" w:sz="4" w:space="0" w:color="auto"/>
            </w:tcBorders>
            <w:shd w:val="clear" w:color="auto" w:fill="auto"/>
            <w:vAlign w:val="bottom"/>
          </w:tcPr>
          <w:p w14:paraId="4A7A267D" w14:textId="77777777" w:rsidR="00505357" w:rsidRDefault="00505357" w:rsidP="00932CAE">
            <w:pPr>
              <w:jc w:val="right"/>
              <w:rPr>
                <w:rFonts w:ascii="Calibri" w:hAnsi="Calibri" w:cs="Arial"/>
                <w:color w:val="000000"/>
              </w:rPr>
            </w:pPr>
            <w:r>
              <w:rPr>
                <w:rFonts w:ascii="Calibri" w:hAnsi="Calibri" w:cs="Arial"/>
                <w:color w:val="000000"/>
              </w:rPr>
              <w:t>6</w:t>
            </w:r>
          </w:p>
        </w:tc>
        <w:tc>
          <w:tcPr>
            <w:tcW w:w="904" w:type="dxa"/>
            <w:tcBorders>
              <w:top w:val="nil"/>
              <w:left w:val="nil"/>
              <w:bottom w:val="single" w:sz="4" w:space="0" w:color="auto"/>
              <w:right w:val="single" w:sz="4" w:space="0" w:color="auto"/>
            </w:tcBorders>
            <w:shd w:val="clear" w:color="auto" w:fill="auto"/>
            <w:vAlign w:val="bottom"/>
          </w:tcPr>
          <w:p w14:paraId="4A7A267E" w14:textId="77777777" w:rsidR="00505357" w:rsidRDefault="00505357" w:rsidP="00932CAE">
            <w:pPr>
              <w:jc w:val="right"/>
              <w:rPr>
                <w:rFonts w:ascii="Calibri" w:hAnsi="Calibri" w:cs="Arial"/>
                <w:color w:val="000000"/>
              </w:rPr>
            </w:pPr>
            <w:r>
              <w:rPr>
                <w:rFonts w:ascii="Calibri" w:hAnsi="Calibri" w:cs="Arial"/>
                <w:color w:val="000000"/>
              </w:rPr>
              <w:t>6</w:t>
            </w:r>
          </w:p>
        </w:tc>
        <w:tc>
          <w:tcPr>
            <w:tcW w:w="916" w:type="dxa"/>
            <w:tcBorders>
              <w:top w:val="nil"/>
              <w:left w:val="nil"/>
              <w:bottom w:val="single" w:sz="4" w:space="0" w:color="auto"/>
              <w:right w:val="single" w:sz="4" w:space="0" w:color="auto"/>
            </w:tcBorders>
            <w:shd w:val="clear" w:color="auto" w:fill="auto"/>
            <w:vAlign w:val="bottom"/>
          </w:tcPr>
          <w:p w14:paraId="4A7A267F" w14:textId="77777777" w:rsidR="00505357" w:rsidRDefault="00505357" w:rsidP="00932CAE">
            <w:pPr>
              <w:jc w:val="right"/>
              <w:rPr>
                <w:rFonts w:ascii="Calibri" w:hAnsi="Calibri" w:cs="Arial"/>
                <w:color w:val="000000"/>
              </w:rPr>
            </w:pPr>
            <w:r>
              <w:rPr>
                <w:rFonts w:ascii="Calibri" w:hAnsi="Calibri" w:cs="Arial"/>
                <w:color w:val="000000"/>
              </w:rPr>
              <w:t>10.4</w:t>
            </w:r>
          </w:p>
        </w:tc>
        <w:tc>
          <w:tcPr>
            <w:tcW w:w="610" w:type="dxa"/>
            <w:tcBorders>
              <w:top w:val="nil"/>
              <w:left w:val="nil"/>
              <w:bottom w:val="single" w:sz="4" w:space="0" w:color="auto"/>
              <w:right w:val="single" w:sz="4" w:space="0" w:color="auto"/>
            </w:tcBorders>
            <w:shd w:val="clear" w:color="auto" w:fill="auto"/>
            <w:vAlign w:val="bottom"/>
          </w:tcPr>
          <w:p w14:paraId="4A7A2680" w14:textId="77777777" w:rsidR="00505357" w:rsidRDefault="00505357" w:rsidP="00932CAE">
            <w:pPr>
              <w:rPr>
                <w:rFonts w:ascii="Calibri" w:hAnsi="Calibri" w:cs="Arial"/>
                <w:color w:val="000000"/>
              </w:rPr>
            </w:pPr>
            <w:r>
              <w:rPr>
                <w:rFonts w:ascii="Calibri" w:hAnsi="Calibri" w:cs="Arial"/>
                <w:color w:val="000000"/>
              </w:rPr>
              <w:t> </w:t>
            </w:r>
          </w:p>
        </w:tc>
      </w:tr>
      <w:tr w:rsidR="00505357" w14:paraId="4A7A2688" w14:textId="77777777" w:rsidTr="00C15241">
        <w:trPr>
          <w:trHeight w:val="300"/>
        </w:trPr>
        <w:tc>
          <w:tcPr>
            <w:tcW w:w="5822" w:type="dxa"/>
            <w:tcBorders>
              <w:top w:val="nil"/>
              <w:left w:val="single" w:sz="4" w:space="0" w:color="auto"/>
              <w:bottom w:val="single" w:sz="4" w:space="0" w:color="auto"/>
              <w:right w:val="single" w:sz="4" w:space="0" w:color="auto"/>
            </w:tcBorders>
            <w:shd w:val="clear" w:color="auto" w:fill="auto"/>
            <w:vAlign w:val="bottom"/>
          </w:tcPr>
          <w:p w14:paraId="4A7A2682" w14:textId="212EE62D" w:rsidR="00505357" w:rsidRDefault="00505357" w:rsidP="00932CAE">
            <w:pPr>
              <w:rPr>
                <w:rFonts w:ascii="Calibri" w:hAnsi="Calibri" w:cs="Arial"/>
                <w:color w:val="000000"/>
              </w:rPr>
            </w:pPr>
            <w:r>
              <w:rPr>
                <w:rFonts w:ascii="Calibri" w:hAnsi="Calibri" w:cs="Arial"/>
                <w:color w:val="000000"/>
              </w:rPr>
              <w:t xml:space="preserve">Protecting Victoria's </w:t>
            </w:r>
            <w:r w:rsidR="00C15241">
              <w:rPr>
                <w:rFonts w:ascii="Calibri" w:hAnsi="Calibri" w:cs="Arial"/>
                <w:color w:val="000000"/>
              </w:rPr>
              <w:t>environment</w:t>
            </w:r>
            <w:r>
              <w:rPr>
                <w:rFonts w:ascii="Calibri" w:hAnsi="Calibri" w:cs="Arial"/>
                <w:color w:val="000000"/>
              </w:rPr>
              <w:t xml:space="preserve"> - Biodiversity 2037</w:t>
            </w:r>
          </w:p>
        </w:tc>
        <w:tc>
          <w:tcPr>
            <w:tcW w:w="819" w:type="dxa"/>
            <w:tcBorders>
              <w:top w:val="nil"/>
              <w:left w:val="nil"/>
              <w:bottom w:val="single" w:sz="4" w:space="0" w:color="auto"/>
              <w:right w:val="single" w:sz="4" w:space="0" w:color="auto"/>
            </w:tcBorders>
            <w:shd w:val="clear" w:color="auto" w:fill="auto"/>
            <w:vAlign w:val="bottom"/>
          </w:tcPr>
          <w:p w14:paraId="4A7A2683" w14:textId="77777777" w:rsidR="00505357" w:rsidRDefault="00505357" w:rsidP="00932CAE">
            <w:pPr>
              <w:jc w:val="right"/>
              <w:rPr>
                <w:rFonts w:ascii="Calibri" w:hAnsi="Calibri" w:cs="Arial"/>
                <w:color w:val="000000"/>
              </w:rPr>
            </w:pPr>
            <w:r>
              <w:rPr>
                <w:rFonts w:ascii="Calibri" w:hAnsi="Calibri" w:cs="Arial"/>
                <w:color w:val="000000"/>
              </w:rPr>
              <w:t>18.8</w:t>
            </w:r>
          </w:p>
        </w:tc>
        <w:tc>
          <w:tcPr>
            <w:tcW w:w="819" w:type="dxa"/>
            <w:tcBorders>
              <w:top w:val="nil"/>
              <w:left w:val="nil"/>
              <w:bottom w:val="single" w:sz="4" w:space="0" w:color="auto"/>
              <w:right w:val="single" w:sz="4" w:space="0" w:color="auto"/>
            </w:tcBorders>
            <w:shd w:val="clear" w:color="auto" w:fill="auto"/>
            <w:vAlign w:val="bottom"/>
          </w:tcPr>
          <w:p w14:paraId="4A7A2684" w14:textId="77777777" w:rsidR="00505357" w:rsidRDefault="00505357" w:rsidP="00932CAE">
            <w:pPr>
              <w:jc w:val="right"/>
              <w:rPr>
                <w:rFonts w:ascii="Calibri" w:hAnsi="Calibri" w:cs="Arial"/>
                <w:color w:val="000000"/>
              </w:rPr>
            </w:pPr>
            <w:r>
              <w:rPr>
                <w:rFonts w:ascii="Calibri" w:hAnsi="Calibri" w:cs="Arial"/>
                <w:color w:val="000000"/>
              </w:rPr>
              <w:t>22.1</w:t>
            </w:r>
          </w:p>
        </w:tc>
        <w:tc>
          <w:tcPr>
            <w:tcW w:w="904" w:type="dxa"/>
            <w:tcBorders>
              <w:top w:val="nil"/>
              <w:left w:val="nil"/>
              <w:bottom w:val="single" w:sz="4" w:space="0" w:color="auto"/>
              <w:right w:val="single" w:sz="4" w:space="0" w:color="auto"/>
            </w:tcBorders>
            <w:shd w:val="clear" w:color="auto" w:fill="auto"/>
            <w:vAlign w:val="bottom"/>
          </w:tcPr>
          <w:p w14:paraId="4A7A2685" w14:textId="77777777" w:rsidR="00505357" w:rsidRDefault="00505357" w:rsidP="00932CAE">
            <w:pPr>
              <w:jc w:val="right"/>
              <w:rPr>
                <w:rFonts w:ascii="Calibri" w:hAnsi="Calibri" w:cs="Arial"/>
                <w:color w:val="000000"/>
              </w:rPr>
            </w:pPr>
            <w:r>
              <w:rPr>
                <w:rFonts w:ascii="Calibri" w:hAnsi="Calibri" w:cs="Arial"/>
                <w:color w:val="000000"/>
              </w:rPr>
              <w:t>22.5</w:t>
            </w:r>
          </w:p>
        </w:tc>
        <w:tc>
          <w:tcPr>
            <w:tcW w:w="916" w:type="dxa"/>
            <w:tcBorders>
              <w:top w:val="nil"/>
              <w:left w:val="nil"/>
              <w:bottom w:val="single" w:sz="4" w:space="0" w:color="auto"/>
              <w:right w:val="single" w:sz="4" w:space="0" w:color="auto"/>
            </w:tcBorders>
            <w:shd w:val="clear" w:color="auto" w:fill="auto"/>
            <w:vAlign w:val="bottom"/>
          </w:tcPr>
          <w:p w14:paraId="4A7A2686" w14:textId="77777777" w:rsidR="00505357" w:rsidRDefault="00505357" w:rsidP="00932CAE">
            <w:pPr>
              <w:jc w:val="right"/>
              <w:rPr>
                <w:rFonts w:ascii="Calibri" w:hAnsi="Calibri" w:cs="Arial"/>
                <w:color w:val="000000"/>
              </w:rPr>
            </w:pPr>
            <w:r>
              <w:rPr>
                <w:rFonts w:ascii="Calibri" w:hAnsi="Calibri" w:cs="Arial"/>
                <w:color w:val="000000"/>
              </w:rPr>
              <w:t>22.9</w:t>
            </w:r>
          </w:p>
        </w:tc>
        <w:tc>
          <w:tcPr>
            <w:tcW w:w="610" w:type="dxa"/>
            <w:tcBorders>
              <w:top w:val="nil"/>
              <w:left w:val="nil"/>
              <w:bottom w:val="single" w:sz="4" w:space="0" w:color="auto"/>
              <w:right w:val="single" w:sz="4" w:space="0" w:color="auto"/>
            </w:tcBorders>
            <w:shd w:val="clear" w:color="auto" w:fill="auto"/>
            <w:vAlign w:val="bottom"/>
          </w:tcPr>
          <w:p w14:paraId="4A7A2687" w14:textId="77777777" w:rsidR="00505357" w:rsidRDefault="00505357" w:rsidP="00932CAE">
            <w:pPr>
              <w:rPr>
                <w:rFonts w:ascii="Calibri" w:hAnsi="Calibri" w:cs="Arial"/>
                <w:color w:val="000000"/>
              </w:rPr>
            </w:pPr>
            <w:r>
              <w:rPr>
                <w:rFonts w:ascii="Calibri" w:hAnsi="Calibri" w:cs="Arial"/>
                <w:color w:val="000000"/>
              </w:rPr>
              <w:t> </w:t>
            </w:r>
          </w:p>
        </w:tc>
      </w:tr>
      <w:tr w:rsidR="00505357" w14:paraId="4A7A268F" w14:textId="77777777" w:rsidTr="00C15241">
        <w:trPr>
          <w:trHeight w:val="300"/>
        </w:trPr>
        <w:tc>
          <w:tcPr>
            <w:tcW w:w="5822" w:type="dxa"/>
            <w:tcBorders>
              <w:top w:val="nil"/>
              <w:left w:val="single" w:sz="4" w:space="0" w:color="auto"/>
              <w:bottom w:val="single" w:sz="4" w:space="0" w:color="auto"/>
              <w:right w:val="single" w:sz="4" w:space="0" w:color="auto"/>
            </w:tcBorders>
            <w:shd w:val="clear" w:color="auto" w:fill="auto"/>
            <w:vAlign w:val="bottom"/>
          </w:tcPr>
          <w:p w14:paraId="4A7A2689" w14:textId="77777777" w:rsidR="00505357" w:rsidRDefault="00505357" w:rsidP="00932CAE">
            <w:pPr>
              <w:rPr>
                <w:rFonts w:ascii="Calibri" w:hAnsi="Calibri" w:cs="Arial"/>
                <w:color w:val="000000"/>
              </w:rPr>
            </w:pPr>
            <w:r>
              <w:rPr>
                <w:rFonts w:ascii="Calibri" w:hAnsi="Calibri" w:cs="Arial"/>
                <w:color w:val="000000"/>
              </w:rPr>
              <w:t>Remediation of gun club sites</w:t>
            </w:r>
          </w:p>
        </w:tc>
        <w:tc>
          <w:tcPr>
            <w:tcW w:w="819" w:type="dxa"/>
            <w:tcBorders>
              <w:top w:val="nil"/>
              <w:left w:val="nil"/>
              <w:bottom w:val="single" w:sz="4" w:space="0" w:color="auto"/>
              <w:right w:val="single" w:sz="4" w:space="0" w:color="auto"/>
            </w:tcBorders>
            <w:shd w:val="clear" w:color="auto" w:fill="auto"/>
            <w:vAlign w:val="bottom"/>
          </w:tcPr>
          <w:p w14:paraId="4A7A268A" w14:textId="77777777" w:rsidR="00505357" w:rsidRDefault="00505357" w:rsidP="00932CAE">
            <w:pPr>
              <w:jc w:val="right"/>
              <w:rPr>
                <w:rFonts w:ascii="Calibri" w:hAnsi="Calibri" w:cs="Arial"/>
                <w:color w:val="000000"/>
              </w:rPr>
            </w:pPr>
            <w:r>
              <w:rPr>
                <w:rFonts w:ascii="Calibri" w:hAnsi="Calibri" w:cs="Arial"/>
                <w:color w:val="000000"/>
              </w:rPr>
              <w:t>3</w:t>
            </w:r>
          </w:p>
        </w:tc>
        <w:tc>
          <w:tcPr>
            <w:tcW w:w="819" w:type="dxa"/>
            <w:tcBorders>
              <w:top w:val="nil"/>
              <w:left w:val="nil"/>
              <w:bottom w:val="single" w:sz="4" w:space="0" w:color="auto"/>
              <w:right w:val="single" w:sz="4" w:space="0" w:color="auto"/>
            </w:tcBorders>
            <w:shd w:val="clear" w:color="auto" w:fill="auto"/>
            <w:vAlign w:val="bottom"/>
          </w:tcPr>
          <w:p w14:paraId="4A7A268B" w14:textId="77777777" w:rsidR="00505357" w:rsidRDefault="00505357" w:rsidP="00932CAE">
            <w:pPr>
              <w:rPr>
                <w:rFonts w:ascii="Calibri" w:hAnsi="Calibri" w:cs="Arial"/>
                <w:color w:val="000000"/>
              </w:rPr>
            </w:pPr>
            <w:r>
              <w:rPr>
                <w:rFonts w:ascii="Calibri" w:hAnsi="Calibri" w:cs="Arial"/>
                <w:color w:val="000000"/>
              </w:rPr>
              <w:t> </w:t>
            </w:r>
          </w:p>
        </w:tc>
        <w:tc>
          <w:tcPr>
            <w:tcW w:w="904" w:type="dxa"/>
            <w:tcBorders>
              <w:top w:val="nil"/>
              <w:left w:val="nil"/>
              <w:bottom w:val="single" w:sz="4" w:space="0" w:color="auto"/>
              <w:right w:val="single" w:sz="4" w:space="0" w:color="auto"/>
            </w:tcBorders>
            <w:shd w:val="clear" w:color="auto" w:fill="auto"/>
            <w:vAlign w:val="bottom"/>
          </w:tcPr>
          <w:p w14:paraId="4A7A268C" w14:textId="77777777" w:rsidR="00505357" w:rsidRDefault="00505357" w:rsidP="00932CAE">
            <w:pPr>
              <w:rPr>
                <w:rFonts w:ascii="Calibri" w:hAnsi="Calibri" w:cs="Arial"/>
                <w:color w:val="000000"/>
              </w:rPr>
            </w:pPr>
            <w:r>
              <w:rPr>
                <w:rFonts w:ascii="Calibri" w:hAnsi="Calibri" w:cs="Arial"/>
                <w:color w:val="000000"/>
              </w:rPr>
              <w:t> </w:t>
            </w:r>
          </w:p>
        </w:tc>
        <w:tc>
          <w:tcPr>
            <w:tcW w:w="916" w:type="dxa"/>
            <w:tcBorders>
              <w:top w:val="nil"/>
              <w:left w:val="nil"/>
              <w:bottom w:val="single" w:sz="4" w:space="0" w:color="auto"/>
              <w:right w:val="single" w:sz="4" w:space="0" w:color="auto"/>
            </w:tcBorders>
            <w:shd w:val="clear" w:color="auto" w:fill="auto"/>
            <w:vAlign w:val="bottom"/>
          </w:tcPr>
          <w:p w14:paraId="4A7A268D" w14:textId="77777777" w:rsidR="00505357" w:rsidRDefault="00505357" w:rsidP="00932CAE">
            <w:pPr>
              <w:rPr>
                <w:rFonts w:ascii="Calibri" w:hAnsi="Calibri" w:cs="Arial"/>
                <w:color w:val="000000"/>
              </w:rPr>
            </w:pPr>
            <w:r>
              <w:rPr>
                <w:rFonts w:ascii="Calibri" w:hAnsi="Calibri" w:cs="Arial"/>
                <w:color w:val="000000"/>
              </w:rPr>
              <w:t> </w:t>
            </w:r>
          </w:p>
        </w:tc>
        <w:tc>
          <w:tcPr>
            <w:tcW w:w="610" w:type="dxa"/>
            <w:tcBorders>
              <w:top w:val="nil"/>
              <w:left w:val="nil"/>
              <w:bottom w:val="single" w:sz="4" w:space="0" w:color="auto"/>
              <w:right w:val="single" w:sz="4" w:space="0" w:color="auto"/>
            </w:tcBorders>
            <w:shd w:val="clear" w:color="auto" w:fill="auto"/>
            <w:vAlign w:val="bottom"/>
          </w:tcPr>
          <w:p w14:paraId="4A7A268E" w14:textId="77777777" w:rsidR="00505357" w:rsidRDefault="00505357" w:rsidP="00932CAE">
            <w:pPr>
              <w:rPr>
                <w:rFonts w:ascii="Calibri" w:hAnsi="Calibri" w:cs="Arial"/>
                <w:color w:val="000000"/>
              </w:rPr>
            </w:pPr>
            <w:r>
              <w:rPr>
                <w:rFonts w:ascii="Calibri" w:hAnsi="Calibri" w:cs="Arial"/>
                <w:color w:val="000000"/>
              </w:rPr>
              <w:t> </w:t>
            </w:r>
          </w:p>
        </w:tc>
      </w:tr>
      <w:tr w:rsidR="00505357" w14:paraId="4A7A2696" w14:textId="77777777" w:rsidTr="00C15241">
        <w:trPr>
          <w:trHeight w:val="300"/>
        </w:trPr>
        <w:tc>
          <w:tcPr>
            <w:tcW w:w="5822" w:type="dxa"/>
            <w:tcBorders>
              <w:top w:val="nil"/>
              <w:left w:val="single" w:sz="4" w:space="0" w:color="auto"/>
              <w:bottom w:val="single" w:sz="4" w:space="0" w:color="auto"/>
              <w:right w:val="single" w:sz="4" w:space="0" w:color="auto"/>
            </w:tcBorders>
            <w:shd w:val="clear" w:color="auto" w:fill="auto"/>
            <w:vAlign w:val="bottom"/>
          </w:tcPr>
          <w:p w14:paraId="4A7A2690" w14:textId="77777777" w:rsidR="00505357" w:rsidRDefault="00505357" w:rsidP="00932CAE">
            <w:pPr>
              <w:rPr>
                <w:rFonts w:ascii="Calibri" w:hAnsi="Calibri" w:cs="Arial"/>
                <w:color w:val="000000"/>
              </w:rPr>
            </w:pPr>
            <w:proofErr w:type="spellStart"/>
            <w:r>
              <w:rPr>
                <w:rFonts w:ascii="Calibri" w:hAnsi="Calibri" w:cs="Arial"/>
                <w:color w:val="000000"/>
              </w:rPr>
              <w:t>ResourceSmart</w:t>
            </w:r>
            <w:proofErr w:type="spellEnd"/>
            <w:r>
              <w:rPr>
                <w:rFonts w:ascii="Calibri" w:hAnsi="Calibri" w:cs="Arial"/>
                <w:color w:val="000000"/>
              </w:rPr>
              <w:t xml:space="preserve"> Schools</w:t>
            </w:r>
          </w:p>
        </w:tc>
        <w:tc>
          <w:tcPr>
            <w:tcW w:w="819" w:type="dxa"/>
            <w:tcBorders>
              <w:top w:val="nil"/>
              <w:left w:val="nil"/>
              <w:bottom w:val="single" w:sz="4" w:space="0" w:color="auto"/>
              <w:right w:val="single" w:sz="4" w:space="0" w:color="auto"/>
            </w:tcBorders>
            <w:shd w:val="clear" w:color="auto" w:fill="auto"/>
            <w:vAlign w:val="bottom"/>
          </w:tcPr>
          <w:p w14:paraId="4A7A2691" w14:textId="77777777" w:rsidR="00505357" w:rsidRDefault="00505357" w:rsidP="00932CAE">
            <w:pPr>
              <w:jc w:val="right"/>
              <w:rPr>
                <w:rFonts w:ascii="Calibri" w:hAnsi="Calibri" w:cs="Arial"/>
                <w:color w:val="000000"/>
              </w:rPr>
            </w:pPr>
            <w:r>
              <w:rPr>
                <w:rFonts w:ascii="Calibri" w:hAnsi="Calibri" w:cs="Arial"/>
                <w:color w:val="000000"/>
              </w:rPr>
              <w:t>2</w:t>
            </w:r>
          </w:p>
        </w:tc>
        <w:tc>
          <w:tcPr>
            <w:tcW w:w="819" w:type="dxa"/>
            <w:tcBorders>
              <w:top w:val="nil"/>
              <w:left w:val="nil"/>
              <w:bottom w:val="single" w:sz="4" w:space="0" w:color="auto"/>
              <w:right w:val="single" w:sz="4" w:space="0" w:color="auto"/>
            </w:tcBorders>
            <w:shd w:val="clear" w:color="auto" w:fill="auto"/>
            <w:vAlign w:val="bottom"/>
          </w:tcPr>
          <w:p w14:paraId="4A7A2692" w14:textId="77777777" w:rsidR="00505357" w:rsidRDefault="00505357" w:rsidP="00932CAE">
            <w:pPr>
              <w:jc w:val="right"/>
              <w:rPr>
                <w:rFonts w:ascii="Calibri" w:hAnsi="Calibri" w:cs="Arial"/>
                <w:color w:val="000000"/>
              </w:rPr>
            </w:pPr>
            <w:r>
              <w:rPr>
                <w:rFonts w:ascii="Calibri" w:hAnsi="Calibri" w:cs="Arial"/>
                <w:color w:val="000000"/>
              </w:rPr>
              <w:t>2.4</w:t>
            </w:r>
          </w:p>
        </w:tc>
        <w:tc>
          <w:tcPr>
            <w:tcW w:w="904" w:type="dxa"/>
            <w:tcBorders>
              <w:top w:val="nil"/>
              <w:left w:val="nil"/>
              <w:bottom w:val="single" w:sz="4" w:space="0" w:color="auto"/>
              <w:right w:val="single" w:sz="4" w:space="0" w:color="auto"/>
            </w:tcBorders>
            <w:shd w:val="clear" w:color="auto" w:fill="auto"/>
            <w:vAlign w:val="bottom"/>
          </w:tcPr>
          <w:p w14:paraId="4A7A2693" w14:textId="77777777" w:rsidR="00505357" w:rsidRDefault="00505357" w:rsidP="00932CAE">
            <w:pPr>
              <w:rPr>
                <w:rFonts w:ascii="Calibri" w:hAnsi="Calibri" w:cs="Arial"/>
                <w:color w:val="000000"/>
              </w:rPr>
            </w:pPr>
            <w:r>
              <w:rPr>
                <w:rFonts w:ascii="Calibri" w:hAnsi="Calibri" w:cs="Arial"/>
                <w:color w:val="000000"/>
              </w:rPr>
              <w:t> </w:t>
            </w:r>
          </w:p>
        </w:tc>
        <w:tc>
          <w:tcPr>
            <w:tcW w:w="916" w:type="dxa"/>
            <w:tcBorders>
              <w:top w:val="nil"/>
              <w:left w:val="nil"/>
              <w:bottom w:val="single" w:sz="4" w:space="0" w:color="auto"/>
              <w:right w:val="single" w:sz="4" w:space="0" w:color="auto"/>
            </w:tcBorders>
            <w:shd w:val="clear" w:color="auto" w:fill="auto"/>
            <w:vAlign w:val="bottom"/>
          </w:tcPr>
          <w:p w14:paraId="4A7A2694" w14:textId="77777777" w:rsidR="00505357" w:rsidRDefault="00505357" w:rsidP="00932CAE">
            <w:pPr>
              <w:rPr>
                <w:rFonts w:ascii="Calibri" w:hAnsi="Calibri" w:cs="Arial"/>
                <w:color w:val="000000"/>
              </w:rPr>
            </w:pPr>
            <w:r>
              <w:rPr>
                <w:rFonts w:ascii="Calibri" w:hAnsi="Calibri" w:cs="Arial"/>
                <w:color w:val="000000"/>
              </w:rPr>
              <w:t> </w:t>
            </w:r>
          </w:p>
        </w:tc>
        <w:tc>
          <w:tcPr>
            <w:tcW w:w="610" w:type="dxa"/>
            <w:tcBorders>
              <w:top w:val="nil"/>
              <w:left w:val="nil"/>
              <w:bottom w:val="single" w:sz="4" w:space="0" w:color="auto"/>
              <w:right w:val="single" w:sz="4" w:space="0" w:color="auto"/>
            </w:tcBorders>
            <w:shd w:val="clear" w:color="auto" w:fill="auto"/>
            <w:vAlign w:val="bottom"/>
          </w:tcPr>
          <w:p w14:paraId="4A7A2695" w14:textId="77777777" w:rsidR="00505357" w:rsidRDefault="00505357" w:rsidP="00932CAE">
            <w:pPr>
              <w:rPr>
                <w:rFonts w:ascii="Calibri" w:hAnsi="Calibri" w:cs="Arial"/>
                <w:color w:val="000000"/>
              </w:rPr>
            </w:pPr>
            <w:r>
              <w:rPr>
                <w:rFonts w:ascii="Calibri" w:hAnsi="Calibri" w:cs="Arial"/>
                <w:color w:val="000000"/>
              </w:rPr>
              <w:t> </w:t>
            </w:r>
          </w:p>
        </w:tc>
      </w:tr>
      <w:tr w:rsidR="00505357" w14:paraId="4A7A269D" w14:textId="77777777" w:rsidTr="00C15241">
        <w:trPr>
          <w:trHeight w:val="300"/>
        </w:trPr>
        <w:tc>
          <w:tcPr>
            <w:tcW w:w="5822" w:type="dxa"/>
            <w:tcBorders>
              <w:top w:val="nil"/>
              <w:left w:val="single" w:sz="4" w:space="0" w:color="auto"/>
              <w:bottom w:val="single" w:sz="4" w:space="0" w:color="auto"/>
              <w:right w:val="single" w:sz="4" w:space="0" w:color="auto"/>
            </w:tcBorders>
            <w:shd w:val="clear" w:color="auto" w:fill="auto"/>
            <w:vAlign w:val="bottom"/>
          </w:tcPr>
          <w:p w14:paraId="4A7A2697" w14:textId="77777777" w:rsidR="00505357" w:rsidRDefault="00505357" w:rsidP="00932CAE">
            <w:pPr>
              <w:rPr>
                <w:rFonts w:ascii="Calibri" w:hAnsi="Calibri" w:cs="Arial"/>
                <w:color w:val="000000"/>
              </w:rPr>
            </w:pPr>
            <w:r>
              <w:rPr>
                <w:rFonts w:ascii="Calibri" w:hAnsi="Calibri" w:cs="Arial"/>
                <w:color w:val="000000"/>
              </w:rPr>
              <w:t>Towards a healthy and resilient marine and coastal future</w:t>
            </w:r>
          </w:p>
        </w:tc>
        <w:tc>
          <w:tcPr>
            <w:tcW w:w="819" w:type="dxa"/>
            <w:tcBorders>
              <w:top w:val="nil"/>
              <w:left w:val="nil"/>
              <w:bottom w:val="single" w:sz="4" w:space="0" w:color="auto"/>
              <w:right w:val="single" w:sz="4" w:space="0" w:color="auto"/>
            </w:tcBorders>
            <w:shd w:val="clear" w:color="auto" w:fill="auto"/>
            <w:vAlign w:val="bottom"/>
          </w:tcPr>
          <w:p w14:paraId="4A7A2698" w14:textId="77777777" w:rsidR="00505357" w:rsidRDefault="00505357" w:rsidP="00932CAE">
            <w:pPr>
              <w:jc w:val="right"/>
              <w:rPr>
                <w:rFonts w:ascii="Calibri" w:hAnsi="Calibri" w:cs="Arial"/>
                <w:color w:val="000000"/>
              </w:rPr>
            </w:pPr>
            <w:r>
              <w:rPr>
                <w:rFonts w:ascii="Calibri" w:hAnsi="Calibri" w:cs="Arial"/>
                <w:color w:val="000000"/>
              </w:rPr>
              <w:t>3.6</w:t>
            </w:r>
          </w:p>
        </w:tc>
        <w:tc>
          <w:tcPr>
            <w:tcW w:w="819" w:type="dxa"/>
            <w:tcBorders>
              <w:top w:val="nil"/>
              <w:left w:val="nil"/>
              <w:bottom w:val="single" w:sz="4" w:space="0" w:color="auto"/>
              <w:right w:val="single" w:sz="4" w:space="0" w:color="auto"/>
            </w:tcBorders>
            <w:shd w:val="clear" w:color="auto" w:fill="auto"/>
            <w:vAlign w:val="bottom"/>
          </w:tcPr>
          <w:p w14:paraId="4A7A2699" w14:textId="77777777" w:rsidR="00505357" w:rsidRDefault="00505357" w:rsidP="00932CAE">
            <w:pPr>
              <w:jc w:val="right"/>
              <w:rPr>
                <w:rFonts w:ascii="Calibri" w:hAnsi="Calibri" w:cs="Arial"/>
                <w:color w:val="000000"/>
              </w:rPr>
            </w:pPr>
            <w:r>
              <w:rPr>
                <w:rFonts w:ascii="Calibri" w:hAnsi="Calibri" w:cs="Arial"/>
                <w:color w:val="000000"/>
              </w:rPr>
              <w:t>3.6</w:t>
            </w:r>
          </w:p>
        </w:tc>
        <w:tc>
          <w:tcPr>
            <w:tcW w:w="904" w:type="dxa"/>
            <w:tcBorders>
              <w:top w:val="nil"/>
              <w:left w:val="nil"/>
              <w:bottom w:val="single" w:sz="4" w:space="0" w:color="auto"/>
              <w:right w:val="single" w:sz="4" w:space="0" w:color="auto"/>
            </w:tcBorders>
            <w:shd w:val="clear" w:color="auto" w:fill="auto"/>
            <w:vAlign w:val="bottom"/>
          </w:tcPr>
          <w:p w14:paraId="4A7A269A" w14:textId="77777777" w:rsidR="00505357" w:rsidRDefault="00505357" w:rsidP="00932CAE">
            <w:pPr>
              <w:rPr>
                <w:rFonts w:ascii="Calibri" w:hAnsi="Calibri" w:cs="Arial"/>
                <w:color w:val="000000"/>
              </w:rPr>
            </w:pPr>
            <w:r>
              <w:rPr>
                <w:rFonts w:ascii="Calibri" w:hAnsi="Calibri" w:cs="Arial"/>
                <w:color w:val="000000"/>
              </w:rPr>
              <w:t> </w:t>
            </w:r>
          </w:p>
        </w:tc>
        <w:tc>
          <w:tcPr>
            <w:tcW w:w="916" w:type="dxa"/>
            <w:tcBorders>
              <w:top w:val="nil"/>
              <w:left w:val="nil"/>
              <w:bottom w:val="single" w:sz="4" w:space="0" w:color="auto"/>
              <w:right w:val="single" w:sz="4" w:space="0" w:color="auto"/>
            </w:tcBorders>
            <w:shd w:val="clear" w:color="auto" w:fill="auto"/>
            <w:vAlign w:val="bottom"/>
          </w:tcPr>
          <w:p w14:paraId="4A7A269B" w14:textId="77777777" w:rsidR="00505357" w:rsidRDefault="00505357" w:rsidP="00932CAE">
            <w:pPr>
              <w:rPr>
                <w:rFonts w:ascii="Calibri" w:hAnsi="Calibri" w:cs="Arial"/>
                <w:color w:val="000000"/>
              </w:rPr>
            </w:pPr>
            <w:r>
              <w:rPr>
                <w:rFonts w:ascii="Calibri" w:hAnsi="Calibri" w:cs="Arial"/>
                <w:color w:val="000000"/>
              </w:rPr>
              <w:t> </w:t>
            </w:r>
          </w:p>
        </w:tc>
        <w:tc>
          <w:tcPr>
            <w:tcW w:w="610" w:type="dxa"/>
            <w:tcBorders>
              <w:top w:val="nil"/>
              <w:left w:val="nil"/>
              <w:bottom w:val="single" w:sz="4" w:space="0" w:color="auto"/>
              <w:right w:val="single" w:sz="4" w:space="0" w:color="auto"/>
            </w:tcBorders>
            <w:shd w:val="clear" w:color="auto" w:fill="auto"/>
            <w:vAlign w:val="bottom"/>
          </w:tcPr>
          <w:p w14:paraId="4A7A269C" w14:textId="77777777" w:rsidR="00505357" w:rsidRDefault="00505357" w:rsidP="00932CAE">
            <w:pPr>
              <w:rPr>
                <w:rFonts w:ascii="Calibri" w:hAnsi="Calibri" w:cs="Arial"/>
                <w:color w:val="000000"/>
              </w:rPr>
            </w:pPr>
            <w:r>
              <w:rPr>
                <w:rFonts w:ascii="Calibri" w:hAnsi="Calibri" w:cs="Arial"/>
                <w:color w:val="000000"/>
              </w:rPr>
              <w:t> </w:t>
            </w:r>
          </w:p>
        </w:tc>
      </w:tr>
      <w:tr w:rsidR="00505357" w14:paraId="4A7A26A4" w14:textId="77777777" w:rsidTr="00C15241">
        <w:trPr>
          <w:trHeight w:val="300"/>
        </w:trPr>
        <w:tc>
          <w:tcPr>
            <w:tcW w:w="5822" w:type="dxa"/>
            <w:tcBorders>
              <w:top w:val="nil"/>
              <w:left w:val="single" w:sz="4" w:space="0" w:color="auto"/>
              <w:bottom w:val="single" w:sz="4" w:space="0" w:color="auto"/>
              <w:right w:val="single" w:sz="4" w:space="0" w:color="auto"/>
            </w:tcBorders>
            <w:shd w:val="clear" w:color="auto" w:fill="auto"/>
            <w:vAlign w:val="bottom"/>
          </w:tcPr>
          <w:p w14:paraId="4A7A269E" w14:textId="77777777" w:rsidR="00505357" w:rsidRDefault="00505357" w:rsidP="00932CAE">
            <w:pPr>
              <w:rPr>
                <w:rFonts w:ascii="Calibri" w:hAnsi="Calibri" w:cs="Arial"/>
                <w:color w:val="000000"/>
              </w:rPr>
            </w:pPr>
            <w:r>
              <w:rPr>
                <w:rFonts w:ascii="Calibri" w:hAnsi="Calibri" w:cs="Arial"/>
                <w:color w:val="000000"/>
              </w:rPr>
              <w:t>Taking decisive action on climate change</w:t>
            </w:r>
          </w:p>
        </w:tc>
        <w:tc>
          <w:tcPr>
            <w:tcW w:w="819" w:type="dxa"/>
            <w:tcBorders>
              <w:top w:val="nil"/>
              <w:left w:val="nil"/>
              <w:bottom w:val="single" w:sz="4" w:space="0" w:color="auto"/>
              <w:right w:val="single" w:sz="4" w:space="0" w:color="auto"/>
            </w:tcBorders>
            <w:shd w:val="clear" w:color="auto" w:fill="auto"/>
            <w:vAlign w:val="bottom"/>
          </w:tcPr>
          <w:p w14:paraId="4A7A269F" w14:textId="77777777" w:rsidR="00505357" w:rsidRDefault="00505357" w:rsidP="00932CAE">
            <w:pPr>
              <w:jc w:val="right"/>
              <w:rPr>
                <w:rFonts w:ascii="Calibri" w:hAnsi="Calibri" w:cs="Arial"/>
                <w:color w:val="000000"/>
              </w:rPr>
            </w:pPr>
            <w:r>
              <w:rPr>
                <w:rFonts w:ascii="Calibri" w:hAnsi="Calibri" w:cs="Arial"/>
                <w:color w:val="000000"/>
              </w:rPr>
              <w:t>3.1</w:t>
            </w:r>
          </w:p>
        </w:tc>
        <w:tc>
          <w:tcPr>
            <w:tcW w:w="819" w:type="dxa"/>
            <w:tcBorders>
              <w:top w:val="nil"/>
              <w:left w:val="nil"/>
              <w:bottom w:val="single" w:sz="4" w:space="0" w:color="auto"/>
              <w:right w:val="single" w:sz="4" w:space="0" w:color="auto"/>
            </w:tcBorders>
            <w:shd w:val="clear" w:color="auto" w:fill="auto"/>
            <w:vAlign w:val="bottom"/>
          </w:tcPr>
          <w:p w14:paraId="4A7A26A0" w14:textId="77777777" w:rsidR="00505357" w:rsidRDefault="00505357" w:rsidP="00932CAE">
            <w:pPr>
              <w:jc w:val="right"/>
              <w:rPr>
                <w:rFonts w:ascii="Calibri" w:hAnsi="Calibri" w:cs="Arial"/>
                <w:color w:val="000000"/>
              </w:rPr>
            </w:pPr>
            <w:r>
              <w:rPr>
                <w:rFonts w:ascii="Calibri" w:hAnsi="Calibri" w:cs="Arial"/>
                <w:color w:val="000000"/>
              </w:rPr>
              <w:t>3.1</w:t>
            </w:r>
          </w:p>
        </w:tc>
        <w:tc>
          <w:tcPr>
            <w:tcW w:w="904" w:type="dxa"/>
            <w:tcBorders>
              <w:top w:val="nil"/>
              <w:left w:val="nil"/>
              <w:bottom w:val="single" w:sz="4" w:space="0" w:color="auto"/>
              <w:right w:val="single" w:sz="4" w:space="0" w:color="auto"/>
            </w:tcBorders>
            <w:shd w:val="clear" w:color="auto" w:fill="auto"/>
            <w:vAlign w:val="bottom"/>
          </w:tcPr>
          <w:p w14:paraId="4A7A26A1" w14:textId="77777777" w:rsidR="00505357" w:rsidRDefault="00505357" w:rsidP="00932CAE">
            <w:pPr>
              <w:jc w:val="right"/>
              <w:rPr>
                <w:rFonts w:ascii="Calibri" w:hAnsi="Calibri" w:cs="Arial"/>
                <w:color w:val="000000"/>
              </w:rPr>
            </w:pPr>
            <w:r>
              <w:rPr>
                <w:rFonts w:ascii="Calibri" w:hAnsi="Calibri" w:cs="Arial"/>
                <w:color w:val="000000"/>
              </w:rPr>
              <w:t>3.2</w:t>
            </w:r>
          </w:p>
        </w:tc>
        <w:tc>
          <w:tcPr>
            <w:tcW w:w="916" w:type="dxa"/>
            <w:tcBorders>
              <w:top w:val="nil"/>
              <w:left w:val="nil"/>
              <w:bottom w:val="single" w:sz="4" w:space="0" w:color="auto"/>
              <w:right w:val="single" w:sz="4" w:space="0" w:color="auto"/>
            </w:tcBorders>
            <w:shd w:val="clear" w:color="auto" w:fill="auto"/>
            <w:vAlign w:val="bottom"/>
          </w:tcPr>
          <w:p w14:paraId="4A7A26A2" w14:textId="77777777" w:rsidR="00505357" w:rsidRDefault="00505357" w:rsidP="00932CAE">
            <w:pPr>
              <w:jc w:val="right"/>
              <w:rPr>
                <w:rFonts w:ascii="Calibri" w:hAnsi="Calibri" w:cs="Arial"/>
                <w:color w:val="000000"/>
              </w:rPr>
            </w:pPr>
            <w:r>
              <w:rPr>
                <w:rFonts w:ascii="Calibri" w:hAnsi="Calibri" w:cs="Arial"/>
                <w:color w:val="000000"/>
              </w:rPr>
              <w:t>3.1</w:t>
            </w:r>
          </w:p>
        </w:tc>
        <w:tc>
          <w:tcPr>
            <w:tcW w:w="610" w:type="dxa"/>
            <w:tcBorders>
              <w:top w:val="nil"/>
              <w:left w:val="nil"/>
              <w:bottom w:val="single" w:sz="4" w:space="0" w:color="auto"/>
              <w:right w:val="single" w:sz="4" w:space="0" w:color="auto"/>
            </w:tcBorders>
            <w:shd w:val="clear" w:color="auto" w:fill="auto"/>
            <w:vAlign w:val="bottom"/>
          </w:tcPr>
          <w:p w14:paraId="4A7A26A3" w14:textId="77777777" w:rsidR="00505357" w:rsidRDefault="00505357" w:rsidP="00932CAE">
            <w:pPr>
              <w:rPr>
                <w:rFonts w:ascii="Calibri" w:hAnsi="Calibri" w:cs="Arial"/>
                <w:color w:val="000000"/>
              </w:rPr>
            </w:pPr>
            <w:r>
              <w:rPr>
                <w:rFonts w:ascii="Calibri" w:hAnsi="Calibri" w:cs="Arial"/>
                <w:color w:val="000000"/>
              </w:rPr>
              <w:t> </w:t>
            </w:r>
          </w:p>
        </w:tc>
      </w:tr>
      <w:tr w:rsidR="00505357" w14:paraId="4A7A26AB" w14:textId="77777777" w:rsidTr="00C15241">
        <w:trPr>
          <w:trHeight w:val="300"/>
        </w:trPr>
        <w:tc>
          <w:tcPr>
            <w:tcW w:w="5822" w:type="dxa"/>
            <w:tcBorders>
              <w:top w:val="nil"/>
              <w:left w:val="single" w:sz="4" w:space="0" w:color="auto"/>
              <w:bottom w:val="single" w:sz="4" w:space="0" w:color="auto"/>
              <w:right w:val="single" w:sz="4" w:space="0" w:color="auto"/>
            </w:tcBorders>
            <w:shd w:val="clear" w:color="auto" w:fill="auto"/>
            <w:vAlign w:val="bottom"/>
          </w:tcPr>
          <w:p w14:paraId="4A7A26A5" w14:textId="77777777" w:rsidR="00505357" w:rsidRDefault="00505357" w:rsidP="00932CAE">
            <w:pPr>
              <w:rPr>
                <w:rFonts w:ascii="Calibri" w:hAnsi="Calibri" w:cs="Arial"/>
                <w:color w:val="000000"/>
              </w:rPr>
            </w:pPr>
            <w:r>
              <w:rPr>
                <w:rFonts w:ascii="Calibri" w:hAnsi="Calibri" w:cs="Arial"/>
                <w:color w:val="000000"/>
              </w:rPr>
              <w:t>Understanding and adapting to climate change</w:t>
            </w:r>
          </w:p>
        </w:tc>
        <w:tc>
          <w:tcPr>
            <w:tcW w:w="819" w:type="dxa"/>
            <w:tcBorders>
              <w:top w:val="nil"/>
              <w:left w:val="nil"/>
              <w:bottom w:val="single" w:sz="4" w:space="0" w:color="auto"/>
              <w:right w:val="single" w:sz="4" w:space="0" w:color="auto"/>
            </w:tcBorders>
            <w:shd w:val="clear" w:color="auto" w:fill="auto"/>
            <w:vAlign w:val="bottom"/>
          </w:tcPr>
          <w:p w14:paraId="4A7A26A6" w14:textId="77777777" w:rsidR="00505357" w:rsidRDefault="00505357" w:rsidP="00932CAE">
            <w:pPr>
              <w:jc w:val="right"/>
              <w:rPr>
                <w:rFonts w:ascii="Calibri" w:hAnsi="Calibri" w:cs="Arial"/>
                <w:color w:val="000000"/>
              </w:rPr>
            </w:pPr>
            <w:r>
              <w:rPr>
                <w:rFonts w:ascii="Calibri" w:hAnsi="Calibri" w:cs="Arial"/>
                <w:color w:val="000000"/>
              </w:rPr>
              <w:t>3.8</w:t>
            </w:r>
          </w:p>
        </w:tc>
        <w:tc>
          <w:tcPr>
            <w:tcW w:w="819" w:type="dxa"/>
            <w:tcBorders>
              <w:top w:val="nil"/>
              <w:left w:val="nil"/>
              <w:bottom w:val="single" w:sz="4" w:space="0" w:color="auto"/>
              <w:right w:val="single" w:sz="4" w:space="0" w:color="auto"/>
            </w:tcBorders>
            <w:shd w:val="clear" w:color="auto" w:fill="auto"/>
            <w:vAlign w:val="bottom"/>
          </w:tcPr>
          <w:p w14:paraId="4A7A26A7" w14:textId="77777777" w:rsidR="00505357" w:rsidRDefault="00505357" w:rsidP="00932CAE">
            <w:pPr>
              <w:jc w:val="right"/>
              <w:rPr>
                <w:rFonts w:ascii="Calibri" w:hAnsi="Calibri" w:cs="Arial"/>
                <w:color w:val="000000"/>
              </w:rPr>
            </w:pPr>
            <w:r>
              <w:rPr>
                <w:rFonts w:ascii="Calibri" w:hAnsi="Calibri" w:cs="Arial"/>
                <w:color w:val="000000"/>
              </w:rPr>
              <w:t>2.6</w:t>
            </w:r>
          </w:p>
        </w:tc>
        <w:tc>
          <w:tcPr>
            <w:tcW w:w="904" w:type="dxa"/>
            <w:tcBorders>
              <w:top w:val="nil"/>
              <w:left w:val="nil"/>
              <w:bottom w:val="single" w:sz="4" w:space="0" w:color="auto"/>
              <w:right w:val="single" w:sz="4" w:space="0" w:color="auto"/>
            </w:tcBorders>
            <w:shd w:val="clear" w:color="auto" w:fill="auto"/>
            <w:vAlign w:val="bottom"/>
          </w:tcPr>
          <w:p w14:paraId="4A7A26A8" w14:textId="77777777" w:rsidR="00505357" w:rsidRDefault="00505357" w:rsidP="00932CAE">
            <w:pPr>
              <w:jc w:val="right"/>
              <w:rPr>
                <w:rFonts w:ascii="Calibri" w:hAnsi="Calibri" w:cs="Arial"/>
                <w:color w:val="000000"/>
              </w:rPr>
            </w:pPr>
            <w:r>
              <w:rPr>
                <w:rFonts w:ascii="Calibri" w:hAnsi="Calibri" w:cs="Arial"/>
                <w:color w:val="000000"/>
              </w:rPr>
              <w:t>2.6</w:t>
            </w:r>
          </w:p>
        </w:tc>
        <w:tc>
          <w:tcPr>
            <w:tcW w:w="916" w:type="dxa"/>
            <w:tcBorders>
              <w:top w:val="nil"/>
              <w:left w:val="nil"/>
              <w:bottom w:val="single" w:sz="4" w:space="0" w:color="auto"/>
              <w:right w:val="single" w:sz="4" w:space="0" w:color="auto"/>
            </w:tcBorders>
            <w:shd w:val="clear" w:color="auto" w:fill="auto"/>
            <w:vAlign w:val="bottom"/>
          </w:tcPr>
          <w:p w14:paraId="4A7A26A9" w14:textId="77777777" w:rsidR="00505357" w:rsidRDefault="00505357" w:rsidP="00932CAE">
            <w:pPr>
              <w:rPr>
                <w:rFonts w:ascii="Calibri" w:hAnsi="Calibri" w:cs="Arial"/>
                <w:color w:val="000000"/>
              </w:rPr>
            </w:pPr>
            <w:r>
              <w:rPr>
                <w:rFonts w:ascii="Calibri" w:hAnsi="Calibri" w:cs="Arial"/>
                <w:color w:val="000000"/>
              </w:rPr>
              <w:t> </w:t>
            </w:r>
          </w:p>
        </w:tc>
        <w:tc>
          <w:tcPr>
            <w:tcW w:w="610" w:type="dxa"/>
            <w:tcBorders>
              <w:top w:val="nil"/>
              <w:left w:val="nil"/>
              <w:bottom w:val="single" w:sz="4" w:space="0" w:color="auto"/>
              <w:right w:val="single" w:sz="4" w:space="0" w:color="auto"/>
            </w:tcBorders>
            <w:shd w:val="clear" w:color="auto" w:fill="auto"/>
            <w:vAlign w:val="bottom"/>
          </w:tcPr>
          <w:p w14:paraId="4A7A26AA" w14:textId="77777777" w:rsidR="00505357" w:rsidRDefault="00505357" w:rsidP="00932CAE">
            <w:pPr>
              <w:rPr>
                <w:rFonts w:ascii="Calibri" w:hAnsi="Calibri" w:cs="Arial"/>
                <w:color w:val="000000"/>
              </w:rPr>
            </w:pPr>
            <w:r>
              <w:rPr>
                <w:rFonts w:ascii="Calibri" w:hAnsi="Calibri" w:cs="Arial"/>
                <w:color w:val="000000"/>
              </w:rPr>
              <w:t> </w:t>
            </w:r>
          </w:p>
        </w:tc>
      </w:tr>
      <w:tr w:rsidR="00505357" w14:paraId="4A7A26B2" w14:textId="77777777" w:rsidTr="00C15241">
        <w:trPr>
          <w:trHeight w:val="300"/>
        </w:trPr>
        <w:tc>
          <w:tcPr>
            <w:tcW w:w="5822" w:type="dxa"/>
            <w:tcBorders>
              <w:top w:val="nil"/>
              <w:left w:val="single" w:sz="4" w:space="0" w:color="auto"/>
              <w:bottom w:val="single" w:sz="4" w:space="0" w:color="auto"/>
              <w:right w:val="single" w:sz="4" w:space="0" w:color="auto"/>
            </w:tcBorders>
            <w:shd w:val="clear" w:color="auto" w:fill="auto"/>
            <w:vAlign w:val="bottom"/>
          </w:tcPr>
          <w:p w14:paraId="4A7A26AC" w14:textId="77777777" w:rsidR="00505357" w:rsidRDefault="00505357" w:rsidP="00932CAE">
            <w:pPr>
              <w:rPr>
                <w:rFonts w:ascii="Calibri" w:hAnsi="Calibri" w:cs="Arial"/>
                <w:color w:val="000000"/>
              </w:rPr>
            </w:pPr>
            <w:r>
              <w:rPr>
                <w:rFonts w:ascii="Calibri" w:hAnsi="Calibri" w:cs="Arial"/>
                <w:color w:val="000000"/>
              </w:rPr>
              <w:t>Energy affordability - Putting consumers first</w:t>
            </w:r>
          </w:p>
        </w:tc>
        <w:tc>
          <w:tcPr>
            <w:tcW w:w="819" w:type="dxa"/>
            <w:tcBorders>
              <w:top w:val="nil"/>
              <w:left w:val="nil"/>
              <w:bottom w:val="single" w:sz="4" w:space="0" w:color="auto"/>
              <w:right w:val="single" w:sz="4" w:space="0" w:color="auto"/>
            </w:tcBorders>
            <w:shd w:val="clear" w:color="auto" w:fill="auto"/>
            <w:vAlign w:val="bottom"/>
          </w:tcPr>
          <w:p w14:paraId="4A7A26AD" w14:textId="77777777" w:rsidR="00505357" w:rsidRDefault="00505357" w:rsidP="00932CAE">
            <w:pPr>
              <w:jc w:val="right"/>
              <w:rPr>
                <w:rFonts w:ascii="Calibri" w:hAnsi="Calibri" w:cs="Arial"/>
                <w:color w:val="000000"/>
              </w:rPr>
            </w:pPr>
            <w:r>
              <w:rPr>
                <w:rFonts w:ascii="Calibri" w:hAnsi="Calibri" w:cs="Arial"/>
                <w:color w:val="000000"/>
              </w:rPr>
              <w:t>6.1</w:t>
            </w:r>
          </w:p>
        </w:tc>
        <w:tc>
          <w:tcPr>
            <w:tcW w:w="819" w:type="dxa"/>
            <w:tcBorders>
              <w:top w:val="nil"/>
              <w:left w:val="nil"/>
              <w:bottom w:val="single" w:sz="4" w:space="0" w:color="auto"/>
              <w:right w:val="single" w:sz="4" w:space="0" w:color="auto"/>
            </w:tcBorders>
            <w:shd w:val="clear" w:color="auto" w:fill="auto"/>
            <w:vAlign w:val="bottom"/>
          </w:tcPr>
          <w:p w14:paraId="4A7A26AE" w14:textId="77777777" w:rsidR="00505357" w:rsidRDefault="00505357" w:rsidP="00932CAE">
            <w:pPr>
              <w:jc w:val="right"/>
              <w:rPr>
                <w:rFonts w:ascii="Calibri" w:hAnsi="Calibri" w:cs="Arial"/>
                <w:color w:val="000000"/>
              </w:rPr>
            </w:pPr>
            <w:r>
              <w:rPr>
                <w:rFonts w:ascii="Calibri" w:hAnsi="Calibri" w:cs="Arial"/>
                <w:color w:val="000000"/>
              </w:rPr>
              <w:t>4.6</w:t>
            </w:r>
          </w:p>
        </w:tc>
        <w:tc>
          <w:tcPr>
            <w:tcW w:w="904" w:type="dxa"/>
            <w:tcBorders>
              <w:top w:val="nil"/>
              <w:left w:val="nil"/>
              <w:bottom w:val="single" w:sz="4" w:space="0" w:color="auto"/>
              <w:right w:val="single" w:sz="4" w:space="0" w:color="auto"/>
            </w:tcBorders>
            <w:shd w:val="clear" w:color="auto" w:fill="auto"/>
            <w:vAlign w:val="bottom"/>
          </w:tcPr>
          <w:p w14:paraId="4A7A26AF" w14:textId="77777777" w:rsidR="00505357" w:rsidRDefault="00505357" w:rsidP="00932CAE">
            <w:pPr>
              <w:rPr>
                <w:rFonts w:ascii="Calibri" w:hAnsi="Calibri" w:cs="Arial"/>
                <w:color w:val="000000"/>
              </w:rPr>
            </w:pPr>
            <w:r>
              <w:rPr>
                <w:rFonts w:ascii="Calibri" w:hAnsi="Calibri" w:cs="Arial"/>
                <w:color w:val="000000"/>
              </w:rPr>
              <w:t> </w:t>
            </w:r>
          </w:p>
        </w:tc>
        <w:tc>
          <w:tcPr>
            <w:tcW w:w="916" w:type="dxa"/>
            <w:tcBorders>
              <w:top w:val="nil"/>
              <w:left w:val="nil"/>
              <w:bottom w:val="single" w:sz="4" w:space="0" w:color="auto"/>
              <w:right w:val="single" w:sz="4" w:space="0" w:color="auto"/>
            </w:tcBorders>
            <w:shd w:val="clear" w:color="auto" w:fill="auto"/>
            <w:vAlign w:val="bottom"/>
          </w:tcPr>
          <w:p w14:paraId="4A7A26B0" w14:textId="77777777" w:rsidR="00505357" w:rsidRDefault="00505357" w:rsidP="00932CAE">
            <w:pPr>
              <w:rPr>
                <w:rFonts w:ascii="Calibri" w:hAnsi="Calibri" w:cs="Arial"/>
                <w:color w:val="000000"/>
              </w:rPr>
            </w:pPr>
            <w:r>
              <w:rPr>
                <w:rFonts w:ascii="Calibri" w:hAnsi="Calibri" w:cs="Arial"/>
                <w:color w:val="000000"/>
              </w:rPr>
              <w:t> </w:t>
            </w:r>
          </w:p>
        </w:tc>
        <w:tc>
          <w:tcPr>
            <w:tcW w:w="610" w:type="dxa"/>
            <w:tcBorders>
              <w:top w:val="nil"/>
              <w:left w:val="nil"/>
              <w:bottom w:val="single" w:sz="4" w:space="0" w:color="auto"/>
              <w:right w:val="single" w:sz="4" w:space="0" w:color="auto"/>
            </w:tcBorders>
            <w:shd w:val="clear" w:color="auto" w:fill="auto"/>
            <w:vAlign w:val="bottom"/>
          </w:tcPr>
          <w:p w14:paraId="4A7A26B1" w14:textId="77777777" w:rsidR="00505357" w:rsidRDefault="00505357" w:rsidP="00932CAE">
            <w:pPr>
              <w:rPr>
                <w:rFonts w:ascii="Calibri" w:hAnsi="Calibri" w:cs="Arial"/>
                <w:color w:val="000000"/>
              </w:rPr>
            </w:pPr>
            <w:r>
              <w:rPr>
                <w:rFonts w:ascii="Calibri" w:hAnsi="Calibri" w:cs="Arial"/>
                <w:color w:val="000000"/>
              </w:rPr>
              <w:t> </w:t>
            </w:r>
          </w:p>
        </w:tc>
      </w:tr>
      <w:tr w:rsidR="00505357" w14:paraId="4A7A26B9" w14:textId="77777777" w:rsidTr="00C15241">
        <w:trPr>
          <w:trHeight w:val="300"/>
        </w:trPr>
        <w:tc>
          <w:tcPr>
            <w:tcW w:w="5822" w:type="dxa"/>
            <w:tcBorders>
              <w:top w:val="nil"/>
              <w:left w:val="single" w:sz="4" w:space="0" w:color="auto"/>
              <w:bottom w:val="single" w:sz="4" w:space="0" w:color="auto"/>
              <w:right w:val="single" w:sz="4" w:space="0" w:color="auto"/>
            </w:tcBorders>
            <w:shd w:val="clear" w:color="auto" w:fill="auto"/>
            <w:vAlign w:val="bottom"/>
          </w:tcPr>
          <w:p w14:paraId="4A7A26B3" w14:textId="77777777" w:rsidR="00505357" w:rsidRDefault="00505357" w:rsidP="00932CAE">
            <w:pPr>
              <w:rPr>
                <w:rFonts w:ascii="Calibri" w:hAnsi="Calibri" w:cs="Arial"/>
                <w:color w:val="000000"/>
              </w:rPr>
            </w:pPr>
            <w:r>
              <w:rPr>
                <w:rFonts w:ascii="Calibri" w:hAnsi="Calibri" w:cs="Arial"/>
                <w:color w:val="000000"/>
              </w:rPr>
              <w:t>Securing our modern energy future</w:t>
            </w:r>
          </w:p>
        </w:tc>
        <w:tc>
          <w:tcPr>
            <w:tcW w:w="819" w:type="dxa"/>
            <w:tcBorders>
              <w:top w:val="nil"/>
              <w:left w:val="nil"/>
              <w:bottom w:val="single" w:sz="4" w:space="0" w:color="auto"/>
              <w:right w:val="single" w:sz="4" w:space="0" w:color="auto"/>
            </w:tcBorders>
            <w:shd w:val="clear" w:color="auto" w:fill="auto"/>
            <w:vAlign w:val="bottom"/>
          </w:tcPr>
          <w:p w14:paraId="4A7A26B4" w14:textId="77777777" w:rsidR="00505357" w:rsidRDefault="00505357" w:rsidP="00932CAE">
            <w:pPr>
              <w:jc w:val="right"/>
              <w:rPr>
                <w:rFonts w:ascii="Calibri" w:hAnsi="Calibri" w:cs="Arial"/>
                <w:color w:val="000000"/>
              </w:rPr>
            </w:pPr>
            <w:r>
              <w:rPr>
                <w:rFonts w:ascii="Calibri" w:hAnsi="Calibri" w:cs="Arial"/>
                <w:color w:val="000000"/>
              </w:rPr>
              <w:t>26.2</w:t>
            </w:r>
          </w:p>
        </w:tc>
        <w:tc>
          <w:tcPr>
            <w:tcW w:w="819" w:type="dxa"/>
            <w:tcBorders>
              <w:top w:val="nil"/>
              <w:left w:val="nil"/>
              <w:bottom w:val="single" w:sz="4" w:space="0" w:color="auto"/>
              <w:right w:val="single" w:sz="4" w:space="0" w:color="auto"/>
            </w:tcBorders>
            <w:shd w:val="clear" w:color="auto" w:fill="auto"/>
            <w:vAlign w:val="bottom"/>
          </w:tcPr>
          <w:p w14:paraId="4A7A26B5" w14:textId="77777777" w:rsidR="00505357" w:rsidRDefault="00505357" w:rsidP="00932CAE">
            <w:pPr>
              <w:jc w:val="right"/>
              <w:rPr>
                <w:rFonts w:ascii="Calibri" w:hAnsi="Calibri" w:cs="Arial"/>
                <w:color w:val="000000"/>
              </w:rPr>
            </w:pPr>
            <w:r>
              <w:rPr>
                <w:rFonts w:ascii="Calibri" w:hAnsi="Calibri" w:cs="Arial"/>
                <w:color w:val="000000"/>
              </w:rPr>
              <w:t>25</w:t>
            </w:r>
          </w:p>
        </w:tc>
        <w:tc>
          <w:tcPr>
            <w:tcW w:w="904" w:type="dxa"/>
            <w:tcBorders>
              <w:top w:val="nil"/>
              <w:left w:val="nil"/>
              <w:bottom w:val="single" w:sz="4" w:space="0" w:color="auto"/>
              <w:right w:val="single" w:sz="4" w:space="0" w:color="auto"/>
            </w:tcBorders>
            <w:shd w:val="clear" w:color="auto" w:fill="auto"/>
            <w:vAlign w:val="bottom"/>
          </w:tcPr>
          <w:p w14:paraId="4A7A26B6" w14:textId="77777777" w:rsidR="00505357" w:rsidRDefault="00505357" w:rsidP="00932CAE">
            <w:pPr>
              <w:jc w:val="right"/>
              <w:rPr>
                <w:rFonts w:ascii="Calibri" w:hAnsi="Calibri" w:cs="Arial"/>
                <w:color w:val="000000"/>
              </w:rPr>
            </w:pPr>
            <w:r>
              <w:rPr>
                <w:rFonts w:ascii="Calibri" w:hAnsi="Calibri" w:cs="Arial"/>
                <w:color w:val="000000"/>
              </w:rPr>
              <w:t>27.1</w:t>
            </w:r>
          </w:p>
        </w:tc>
        <w:tc>
          <w:tcPr>
            <w:tcW w:w="916" w:type="dxa"/>
            <w:tcBorders>
              <w:top w:val="nil"/>
              <w:left w:val="nil"/>
              <w:bottom w:val="single" w:sz="4" w:space="0" w:color="auto"/>
              <w:right w:val="single" w:sz="4" w:space="0" w:color="auto"/>
            </w:tcBorders>
            <w:shd w:val="clear" w:color="auto" w:fill="auto"/>
            <w:vAlign w:val="bottom"/>
          </w:tcPr>
          <w:p w14:paraId="4A7A26B7" w14:textId="77777777" w:rsidR="00505357" w:rsidRDefault="00505357" w:rsidP="00932CAE">
            <w:pPr>
              <w:rPr>
                <w:rFonts w:ascii="Calibri" w:hAnsi="Calibri" w:cs="Arial"/>
                <w:color w:val="000000"/>
              </w:rPr>
            </w:pPr>
            <w:r>
              <w:rPr>
                <w:rFonts w:ascii="Calibri" w:hAnsi="Calibri" w:cs="Arial"/>
                <w:color w:val="000000"/>
              </w:rPr>
              <w:t> </w:t>
            </w:r>
          </w:p>
        </w:tc>
        <w:tc>
          <w:tcPr>
            <w:tcW w:w="610" w:type="dxa"/>
            <w:tcBorders>
              <w:top w:val="nil"/>
              <w:left w:val="nil"/>
              <w:bottom w:val="single" w:sz="4" w:space="0" w:color="auto"/>
              <w:right w:val="single" w:sz="4" w:space="0" w:color="auto"/>
            </w:tcBorders>
            <w:shd w:val="clear" w:color="auto" w:fill="auto"/>
            <w:vAlign w:val="bottom"/>
          </w:tcPr>
          <w:p w14:paraId="4A7A26B8" w14:textId="77777777" w:rsidR="00505357" w:rsidRDefault="00505357" w:rsidP="00932CAE">
            <w:pPr>
              <w:rPr>
                <w:rFonts w:ascii="Calibri" w:hAnsi="Calibri" w:cs="Arial"/>
                <w:color w:val="000000"/>
              </w:rPr>
            </w:pPr>
            <w:r>
              <w:rPr>
                <w:rFonts w:ascii="Calibri" w:hAnsi="Calibri" w:cs="Arial"/>
                <w:color w:val="000000"/>
              </w:rPr>
              <w:t> </w:t>
            </w:r>
          </w:p>
        </w:tc>
      </w:tr>
      <w:tr w:rsidR="00505357" w14:paraId="4A7A26C0" w14:textId="77777777" w:rsidTr="00C15241">
        <w:trPr>
          <w:trHeight w:val="300"/>
        </w:trPr>
        <w:tc>
          <w:tcPr>
            <w:tcW w:w="5822" w:type="dxa"/>
            <w:tcBorders>
              <w:top w:val="nil"/>
              <w:left w:val="single" w:sz="4" w:space="0" w:color="auto"/>
              <w:bottom w:val="single" w:sz="4" w:space="0" w:color="auto"/>
              <w:right w:val="single" w:sz="4" w:space="0" w:color="auto"/>
            </w:tcBorders>
            <w:shd w:val="clear" w:color="auto" w:fill="auto"/>
            <w:vAlign w:val="bottom"/>
          </w:tcPr>
          <w:p w14:paraId="4A7A26BA" w14:textId="77777777" w:rsidR="00505357" w:rsidRDefault="00505357" w:rsidP="00932CAE">
            <w:pPr>
              <w:rPr>
                <w:rFonts w:ascii="Calibri" w:hAnsi="Calibri" w:cs="Arial"/>
                <w:color w:val="000000"/>
              </w:rPr>
            </w:pPr>
            <w:r>
              <w:rPr>
                <w:rFonts w:ascii="Calibri" w:hAnsi="Calibri" w:cs="Arial"/>
                <w:color w:val="000000"/>
              </w:rPr>
              <w:t>Securing our energy future - solar trams</w:t>
            </w:r>
          </w:p>
        </w:tc>
        <w:tc>
          <w:tcPr>
            <w:tcW w:w="819" w:type="dxa"/>
            <w:tcBorders>
              <w:top w:val="nil"/>
              <w:left w:val="nil"/>
              <w:bottom w:val="single" w:sz="4" w:space="0" w:color="auto"/>
              <w:right w:val="single" w:sz="4" w:space="0" w:color="auto"/>
            </w:tcBorders>
            <w:shd w:val="clear" w:color="auto" w:fill="auto"/>
            <w:vAlign w:val="bottom"/>
          </w:tcPr>
          <w:p w14:paraId="4A7A26BB" w14:textId="77777777" w:rsidR="00505357" w:rsidRDefault="00505357" w:rsidP="00932CAE">
            <w:pPr>
              <w:jc w:val="right"/>
              <w:rPr>
                <w:rFonts w:ascii="Calibri" w:hAnsi="Calibri" w:cs="Arial"/>
                <w:color w:val="000000"/>
              </w:rPr>
            </w:pPr>
            <w:r>
              <w:rPr>
                <w:rFonts w:ascii="Calibri" w:hAnsi="Calibri" w:cs="Arial"/>
                <w:color w:val="000000"/>
              </w:rPr>
              <w:t>0.1</w:t>
            </w:r>
          </w:p>
        </w:tc>
        <w:tc>
          <w:tcPr>
            <w:tcW w:w="819" w:type="dxa"/>
            <w:tcBorders>
              <w:top w:val="nil"/>
              <w:left w:val="nil"/>
              <w:bottom w:val="single" w:sz="4" w:space="0" w:color="auto"/>
              <w:right w:val="single" w:sz="4" w:space="0" w:color="auto"/>
            </w:tcBorders>
            <w:shd w:val="clear" w:color="auto" w:fill="auto"/>
            <w:vAlign w:val="bottom"/>
          </w:tcPr>
          <w:p w14:paraId="4A7A26BC" w14:textId="77777777" w:rsidR="00505357" w:rsidRDefault="00505357" w:rsidP="00932CAE">
            <w:pPr>
              <w:jc w:val="right"/>
              <w:rPr>
                <w:rFonts w:ascii="Calibri" w:hAnsi="Calibri" w:cs="Arial"/>
                <w:color w:val="000000"/>
              </w:rPr>
            </w:pPr>
            <w:r>
              <w:rPr>
                <w:rFonts w:ascii="Calibri" w:hAnsi="Calibri" w:cs="Arial"/>
                <w:color w:val="000000"/>
              </w:rPr>
              <w:t>4.7</w:t>
            </w:r>
          </w:p>
        </w:tc>
        <w:tc>
          <w:tcPr>
            <w:tcW w:w="904" w:type="dxa"/>
            <w:tcBorders>
              <w:top w:val="nil"/>
              <w:left w:val="nil"/>
              <w:bottom w:val="single" w:sz="4" w:space="0" w:color="auto"/>
              <w:right w:val="single" w:sz="4" w:space="0" w:color="auto"/>
            </w:tcBorders>
            <w:shd w:val="clear" w:color="auto" w:fill="auto"/>
            <w:noWrap/>
            <w:vAlign w:val="bottom"/>
          </w:tcPr>
          <w:p w14:paraId="4A7A26BD" w14:textId="77777777" w:rsidR="00505357" w:rsidRDefault="00505357" w:rsidP="00932CAE">
            <w:pPr>
              <w:jc w:val="right"/>
              <w:rPr>
                <w:rFonts w:ascii="Calibri" w:hAnsi="Calibri" w:cs="Arial"/>
                <w:color w:val="000000"/>
              </w:rPr>
            </w:pPr>
            <w:r>
              <w:rPr>
                <w:rFonts w:ascii="Calibri" w:hAnsi="Calibri" w:cs="Arial"/>
                <w:color w:val="000000"/>
              </w:rPr>
              <w:t>4.7</w:t>
            </w:r>
          </w:p>
        </w:tc>
        <w:tc>
          <w:tcPr>
            <w:tcW w:w="916" w:type="dxa"/>
            <w:tcBorders>
              <w:top w:val="nil"/>
              <w:left w:val="nil"/>
              <w:bottom w:val="single" w:sz="4" w:space="0" w:color="auto"/>
              <w:right w:val="single" w:sz="4" w:space="0" w:color="auto"/>
            </w:tcBorders>
            <w:shd w:val="clear" w:color="auto" w:fill="auto"/>
            <w:noWrap/>
            <w:vAlign w:val="bottom"/>
          </w:tcPr>
          <w:p w14:paraId="4A7A26BE" w14:textId="77777777" w:rsidR="00505357" w:rsidRDefault="00505357" w:rsidP="00932CAE">
            <w:pPr>
              <w:rPr>
                <w:rFonts w:ascii="Calibri" w:hAnsi="Calibri" w:cs="Arial"/>
                <w:color w:val="000000"/>
              </w:rPr>
            </w:pPr>
            <w:r>
              <w:rPr>
                <w:rFonts w:ascii="Calibri" w:hAnsi="Calibri" w:cs="Arial"/>
                <w:color w:val="000000"/>
              </w:rPr>
              <w:t> </w:t>
            </w:r>
          </w:p>
        </w:tc>
        <w:tc>
          <w:tcPr>
            <w:tcW w:w="610" w:type="dxa"/>
            <w:tcBorders>
              <w:top w:val="nil"/>
              <w:left w:val="nil"/>
              <w:bottom w:val="single" w:sz="4" w:space="0" w:color="auto"/>
              <w:right w:val="single" w:sz="4" w:space="0" w:color="auto"/>
            </w:tcBorders>
            <w:shd w:val="clear" w:color="auto" w:fill="auto"/>
            <w:noWrap/>
            <w:vAlign w:val="bottom"/>
          </w:tcPr>
          <w:p w14:paraId="4A7A26BF" w14:textId="77777777" w:rsidR="00505357" w:rsidRDefault="00505357" w:rsidP="00932CAE">
            <w:pPr>
              <w:rPr>
                <w:rFonts w:ascii="Calibri" w:hAnsi="Calibri" w:cs="Arial"/>
                <w:color w:val="000000"/>
              </w:rPr>
            </w:pPr>
            <w:r>
              <w:rPr>
                <w:rFonts w:ascii="Calibri" w:hAnsi="Calibri" w:cs="Arial"/>
                <w:color w:val="000000"/>
              </w:rPr>
              <w:t> </w:t>
            </w:r>
          </w:p>
        </w:tc>
      </w:tr>
      <w:tr w:rsidR="00505357" w14:paraId="4A7A26C7" w14:textId="77777777" w:rsidTr="00C15241">
        <w:trPr>
          <w:trHeight w:val="300"/>
        </w:trPr>
        <w:tc>
          <w:tcPr>
            <w:tcW w:w="5822" w:type="dxa"/>
            <w:tcBorders>
              <w:top w:val="nil"/>
              <w:left w:val="single" w:sz="4" w:space="0" w:color="auto"/>
              <w:bottom w:val="single" w:sz="4" w:space="0" w:color="auto"/>
              <w:right w:val="single" w:sz="4" w:space="0" w:color="auto"/>
            </w:tcBorders>
            <w:shd w:val="clear" w:color="auto" w:fill="auto"/>
            <w:vAlign w:val="bottom"/>
          </w:tcPr>
          <w:p w14:paraId="4A7A26C1" w14:textId="77777777" w:rsidR="00505357" w:rsidRDefault="00505357" w:rsidP="00932CAE">
            <w:pPr>
              <w:rPr>
                <w:rFonts w:ascii="Calibri" w:hAnsi="Calibri" w:cs="Arial"/>
                <w:color w:val="000000"/>
              </w:rPr>
            </w:pPr>
            <w:r>
              <w:rPr>
                <w:rFonts w:ascii="Calibri" w:hAnsi="Calibri" w:cs="Arial"/>
                <w:color w:val="000000"/>
              </w:rPr>
              <w:t>Greener Government Buildings</w:t>
            </w:r>
          </w:p>
        </w:tc>
        <w:tc>
          <w:tcPr>
            <w:tcW w:w="819" w:type="dxa"/>
            <w:tcBorders>
              <w:top w:val="nil"/>
              <w:left w:val="nil"/>
              <w:bottom w:val="single" w:sz="4" w:space="0" w:color="auto"/>
              <w:right w:val="single" w:sz="4" w:space="0" w:color="auto"/>
            </w:tcBorders>
            <w:shd w:val="clear" w:color="auto" w:fill="auto"/>
            <w:vAlign w:val="bottom"/>
          </w:tcPr>
          <w:p w14:paraId="4A7A26C2" w14:textId="77777777" w:rsidR="00505357" w:rsidRDefault="00505357" w:rsidP="00932CAE">
            <w:pPr>
              <w:jc w:val="right"/>
              <w:rPr>
                <w:rFonts w:ascii="Calibri" w:hAnsi="Calibri" w:cs="Arial"/>
                <w:color w:val="000000"/>
              </w:rPr>
            </w:pPr>
            <w:r>
              <w:rPr>
                <w:rFonts w:ascii="Calibri" w:hAnsi="Calibri" w:cs="Arial"/>
                <w:color w:val="000000"/>
              </w:rPr>
              <w:t>10</w:t>
            </w:r>
          </w:p>
        </w:tc>
        <w:tc>
          <w:tcPr>
            <w:tcW w:w="819" w:type="dxa"/>
            <w:tcBorders>
              <w:top w:val="nil"/>
              <w:left w:val="nil"/>
              <w:bottom w:val="single" w:sz="4" w:space="0" w:color="auto"/>
              <w:right w:val="single" w:sz="4" w:space="0" w:color="auto"/>
            </w:tcBorders>
            <w:shd w:val="clear" w:color="auto" w:fill="auto"/>
            <w:vAlign w:val="bottom"/>
          </w:tcPr>
          <w:p w14:paraId="4A7A26C3" w14:textId="77777777" w:rsidR="00505357" w:rsidRDefault="00505357" w:rsidP="00932CAE">
            <w:pPr>
              <w:jc w:val="right"/>
              <w:rPr>
                <w:rFonts w:ascii="Calibri" w:hAnsi="Calibri" w:cs="Arial"/>
                <w:color w:val="000000"/>
              </w:rPr>
            </w:pPr>
            <w:r>
              <w:rPr>
                <w:rFonts w:ascii="Calibri" w:hAnsi="Calibri" w:cs="Arial"/>
                <w:color w:val="000000"/>
              </w:rPr>
              <w:t>10</w:t>
            </w:r>
          </w:p>
        </w:tc>
        <w:tc>
          <w:tcPr>
            <w:tcW w:w="904" w:type="dxa"/>
            <w:tcBorders>
              <w:top w:val="nil"/>
              <w:left w:val="nil"/>
              <w:bottom w:val="single" w:sz="4" w:space="0" w:color="auto"/>
              <w:right w:val="single" w:sz="4" w:space="0" w:color="auto"/>
            </w:tcBorders>
            <w:shd w:val="clear" w:color="auto" w:fill="auto"/>
            <w:vAlign w:val="bottom"/>
          </w:tcPr>
          <w:p w14:paraId="4A7A26C4" w14:textId="77777777" w:rsidR="00505357" w:rsidRDefault="00505357" w:rsidP="00932CAE">
            <w:pPr>
              <w:rPr>
                <w:rFonts w:cs="Arial"/>
                <w:color w:val="000000"/>
              </w:rPr>
            </w:pPr>
            <w:r>
              <w:rPr>
                <w:rFonts w:cs="Arial"/>
                <w:color w:val="000000"/>
              </w:rPr>
              <w:t> </w:t>
            </w:r>
          </w:p>
        </w:tc>
        <w:tc>
          <w:tcPr>
            <w:tcW w:w="916" w:type="dxa"/>
            <w:tcBorders>
              <w:top w:val="nil"/>
              <w:left w:val="nil"/>
              <w:bottom w:val="single" w:sz="4" w:space="0" w:color="auto"/>
              <w:right w:val="single" w:sz="4" w:space="0" w:color="auto"/>
            </w:tcBorders>
            <w:shd w:val="clear" w:color="auto" w:fill="auto"/>
            <w:vAlign w:val="bottom"/>
          </w:tcPr>
          <w:p w14:paraId="4A7A26C5" w14:textId="77777777" w:rsidR="00505357" w:rsidRDefault="00505357" w:rsidP="00932CAE">
            <w:pPr>
              <w:rPr>
                <w:rFonts w:cs="Arial"/>
                <w:color w:val="000000"/>
              </w:rPr>
            </w:pPr>
            <w:r>
              <w:rPr>
                <w:rFonts w:cs="Arial"/>
                <w:color w:val="000000"/>
              </w:rPr>
              <w:t> </w:t>
            </w:r>
          </w:p>
        </w:tc>
        <w:tc>
          <w:tcPr>
            <w:tcW w:w="610" w:type="dxa"/>
            <w:tcBorders>
              <w:top w:val="nil"/>
              <w:left w:val="nil"/>
              <w:bottom w:val="single" w:sz="4" w:space="0" w:color="auto"/>
              <w:right w:val="single" w:sz="4" w:space="0" w:color="auto"/>
            </w:tcBorders>
            <w:shd w:val="clear" w:color="auto" w:fill="auto"/>
            <w:vAlign w:val="bottom"/>
          </w:tcPr>
          <w:p w14:paraId="4A7A26C6" w14:textId="77777777" w:rsidR="00505357" w:rsidRDefault="00505357" w:rsidP="00932CAE">
            <w:pPr>
              <w:rPr>
                <w:rFonts w:cs="Arial"/>
                <w:color w:val="000000"/>
              </w:rPr>
            </w:pPr>
            <w:r>
              <w:rPr>
                <w:rFonts w:cs="Arial"/>
                <w:color w:val="000000"/>
              </w:rPr>
              <w:t> </w:t>
            </w:r>
          </w:p>
        </w:tc>
      </w:tr>
      <w:tr w:rsidR="00505357" w14:paraId="4A7A26CE" w14:textId="77777777" w:rsidTr="00C15241">
        <w:trPr>
          <w:trHeight w:val="300"/>
        </w:trPr>
        <w:tc>
          <w:tcPr>
            <w:tcW w:w="5822" w:type="dxa"/>
            <w:tcBorders>
              <w:top w:val="nil"/>
              <w:left w:val="single" w:sz="4" w:space="0" w:color="auto"/>
              <w:bottom w:val="single" w:sz="4" w:space="0" w:color="auto"/>
              <w:right w:val="single" w:sz="4" w:space="0" w:color="auto"/>
            </w:tcBorders>
            <w:shd w:val="clear" w:color="auto" w:fill="auto"/>
            <w:vAlign w:val="bottom"/>
            <w:hideMark/>
          </w:tcPr>
          <w:p w14:paraId="4A7A26C8" w14:textId="77777777" w:rsidR="00505357" w:rsidRDefault="00505357" w:rsidP="00932CAE">
            <w:pPr>
              <w:rPr>
                <w:rFonts w:ascii="Calibri" w:hAnsi="Calibri" w:cs="Arial"/>
                <w:color w:val="000000"/>
              </w:rPr>
            </w:pPr>
            <w:r>
              <w:rPr>
                <w:rFonts w:ascii="Calibri" w:hAnsi="Calibri" w:cs="Arial"/>
                <w:color w:val="000000"/>
              </w:rPr>
              <w:t> </w:t>
            </w:r>
          </w:p>
        </w:tc>
        <w:tc>
          <w:tcPr>
            <w:tcW w:w="819" w:type="dxa"/>
            <w:tcBorders>
              <w:top w:val="nil"/>
              <w:left w:val="nil"/>
              <w:bottom w:val="single" w:sz="4" w:space="0" w:color="auto"/>
              <w:right w:val="single" w:sz="4" w:space="0" w:color="auto"/>
            </w:tcBorders>
            <w:shd w:val="clear" w:color="auto" w:fill="auto"/>
            <w:vAlign w:val="bottom"/>
            <w:hideMark/>
          </w:tcPr>
          <w:p w14:paraId="4A7A26C9" w14:textId="77777777" w:rsidR="00505357" w:rsidRDefault="00505357" w:rsidP="00932CAE">
            <w:pPr>
              <w:jc w:val="right"/>
              <w:rPr>
                <w:rFonts w:ascii="Calibri" w:hAnsi="Calibri" w:cs="Arial"/>
                <w:b/>
                <w:bCs/>
                <w:color w:val="000000"/>
              </w:rPr>
            </w:pPr>
            <w:r>
              <w:rPr>
                <w:rFonts w:ascii="Calibri" w:hAnsi="Calibri" w:cs="Arial"/>
                <w:b/>
                <w:bCs/>
                <w:color w:val="000000"/>
              </w:rPr>
              <w:t>102.2</w:t>
            </w:r>
          </w:p>
        </w:tc>
        <w:tc>
          <w:tcPr>
            <w:tcW w:w="819" w:type="dxa"/>
            <w:tcBorders>
              <w:top w:val="nil"/>
              <w:left w:val="nil"/>
              <w:bottom w:val="single" w:sz="4" w:space="0" w:color="auto"/>
              <w:right w:val="single" w:sz="4" w:space="0" w:color="auto"/>
            </w:tcBorders>
            <w:shd w:val="clear" w:color="auto" w:fill="auto"/>
            <w:vAlign w:val="bottom"/>
            <w:hideMark/>
          </w:tcPr>
          <w:p w14:paraId="4A7A26CA" w14:textId="77777777" w:rsidR="00505357" w:rsidRDefault="00505357" w:rsidP="00932CAE">
            <w:pPr>
              <w:jc w:val="right"/>
              <w:rPr>
                <w:rFonts w:ascii="Calibri" w:hAnsi="Calibri" w:cs="Arial"/>
                <w:b/>
                <w:bCs/>
                <w:color w:val="000000"/>
              </w:rPr>
            </w:pPr>
            <w:r>
              <w:rPr>
                <w:rFonts w:ascii="Calibri" w:hAnsi="Calibri" w:cs="Arial"/>
                <w:b/>
                <w:bCs/>
                <w:color w:val="000000"/>
              </w:rPr>
              <w:t>106.6</w:t>
            </w:r>
          </w:p>
        </w:tc>
        <w:tc>
          <w:tcPr>
            <w:tcW w:w="904" w:type="dxa"/>
            <w:tcBorders>
              <w:top w:val="nil"/>
              <w:left w:val="nil"/>
              <w:bottom w:val="single" w:sz="4" w:space="0" w:color="auto"/>
              <w:right w:val="single" w:sz="4" w:space="0" w:color="auto"/>
            </w:tcBorders>
            <w:shd w:val="clear" w:color="auto" w:fill="auto"/>
            <w:vAlign w:val="bottom"/>
            <w:hideMark/>
          </w:tcPr>
          <w:p w14:paraId="4A7A26CB" w14:textId="77777777" w:rsidR="00505357" w:rsidRDefault="00505357" w:rsidP="00932CAE">
            <w:pPr>
              <w:jc w:val="right"/>
              <w:rPr>
                <w:rFonts w:ascii="Calibri" w:hAnsi="Calibri" w:cs="Arial"/>
                <w:b/>
                <w:bCs/>
                <w:color w:val="000000"/>
              </w:rPr>
            </w:pPr>
            <w:r>
              <w:rPr>
                <w:rFonts w:ascii="Calibri" w:hAnsi="Calibri" w:cs="Arial"/>
                <w:b/>
                <w:bCs/>
                <w:color w:val="000000"/>
              </w:rPr>
              <w:t>93.6</w:t>
            </w:r>
          </w:p>
        </w:tc>
        <w:tc>
          <w:tcPr>
            <w:tcW w:w="916" w:type="dxa"/>
            <w:tcBorders>
              <w:top w:val="nil"/>
              <w:left w:val="nil"/>
              <w:bottom w:val="single" w:sz="4" w:space="0" w:color="auto"/>
              <w:right w:val="single" w:sz="4" w:space="0" w:color="auto"/>
            </w:tcBorders>
            <w:shd w:val="clear" w:color="auto" w:fill="auto"/>
            <w:vAlign w:val="bottom"/>
            <w:hideMark/>
          </w:tcPr>
          <w:p w14:paraId="4A7A26CC" w14:textId="77777777" w:rsidR="00505357" w:rsidRDefault="00505357" w:rsidP="00932CAE">
            <w:pPr>
              <w:jc w:val="right"/>
              <w:rPr>
                <w:rFonts w:ascii="Calibri" w:hAnsi="Calibri" w:cs="Arial"/>
                <w:b/>
                <w:bCs/>
                <w:color w:val="000000"/>
              </w:rPr>
            </w:pPr>
            <w:r>
              <w:rPr>
                <w:rFonts w:ascii="Calibri" w:hAnsi="Calibri" w:cs="Arial"/>
                <w:b/>
                <w:bCs/>
                <w:color w:val="000000"/>
              </w:rPr>
              <w:t>68.9</w:t>
            </w:r>
          </w:p>
        </w:tc>
        <w:tc>
          <w:tcPr>
            <w:tcW w:w="610" w:type="dxa"/>
            <w:tcBorders>
              <w:top w:val="nil"/>
              <w:left w:val="nil"/>
              <w:bottom w:val="single" w:sz="4" w:space="0" w:color="auto"/>
              <w:right w:val="single" w:sz="4" w:space="0" w:color="auto"/>
            </w:tcBorders>
            <w:shd w:val="clear" w:color="auto" w:fill="auto"/>
            <w:vAlign w:val="bottom"/>
            <w:hideMark/>
          </w:tcPr>
          <w:p w14:paraId="4A7A26CD" w14:textId="77777777" w:rsidR="00505357" w:rsidRDefault="00505357" w:rsidP="00932CAE">
            <w:pPr>
              <w:jc w:val="right"/>
              <w:rPr>
                <w:rFonts w:ascii="Calibri" w:hAnsi="Calibri" w:cs="Arial"/>
                <w:b/>
                <w:bCs/>
                <w:color w:val="000000"/>
              </w:rPr>
            </w:pPr>
            <w:r>
              <w:rPr>
                <w:rFonts w:ascii="Calibri" w:hAnsi="Calibri" w:cs="Arial"/>
                <w:b/>
                <w:bCs/>
                <w:color w:val="000000"/>
              </w:rPr>
              <w:t>371</w:t>
            </w:r>
          </w:p>
        </w:tc>
      </w:tr>
      <w:tr w:rsidR="00505357" w14:paraId="4A7A26D5" w14:textId="77777777" w:rsidTr="00C15241">
        <w:trPr>
          <w:trHeight w:val="300"/>
        </w:trPr>
        <w:tc>
          <w:tcPr>
            <w:tcW w:w="5822" w:type="dxa"/>
            <w:tcBorders>
              <w:top w:val="nil"/>
              <w:left w:val="single" w:sz="4" w:space="0" w:color="auto"/>
              <w:bottom w:val="single" w:sz="4" w:space="0" w:color="auto"/>
              <w:right w:val="single" w:sz="4" w:space="0" w:color="auto"/>
            </w:tcBorders>
            <w:shd w:val="clear" w:color="auto" w:fill="auto"/>
            <w:vAlign w:val="bottom"/>
            <w:hideMark/>
          </w:tcPr>
          <w:p w14:paraId="4A7A26CF" w14:textId="77777777" w:rsidR="00505357" w:rsidRDefault="00A92E63">
            <w:pPr>
              <w:rPr>
                <w:rFonts w:ascii="Calibri" w:hAnsi="Calibri" w:cs="Arial"/>
                <w:b/>
                <w:bCs/>
                <w:color w:val="000000"/>
              </w:rPr>
            </w:pPr>
            <w:r>
              <w:rPr>
                <w:rFonts w:ascii="Calibri" w:hAnsi="Calibri" w:cs="Arial"/>
                <w:b/>
                <w:bCs/>
                <w:color w:val="000000"/>
              </w:rPr>
              <w:t xml:space="preserve">Funding  Source: </w:t>
            </w:r>
            <w:r w:rsidR="00505357">
              <w:rPr>
                <w:rFonts w:ascii="Calibri" w:hAnsi="Calibri" w:cs="Arial"/>
                <w:b/>
                <w:bCs/>
                <w:color w:val="000000"/>
              </w:rPr>
              <w:t>Municipal Industrial Landfill Levy</w:t>
            </w:r>
          </w:p>
        </w:tc>
        <w:tc>
          <w:tcPr>
            <w:tcW w:w="819" w:type="dxa"/>
            <w:tcBorders>
              <w:top w:val="nil"/>
              <w:left w:val="nil"/>
              <w:bottom w:val="single" w:sz="4" w:space="0" w:color="auto"/>
              <w:right w:val="single" w:sz="4" w:space="0" w:color="auto"/>
            </w:tcBorders>
            <w:shd w:val="clear" w:color="auto" w:fill="auto"/>
            <w:vAlign w:val="bottom"/>
            <w:hideMark/>
          </w:tcPr>
          <w:p w14:paraId="4A7A26D0" w14:textId="77777777" w:rsidR="00505357" w:rsidRDefault="00505357">
            <w:pPr>
              <w:rPr>
                <w:rFonts w:ascii="Calibri" w:hAnsi="Calibri" w:cs="Arial"/>
                <w:color w:val="000000"/>
              </w:rPr>
            </w:pPr>
            <w:r>
              <w:rPr>
                <w:rFonts w:ascii="Calibri" w:hAnsi="Calibri" w:cs="Arial"/>
                <w:color w:val="000000"/>
              </w:rPr>
              <w:t> </w:t>
            </w:r>
          </w:p>
        </w:tc>
        <w:tc>
          <w:tcPr>
            <w:tcW w:w="819" w:type="dxa"/>
            <w:tcBorders>
              <w:top w:val="nil"/>
              <w:left w:val="nil"/>
              <w:bottom w:val="single" w:sz="4" w:space="0" w:color="auto"/>
              <w:right w:val="single" w:sz="4" w:space="0" w:color="auto"/>
            </w:tcBorders>
            <w:shd w:val="clear" w:color="auto" w:fill="auto"/>
            <w:vAlign w:val="bottom"/>
            <w:hideMark/>
          </w:tcPr>
          <w:p w14:paraId="4A7A26D1" w14:textId="77777777" w:rsidR="00505357" w:rsidRDefault="00505357">
            <w:pPr>
              <w:rPr>
                <w:rFonts w:ascii="Calibri" w:hAnsi="Calibri" w:cs="Arial"/>
                <w:color w:val="000000"/>
              </w:rPr>
            </w:pPr>
            <w:r>
              <w:rPr>
                <w:rFonts w:ascii="Calibri" w:hAnsi="Calibri" w:cs="Arial"/>
                <w:color w:val="000000"/>
              </w:rPr>
              <w:t> </w:t>
            </w:r>
          </w:p>
        </w:tc>
        <w:tc>
          <w:tcPr>
            <w:tcW w:w="904" w:type="dxa"/>
            <w:tcBorders>
              <w:top w:val="nil"/>
              <w:left w:val="nil"/>
              <w:bottom w:val="single" w:sz="4" w:space="0" w:color="auto"/>
              <w:right w:val="single" w:sz="4" w:space="0" w:color="auto"/>
            </w:tcBorders>
            <w:shd w:val="clear" w:color="auto" w:fill="auto"/>
            <w:vAlign w:val="bottom"/>
            <w:hideMark/>
          </w:tcPr>
          <w:p w14:paraId="4A7A26D2" w14:textId="77777777" w:rsidR="00505357" w:rsidRDefault="00505357">
            <w:pPr>
              <w:rPr>
                <w:rFonts w:ascii="Calibri" w:hAnsi="Calibri" w:cs="Arial"/>
                <w:color w:val="000000"/>
              </w:rPr>
            </w:pPr>
            <w:r>
              <w:rPr>
                <w:rFonts w:ascii="Calibri" w:hAnsi="Calibri" w:cs="Arial"/>
                <w:color w:val="000000"/>
              </w:rPr>
              <w:t> </w:t>
            </w:r>
          </w:p>
        </w:tc>
        <w:tc>
          <w:tcPr>
            <w:tcW w:w="916" w:type="dxa"/>
            <w:tcBorders>
              <w:top w:val="nil"/>
              <w:left w:val="nil"/>
              <w:bottom w:val="single" w:sz="4" w:space="0" w:color="auto"/>
              <w:right w:val="single" w:sz="4" w:space="0" w:color="auto"/>
            </w:tcBorders>
            <w:shd w:val="clear" w:color="auto" w:fill="auto"/>
            <w:vAlign w:val="bottom"/>
            <w:hideMark/>
          </w:tcPr>
          <w:p w14:paraId="4A7A26D3" w14:textId="77777777" w:rsidR="00505357" w:rsidRDefault="00505357">
            <w:pPr>
              <w:rPr>
                <w:rFonts w:ascii="Calibri" w:hAnsi="Calibri" w:cs="Arial"/>
                <w:color w:val="000000"/>
              </w:rPr>
            </w:pPr>
            <w:r>
              <w:rPr>
                <w:rFonts w:ascii="Calibri" w:hAnsi="Calibri" w:cs="Arial"/>
                <w:color w:val="000000"/>
              </w:rPr>
              <w:t> </w:t>
            </w:r>
          </w:p>
        </w:tc>
        <w:tc>
          <w:tcPr>
            <w:tcW w:w="610" w:type="dxa"/>
            <w:tcBorders>
              <w:top w:val="nil"/>
              <w:left w:val="nil"/>
              <w:bottom w:val="single" w:sz="4" w:space="0" w:color="auto"/>
              <w:right w:val="single" w:sz="4" w:space="0" w:color="auto"/>
            </w:tcBorders>
            <w:shd w:val="clear" w:color="auto" w:fill="auto"/>
            <w:vAlign w:val="bottom"/>
            <w:hideMark/>
          </w:tcPr>
          <w:p w14:paraId="4A7A26D4" w14:textId="77777777" w:rsidR="00505357" w:rsidRDefault="00505357">
            <w:pPr>
              <w:rPr>
                <w:rFonts w:ascii="Calibri" w:hAnsi="Calibri" w:cs="Arial"/>
                <w:color w:val="000000"/>
              </w:rPr>
            </w:pPr>
            <w:r>
              <w:rPr>
                <w:rFonts w:ascii="Calibri" w:hAnsi="Calibri" w:cs="Arial"/>
                <w:color w:val="000000"/>
              </w:rPr>
              <w:t> </w:t>
            </w:r>
          </w:p>
        </w:tc>
      </w:tr>
      <w:tr w:rsidR="00505357" w14:paraId="4A7A26DC" w14:textId="77777777" w:rsidTr="00C15241">
        <w:trPr>
          <w:trHeight w:val="600"/>
        </w:trPr>
        <w:tc>
          <w:tcPr>
            <w:tcW w:w="5822" w:type="dxa"/>
            <w:tcBorders>
              <w:top w:val="nil"/>
              <w:left w:val="single" w:sz="4" w:space="0" w:color="auto"/>
              <w:bottom w:val="single" w:sz="4" w:space="0" w:color="auto"/>
              <w:right w:val="single" w:sz="4" w:space="0" w:color="auto"/>
            </w:tcBorders>
            <w:shd w:val="clear" w:color="auto" w:fill="auto"/>
            <w:vAlign w:val="bottom"/>
            <w:hideMark/>
          </w:tcPr>
          <w:p w14:paraId="4A7A26D6" w14:textId="77777777" w:rsidR="00505357" w:rsidRDefault="00505357">
            <w:pPr>
              <w:rPr>
                <w:rFonts w:ascii="Calibri" w:hAnsi="Calibri" w:cs="Arial"/>
                <w:color w:val="000000"/>
              </w:rPr>
            </w:pPr>
            <w:r>
              <w:rPr>
                <w:rFonts w:ascii="Calibri" w:hAnsi="Calibri" w:cs="Arial"/>
                <w:color w:val="000000"/>
              </w:rPr>
              <w:t>Enhancing Victoria's liveability through improvements to the parks and reserves estate</w:t>
            </w:r>
          </w:p>
        </w:tc>
        <w:tc>
          <w:tcPr>
            <w:tcW w:w="819" w:type="dxa"/>
            <w:tcBorders>
              <w:top w:val="nil"/>
              <w:left w:val="nil"/>
              <w:bottom w:val="single" w:sz="4" w:space="0" w:color="auto"/>
              <w:right w:val="single" w:sz="4" w:space="0" w:color="auto"/>
            </w:tcBorders>
            <w:shd w:val="clear" w:color="auto" w:fill="auto"/>
            <w:vAlign w:val="bottom"/>
            <w:hideMark/>
          </w:tcPr>
          <w:p w14:paraId="4A7A26D7" w14:textId="77777777" w:rsidR="00505357" w:rsidRDefault="00505357">
            <w:pPr>
              <w:jc w:val="right"/>
              <w:rPr>
                <w:rFonts w:ascii="Calibri" w:hAnsi="Calibri" w:cs="Arial"/>
                <w:color w:val="000000"/>
              </w:rPr>
            </w:pPr>
            <w:r>
              <w:rPr>
                <w:rFonts w:ascii="Calibri" w:hAnsi="Calibri" w:cs="Arial"/>
                <w:color w:val="000000"/>
              </w:rPr>
              <w:t>9.2</w:t>
            </w:r>
          </w:p>
        </w:tc>
        <w:tc>
          <w:tcPr>
            <w:tcW w:w="819" w:type="dxa"/>
            <w:tcBorders>
              <w:top w:val="nil"/>
              <w:left w:val="nil"/>
              <w:bottom w:val="single" w:sz="4" w:space="0" w:color="auto"/>
              <w:right w:val="single" w:sz="4" w:space="0" w:color="auto"/>
            </w:tcBorders>
            <w:shd w:val="clear" w:color="auto" w:fill="auto"/>
            <w:vAlign w:val="bottom"/>
            <w:hideMark/>
          </w:tcPr>
          <w:p w14:paraId="4A7A26D8" w14:textId="77777777" w:rsidR="00505357" w:rsidRDefault="00505357">
            <w:pPr>
              <w:jc w:val="right"/>
              <w:rPr>
                <w:rFonts w:ascii="Calibri" w:hAnsi="Calibri" w:cs="Arial"/>
                <w:color w:val="000000"/>
              </w:rPr>
            </w:pPr>
            <w:r>
              <w:rPr>
                <w:rFonts w:ascii="Calibri" w:hAnsi="Calibri" w:cs="Arial"/>
                <w:color w:val="000000"/>
              </w:rPr>
              <w:t>12.3</w:t>
            </w:r>
          </w:p>
        </w:tc>
        <w:tc>
          <w:tcPr>
            <w:tcW w:w="904" w:type="dxa"/>
            <w:tcBorders>
              <w:top w:val="nil"/>
              <w:left w:val="nil"/>
              <w:bottom w:val="single" w:sz="4" w:space="0" w:color="auto"/>
              <w:right w:val="single" w:sz="4" w:space="0" w:color="auto"/>
            </w:tcBorders>
            <w:shd w:val="clear" w:color="auto" w:fill="auto"/>
            <w:vAlign w:val="bottom"/>
            <w:hideMark/>
          </w:tcPr>
          <w:p w14:paraId="4A7A26D9" w14:textId="77777777" w:rsidR="00505357" w:rsidRDefault="00505357">
            <w:pPr>
              <w:rPr>
                <w:rFonts w:ascii="Calibri" w:hAnsi="Calibri" w:cs="Arial"/>
                <w:color w:val="000000"/>
              </w:rPr>
            </w:pPr>
            <w:r>
              <w:rPr>
                <w:rFonts w:ascii="Calibri" w:hAnsi="Calibri" w:cs="Arial"/>
                <w:color w:val="000000"/>
              </w:rPr>
              <w:t> </w:t>
            </w:r>
          </w:p>
        </w:tc>
        <w:tc>
          <w:tcPr>
            <w:tcW w:w="916" w:type="dxa"/>
            <w:tcBorders>
              <w:top w:val="nil"/>
              <w:left w:val="nil"/>
              <w:bottom w:val="single" w:sz="4" w:space="0" w:color="auto"/>
              <w:right w:val="single" w:sz="4" w:space="0" w:color="auto"/>
            </w:tcBorders>
            <w:shd w:val="clear" w:color="auto" w:fill="auto"/>
            <w:vAlign w:val="bottom"/>
            <w:hideMark/>
          </w:tcPr>
          <w:p w14:paraId="4A7A26DA" w14:textId="77777777" w:rsidR="00505357" w:rsidRDefault="00505357">
            <w:pPr>
              <w:rPr>
                <w:rFonts w:ascii="Calibri" w:hAnsi="Calibri" w:cs="Arial"/>
                <w:color w:val="000000"/>
              </w:rPr>
            </w:pPr>
            <w:r>
              <w:rPr>
                <w:rFonts w:ascii="Calibri" w:hAnsi="Calibri" w:cs="Arial"/>
                <w:color w:val="000000"/>
              </w:rPr>
              <w:t> </w:t>
            </w:r>
          </w:p>
        </w:tc>
        <w:tc>
          <w:tcPr>
            <w:tcW w:w="610" w:type="dxa"/>
            <w:tcBorders>
              <w:top w:val="nil"/>
              <w:left w:val="nil"/>
              <w:bottom w:val="single" w:sz="4" w:space="0" w:color="auto"/>
              <w:right w:val="single" w:sz="4" w:space="0" w:color="auto"/>
            </w:tcBorders>
            <w:shd w:val="clear" w:color="auto" w:fill="auto"/>
            <w:vAlign w:val="bottom"/>
            <w:hideMark/>
          </w:tcPr>
          <w:p w14:paraId="4A7A26DB" w14:textId="77777777" w:rsidR="00505357" w:rsidRDefault="00505357">
            <w:pPr>
              <w:rPr>
                <w:rFonts w:ascii="Calibri" w:hAnsi="Calibri" w:cs="Arial"/>
                <w:color w:val="000000"/>
              </w:rPr>
            </w:pPr>
            <w:r>
              <w:rPr>
                <w:rFonts w:ascii="Calibri" w:hAnsi="Calibri" w:cs="Arial"/>
                <w:color w:val="000000"/>
              </w:rPr>
              <w:t> </w:t>
            </w:r>
          </w:p>
        </w:tc>
      </w:tr>
      <w:tr w:rsidR="00505357" w14:paraId="4A7A26E3" w14:textId="77777777" w:rsidTr="00C15241">
        <w:trPr>
          <w:trHeight w:val="300"/>
        </w:trPr>
        <w:tc>
          <w:tcPr>
            <w:tcW w:w="5822" w:type="dxa"/>
            <w:tcBorders>
              <w:top w:val="nil"/>
              <w:left w:val="single" w:sz="4" w:space="0" w:color="auto"/>
              <w:bottom w:val="single" w:sz="4" w:space="0" w:color="auto"/>
              <w:right w:val="single" w:sz="4" w:space="0" w:color="auto"/>
            </w:tcBorders>
            <w:shd w:val="clear" w:color="auto" w:fill="auto"/>
            <w:vAlign w:val="bottom"/>
            <w:hideMark/>
          </w:tcPr>
          <w:p w14:paraId="4A7A26DD" w14:textId="77777777" w:rsidR="00505357" w:rsidRDefault="00505357">
            <w:pPr>
              <w:rPr>
                <w:rFonts w:ascii="Calibri" w:hAnsi="Calibri" w:cs="Arial"/>
                <w:color w:val="000000"/>
              </w:rPr>
            </w:pPr>
            <w:r>
              <w:rPr>
                <w:rFonts w:ascii="Calibri" w:hAnsi="Calibri" w:cs="Arial"/>
                <w:color w:val="000000"/>
              </w:rPr>
              <w:t> </w:t>
            </w:r>
          </w:p>
        </w:tc>
        <w:tc>
          <w:tcPr>
            <w:tcW w:w="819" w:type="dxa"/>
            <w:tcBorders>
              <w:top w:val="nil"/>
              <w:left w:val="nil"/>
              <w:bottom w:val="single" w:sz="4" w:space="0" w:color="auto"/>
              <w:right w:val="single" w:sz="4" w:space="0" w:color="auto"/>
            </w:tcBorders>
            <w:shd w:val="clear" w:color="auto" w:fill="auto"/>
            <w:vAlign w:val="bottom"/>
            <w:hideMark/>
          </w:tcPr>
          <w:p w14:paraId="4A7A26DE" w14:textId="77777777" w:rsidR="00505357" w:rsidRDefault="00505357">
            <w:pPr>
              <w:jc w:val="right"/>
              <w:rPr>
                <w:rFonts w:ascii="Calibri" w:hAnsi="Calibri" w:cs="Arial"/>
                <w:b/>
                <w:bCs/>
                <w:color w:val="000000"/>
              </w:rPr>
            </w:pPr>
            <w:r>
              <w:rPr>
                <w:rFonts w:ascii="Calibri" w:hAnsi="Calibri" w:cs="Arial"/>
                <w:b/>
                <w:bCs/>
                <w:color w:val="000000"/>
              </w:rPr>
              <w:t>9.2</w:t>
            </w:r>
          </w:p>
        </w:tc>
        <w:tc>
          <w:tcPr>
            <w:tcW w:w="819" w:type="dxa"/>
            <w:tcBorders>
              <w:top w:val="nil"/>
              <w:left w:val="nil"/>
              <w:bottom w:val="single" w:sz="4" w:space="0" w:color="auto"/>
              <w:right w:val="single" w:sz="4" w:space="0" w:color="auto"/>
            </w:tcBorders>
            <w:shd w:val="clear" w:color="auto" w:fill="auto"/>
            <w:vAlign w:val="bottom"/>
            <w:hideMark/>
          </w:tcPr>
          <w:p w14:paraId="4A7A26DF" w14:textId="77777777" w:rsidR="00505357" w:rsidRDefault="00505357">
            <w:pPr>
              <w:jc w:val="right"/>
              <w:rPr>
                <w:rFonts w:ascii="Calibri" w:hAnsi="Calibri" w:cs="Arial"/>
                <w:b/>
                <w:bCs/>
                <w:color w:val="000000"/>
              </w:rPr>
            </w:pPr>
            <w:r>
              <w:rPr>
                <w:rFonts w:ascii="Calibri" w:hAnsi="Calibri" w:cs="Arial"/>
                <w:b/>
                <w:bCs/>
                <w:color w:val="000000"/>
              </w:rPr>
              <w:t>12.3</w:t>
            </w:r>
          </w:p>
        </w:tc>
        <w:tc>
          <w:tcPr>
            <w:tcW w:w="904" w:type="dxa"/>
            <w:tcBorders>
              <w:top w:val="nil"/>
              <w:left w:val="nil"/>
              <w:bottom w:val="single" w:sz="4" w:space="0" w:color="auto"/>
              <w:right w:val="single" w:sz="4" w:space="0" w:color="auto"/>
            </w:tcBorders>
            <w:shd w:val="clear" w:color="auto" w:fill="auto"/>
            <w:vAlign w:val="bottom"/>
            <w:hideMark/>
          </w:tcPr>
          <w:p w14:paraId="4A7A26E0" w14:textId="77777777" w:rsidR="00505357" w:rsidRDefault="00505357">
            <w:pPr>
              <w:jc w:val="right"/>
              <w:rPr>
                <w:rFonts w:ascii="Calibri" w:hAnsi="Calibri" w:cs="Arial"/>
                <w:b/>
                <w:bCs/>
                <w:color w:val="000000"/>
              </w:rPr>
            </w:pPr>
            <w:r>
              <w:rPr>
                <w:rFonts w:ascii="Calibri" w:hAnsi="Calibri" w:cs="Arial"/>
                <w:b/>
                <w:bCs/>
                <w:color w:val="000000"/>
              </w:rPr>
              <w:t>0</w:t>
            </w:r>
          </w:p>
        </w:tc>
        <w:tc>
          <w:tcPr>
            <w:tcW w:w="916" w:type="dxa"/>
            <w:tcBorders>
              <w:top w:val="nil"/>
              <w:left w:val="nil"/>
              <w:bottom w:val="single" w:sz="4" w:space="0" w:color="auto"/>
              <w:right w:val="single" w:sz="4" w:space="0" w:color="auto"/>
            </w:tcBorders>
            <w:shd w:val="clear" w:color="auto" w:fill="auto"/>
            <w:vAlign w:val="bottom"/>
            <w:hideMark/>
          </w:tcPr>
          <w:p w14:paraId="4A7A26E1" w14:textId="77777777" w:rsidR="00505357" w:rsidRDefault="00505357">
            <w:pPr>
              <w:jc w:val="right"/>
              <w:rPr>
                <w:rFonts w:ascii="Calibri" w:hAnsi="Calibri" w:cs="Arial"/>
                <w:b/>
                <w:bCs/>
                <w:color w:val="000000"/>
              </w:rPr>
            </w:pPr>
            <w:r>
              <w:rPr>
                <w:rFonts w:ascii="Calibri" w:hAnsi="Calibri" w:cs="Arial"/>
                <w:b/>
                <w:bCs/>
                <w:color w:val="000000"/>
              </w:rPr>
              <w:t>0</w:t>
            </w:r>
          </w:p>
        </w:tc>
        <w:tc>
          <w:tcPr>
            <w:tcW w:w="610" w:type="dxa"/>
            <w:tcBorders>
              <w:top w:val="nil"/>
              <w:left w:val="nil"/>
              <w:bottom w:val="single" w:sz="4" w:space="0" w:color="auto"/>
              <w:right w:val="single" w:sz="4" w:space="0" w:color="auto"/>
            </w:tcBorders>
            <w:shd w:val="clear" w:color="auto" w:fill="auto"/>
            <w:vAlign w:val="bottom"/>
            <w:hideMark/>
          </w:tcPr>
          <w:p w14:paraId="4A7A26E2" w14:textId="77777777" w:rsidR="00505357" w:rsidRDefault="00505357">
            <w:pPr>
              <w:jc w:val="right"/>
              <w:rPr>
                <w:rFonts w:ascii="Calibri" w:hAnsi="Calibri" w:cs="Arial"/>
                <w:b/>
                <w:bCs/>
                <w:color w:val="000000"/>
              </w:rPr>
            </w:pPr>
            <w:r>
              <w:rPr>
                <w:rFonts w:ascii="Calibri" w:hAnsi="Calibri" w:cs="Arial"/>
                <w:b/>
                <w:bCs/>
                <w:color w:val="000000"/>
              </w:rPr>
              <w:t>21.5</w:t>
            </w:r>
          </w:p>
        </w:tc>
      </w:tr>
      <w:tr w:rsidR="00505357" w14:paraId="4A7A26EA" w14:textId="77777777" w:rsidTr="00C15241">
        <w:trPr>
          <w:trHeight w:val="300"/>
        </w:trPr>
        <w:tc>
          <w:tcPr>
            <w:tcW w:w="5822" w:type="dxa"/>
            <w:tcBorders>
              <w:top w:val="nil"/>
              <w:left w:val="single" w:sz="4" w:space="0" w:color="auto"/>
              <w:bottom w:val="single" w:sz="4" w:space="0" w:color="auto"/>
              <w:right w:val="single" w:sz="4" w:space="0" w:color="auto"/>
            </w:tcBorders>
            <w:shd w:val="clear" w:color="auto" w:fill="auto"/>
            <w:vAlign w:val="bottom"/>
            <w:hideMark/>
          </w:tcPr>
          <w:p w14:paraId="4A7A26E4" w14:textId="77777777" w:rsidR="00505357" w:rsidRDefault="00505357">
            <w:pPr>
              <w:rPr>
                <w:rFonts w:ascii="Calibri" w:hAnsi="Calibri" w:cs="Arial"/>
                <w:color w:val="000000"/>
              </w:rPr>
            </w:pPr>
            <w:r>
              <w:rPr>
                <w:rFonts w:ascii="Calibri" w:hAnsi="Calibri" w:cs="Arial"/>
                <w:color w:val="000000"/>
              </w:rPr>
              <w:t> </w:t>
            </w:r>
          </w:p>
        </w:tc>
        <w:tc>
          <w:tcPr>
            <w:tcW w:w="819" w:type="dxa"/>
            <w:tcBorders>
              <w:top w:val="nil"/>
              <w:left w:val="nil"/>
              <w:bottom w:val="single" w:sz="4" w:space="0" w:color="auto"/>
              <w:right w:val="single" w:sz="4" w:space="0" w:color="auto"/>
            </w:tcBorders>
            <w:shd w:val="clear" w:color="auto" w:fill="auto"/>
            <w:vAlign w:val="bottom"/>
            <w:hideMark/>
          </w:tcPr>
          <w:p w14:paraId="4A7A26E5" w14:textId="77777777" w:rsidR="00505357" w:rsidRDefault="00505357">
            <w:pPr>
              <w:rPr>
                <w:rFonts w:ascii="Calibri" w:hAnsi="Calibri" w:cs="Arial"/>
                <w:b/>
                <w:bCs/>
                <w:color w:val="000000"/>
              </w:rPr>
            </w:pPr>
            <w:r>
              <w:rPr>
                <w:rFonts w:ascii="Calibri" w:hAnsi="Calibri" w:cs="Arial"/>
                <w:b/>
                <w:bCs/>
                <w:color w:val="000000"/>
              </w:rPr>
              <w:t> </w:t>
            </w:r>
          </w:p>
        </w:tc>
        <w:tc>
          <w:tcPr>
            <w:tcW w:w="819" w:type="dxa"/>
            <w:tcBorders>
              <w:top w:val="nil"/>
              <w:left w:val="nil"/>
              <w:bottom w:val="single" w:sz="4" w:space="0" w:color="auto"/>
              <w:right w:val="single" w:sz="4" w:space="0" w:color="auto"/>
            </w:tcBorders>
            <w:shd w:val="clear" w:color="auto" w:fill="auto"/>
            <w:vAlign w:val="bottom"/>
            <w:hideMark/>
          </w:tcPr>
          <w:p w14:paraId="4A7A26E6" w14:textId="77777777" w:rsidR="00505357" w:rsidRDefault="00505357">
            <w:pPr>
              <w:rPr>
                <w:rFonts w:ascii="Calibri" w:hAnsi="Calibri" w:cs="Arial"/>
                <w:b/>
                <w:bCs/>
                <w:color w:val="000000"/>
              </w:rPr>
            </w:pPr>
            <w:r>
              <w:rPr>
                <w:rFonts w:ascii="Calibri" w:hAnsi="Calibri" w:cs="Arial"/>
                <w:b/>
                <w:bCs/>
                <w:color w:val="000000"/>
              </w:rPr>
              <w:t> </w:t>
            </w:r>
          </w:p>
        </w:tc>
        <w:tc>
          <w:tcPr>
            <w:tcW w:w="904" w:type="dxa"/>
            <w:tcBorders>
              <w:top w:val="nil"/>
              <w:left w:val="nil"/>
              <w:bottom w:val="single" w:sz="4" w:space="0" w:color="auto"/>
              <w:right w:val="single" w:sz="4" w:space="0" w:color="auto"/>
            </w:tcBorders>
            <w:shd w:val="clear" w:color="auto" w:fill="auto"/>
            <w:vAlign w:val="bottom"/>
            <w:hideMark/>
          </w:tcPr>
          <w:p w14:paraId="4A7A26E7" w14:textId="77777777" w:rsidR="00505357" w:rsidRDefault="00505357">
            <w:pPr>
              <w:rPr>
                <w:rFonts w:ascii="Calibri" w:hAnsi="Calibri" w:cs="Arial"/>
                <w:b/>
                <w:bCs/>
                <w:color w:val="000000"/>
              </w:rPr>
            </w:pPr>
            <w:r>
              <w:rPr>
                <w:rFonts w:ascii="Calibri" w:hAnsi="Calibri" w:cs="Arial"/>
                <w:b/>
                <w:bCs/>
                <w:color w:val="000000"/>
              </w:rPr>
              <w:t> </w:t>
            </w:r>
          </w:p>
        </w:tc>
        <w:tc>
          <w:tcPr>
            <w:tcW w:w="916" w:type="dxa"/>
            <w:tcBorders>
              <w:top w:val="nil"/>
              <w:left w:val="nil"/>
              <w:bottom w:val="single" w:sz="4" w:space="0" w:color="auto"/>
              <w:right w:val="single" w:sz="4" w:space="0" w:color="auto"/>
            </w:tcBorders>
            <w:shd w:val="clear" w:color="auto" w:fill="auto"/>
            <w:vAlign w:val="bottom"/>
            <w:hideMark/>
          </w:tcPr>
          <w:p w14:paraId="4A7A26E8" w14:textId="77777777" w:rsidR="00505357" w:rsidRDefault="00505357">
            <w:pPr>
              <w:rPr>
                <w:rFonts w:ascii="Calibri" w:hAnsi="Calibri" w:cs="Arial"/>
                <w:b/>
                <w:bCs/>
                <w:color w:val="000000"/>
              </w:rPr>
            </w:pPr>
            <w:r>
              <w:rPr>
                <w:rFonts w:ascii="Calibri" w:hAnsi="Calibri" w:cs="Arial"/>
                <w:b/>
                <w:bCs/>
                <w:color w:val="000000"/>
              </w:rPr>
              <w:t> </w:t>
            </w:r>
          </w:p>
        </w:tc>
        <w:tc>
          <w:tcPr>
            <w:tcW w:w="610" w:type="dxa"/>
            <w:tcBorders>
              <w:top w:val="nil"/>
              <w:left w:val="nil"/>
              <w:bottom w:val="single" w:sz="4" w:space="0" w:color="auto"/>
              <w:right w:val="single" w:sz="4" w:space="0" w:color="auto"/>
            </w:tcBorders>
            <w:shd w:val="clear" w:color="auto" w:fill="auto"/>
            <w:vAlign w:val="bottom"/>
            <w:hideMark/>
          </w:tcPr>
          <w:p w14:paraId="4A7A26E9" w14:textId="77777777" w:rsidR="00505357" w:rsidRDefault="00505357">
            <w:pPr>
              <w:rPr>
                <w:rFonts w:ascii="Calibri" w:hAnsi="Calibri" w:cs="Arial"/>
                <w:b/>
                <w:bCs/>
                <w:color w:val="000000"/>
              </w:rPr>
            </w:pPr>
            <w:r>
              <w:rPr>
                <w:rFonts w:ascii="Calibri" w:hAnsi="Calibri" w:cs="Arial"/>
                <w:b/>
                <w:bCs/>
                <w:color w:val="000000"/>
              </w:rPr>
              <w:t> </w:t>
            </w:r>
          </w:p>
        </w:tc>
      </w:tr>
      <w:tr w:rsidR="00505357" w14:paraId="4A7A26F1" w14:textId="77777777" w:rsidTr="00C15241">
        <w:trPr>
          <w:trHeight w:val="300"/>
        </w:trPr>
        <w:tc>
          <w:tcPr>
            <w:tcW w:w="5822" w:type="dxa"/>
            <w:tcBorders>
              <w:top w:val="nil"/>
              <w:left w:val="single" w:sz="4" w:space="0" w:color="auto"/>
              <w:bottom w:val="single" w:sz="4" w:space="0" w:color="auto"/>
              <w:right w:val="single" w:sz="4" w:space="0" w:color="auto"/>
            </w:tcBorders>
            <w:shd w:val="clear" w:color="auto" w:fill="auto"/>
            <w:vAlign w:val="bottom"/>
            <w:hideMark/>
          </w:tcPr>
          <w:p w14:paraId="4A7A26EB" w14:textId="77777777" w:rsidR="00505357" w:rsidRDefault="00A92E63">
            <w:pPr>
              <w:rPr>
                <w:rFonts w:ascii="Calibri" w:hAnsi="Calibri" w:cs="Arial"/>
                <w:b/>
                <w:bCs/>
                <w:color w:val="000000"/>
              </w:rPr>
            </w:pPr>
            <w:r>
              <w:rPr>
                <w:rFonts w:ascii="Calibri" w:hAnsi="Calibri" w:cs="Arial"/>
                <w:b/>
                <w:bCs/>
                <w:color w:val="000000"/>
              </w:rPr>
              <w:t xml:space="preserve">Funding Source: </w:t>
            </w:r>
            <w:r w:rsidR="00505357">
              <w:rPr>
                <w:rFonts w:ascii="Calibri" w:hAnsi="Calibri" w:cs="Arial"/>
                <w:b/>
                <w:bCs/>
                <w:color w:val="000000"/>
              </w:rPr>
              <w:t>Municipal Industrial Landfill Levy / Sustainability Fund</w:t>
            </w:r>
          </w:p>
        </w:tc>
        <w:tc>
          <w:tcPr>
            <w:tcW w:w="819" w:type="dxa"/>
            <w:tcBorders>
              <w:top w:val="nil"/>
              <w:left w:val="nil"/>
              <w:bottom w:val="single" w:sz="4" w:space="0" w:color="auto"/>
              <w:right w:val="single" w:sz="4" w:space="0" w:color="auto"/>
            </w:tcBorders>
            <w:shd w:val="clear" w:color="auto" w:fill="auto"/>
            <w:vAlign w:val="bottom"/>
            <w:hideMark/>
          </w:tcPr>
          <w:p w14:paraId="4A7A26EC" w14:textId="77777777" w:rsidR="00505357" w:rsidRDefault="00505357">
            <w:pPr>
              <w:rPr>
                <w:rFonts w:ascii="Calibri" w:hAnsi="Calibri" w:cs="Arial"/>
                <w:color w:val="000000"/>
              </w:rPr>
            </w:pPr>
            <w:r>
              <w:rPr>
                <w:rFonts w:ascii="Calibri" w:hAnsi="Calibri" w:cs="Arial"/>
                <w:color w:val="000000"/>
              </w:rPr>
              <w:t> </w:t>
            </w:r>
          </w:p>
        </w:tc>
        <w:tc>
          <w:tcPr>
            <w:tcW w:w="819" w:type="dxa"/>
            <w:tcBorders>
              <w:top w:val="nil"/>
              <w:left w:val="nil"/>
              <w:bottom w:val="single" w:sz="4" w:space="0" w:color="auto"/>
              <w:right w:val="single" w:sz="4" w:space="0" w:color="auto"/>
            </w:tcBorders>
            <w:shd w:val="clear" w:color="auto" w:fill="auto"/>
            <w:vAlign w:val="bottom"/>
            <w:hideMark/>
          </w:tcPr>
          <w:p w14:paraId="4A7A26ED" w14:textId="77777777" w:rsidR="00505357" w:rsidRDefault="00505357">
            <w:pPr>
              <w:rPr>
                <w:rFonts w:ascii="Calibri" w:hAnsi="Calibri" w:cs="Arial"/>
                <w:color w:val="000000"/>
              </w:rPr>
            </w:pPr>
            <w:r>
              <w:rPr>
                <w:rFonts w:ascii="Calibri" w:hAnsi="Calibri" w:cs="Arial"/>
                <w:color w:val="000000"/>
              </w:rPr>
              <w:t> </w:t>
            </w:r>
          </w:p>
        </w:tc>
        <w:tc>
          <w:tcPr>
            <w:tcW w:w="904" w:type="dxa"/>
            <w:tcBorders>
              <w:top w:val="nil"/>
              <w:left w:val="nil"/>
              <w:bottom w:val="single" w:sz="4" w:space="0" w:color="auto"/>
              <w:right w:val="single" w:sz="4" w:space="0" w:color="auto"/>
            </w:tcBorders>
            <w:shd w:val="clear" w:color="auto" w:fill="auto"/>
            <w:vAlign w:val="bottom"/>
            <w:hideMark/>
          </w:tcPr>
          <w:p w14:paraId="4A7A26EE" w14:textId="77777777" w:rsidR="00505357" w:rsidRDefault="00505357">
            <w:pPr>
              <w:rPr>
                <w:rFonts w:ascii="Calibri" w:hAnsi="Calibri" w:cs="Arial"/>
                <w:color w:val="000000"/>
              </w:rPr>
            </w:pPr>
            <w:r>
              <w:rPr>
                <w:rFonts w:ascii="Calibri" w:hAnsi="Calibri" w:cs="Arial"/>
                <w:color w:val="000000"/>
              </w:rPr>
              <w:t> </w:t>
            </w:r>
          </w:p>
        </w:tc>
        <w:tc>
          <w:tcPr>
            <w:tcW w:w="916" w:type="dxa"/>
            <w:tcBorders>
              <w:top w:val="nil"/>
              <w:left w:val="nil"/>
              <w:bottom w:val="single" w:sz="4" w:space="0" w:color="auto"/>
              <w:right w:val="single" w:sz="4" w:space="0" w:color="auto"/>
            </w:tcBorders>
            <w:shd w:val="clear" w:color="auto" w:fill="auto"/>
            <w:vAlign w:val="bottom"/>
            <w:hideMark/>
          </w:tcPr>
          <w:p w14:paraId="4A7A26EF" w14:textId="77777777" w:rsidR="00505357" w:rsidRDefault="00505357">
            <w:pPr>
              <w:rPr>
                <w:rFonts w:ascii="Calibri" w:hAnsi="Calibri" w:cs="Arial"/>
                <w:color w:val="000000"/>
              </w:rPr>
            </w:pPr>
            <w:r>
              <w:rPr>
                <w:rFonts w:ascii="Calibri" w:hAnsi="Calibri" w:cs="Arial"/>
                <w:color w:val="000000"/>
              </w:rPr>
              <w:t> </w:t>
            </w:r>
          </w:p>
        </w:tc>
        <w:tc>
          <w:tcPr>
            <w:tcW w:w="610" w:type="dxa"/>
            <w:tcBorders>
              <w:top w:val="nil"/>
              <w:left w:val="nil"/>
              <w:bottom w:val="single" w:sz="4" w:space="0" w:color="auto"/>
              <w:right w:val="single" w:sz="4" w:space="0" w:color="auto"/>
            </w:tcBorders>
            <w:shd w:val="clear" w:color="auto" w:fill="auto"/>
            <w:vAlign w:val="bottom"/>
            <w:hideMark/>
          </w:tcPr>
          <w:p w14:paraId="4A7A26F0" w14:textId="77777777" w:rsidR="00505357" w:rsidRDefault="00505357">
            <w:pPr>
              <w:rPr>
                <w:rFonts w:ascii="Calibri" w:hAnsi="Calibri" w:cs="Arial"/>
                <w:color w:val="000000"/>
              </w:rPr>
            </w:pPr>
            <w:r>
              <w:rPr>
                <w:rFonts w:ascii="Calibri" w:hAnsi="Calibri" w:cs="Arial"/>
                <w:color w:val="000000"/>
              </w:rPr>
              <w:t> </w:t>
            </w:r>
          </w:p>
        </w:tc>
      </w:tr>
      <w:tr w:rsidR="00505357" w14:paraId="4A7A26F8" w14:textId="77777777" w:rsidTr="00C15241">
        <w:trPr>
          <w:trHeight w:val="600"/>
        </w:trPr>
        <w:tc>
          <w:tcPr>
            <w:tcW w:w="5822" w:type="dxa"/>
            <w:tcBorders>
              <w:top w:val="nil"/>
              <w:left w:val="single" w:sz="4" w:space="0" w:color="auto"/>
              <w:bottom w:val="single" w:sz="4" w:space="0" w:color="auto"/>
              <w:right w:val="single" w:sz="4" w:space="0" w:color="auto"/>
            </w:tcBorders>
            <w:shd w:val="clear" w:color="auto" w:fill="auto"/>
            <w:vAlign w:val="bottom"/>
            <w:hideMark/>
          </w:tcPr>
          <w:p w14:paraId="4A7A26F2" w14:textId="77777777" w:rsidR="00505357" w:rsidRDefault="00505357">
            <w:pPr>
              <w:rPr>
                <w:rFonts w:ascii="Calibri" w:hAnsi="Calibri" w:cs="Arial"/>
                <w:color w:val="000000"/>
              </w:rPr>
            </w:pPr>
            <w:r>
              <w:rPr>
                <w:rFonts w:ascii="Calibri" w:hAnsi="Calibri" w:cs="Arial"/>
                <w:color w:val="000000"/>
              </w:rPr>
              <w:t>Bringing our Environment Protection Authority into the modern era (output initiative)</w:t>
            </w:r>
          </w:p>
        </w:tc>
        <w:tc>
          <w:tcPr>
            <w:tcW w:w="819" w:type="dxa"/>
            <w:tcBorders>
              <w:top w:val="nil"/>
              <w:left w:val="nil"/>
              <w:bottom w:val="single" w:sz="4" w:space="0" w:color="auto"/>
              <w:right w:val="single" w:sz="4" w:space="0" w:color="auto"/>
            </w:tcBorders>
            <w:shd w:val="clear" w:color="auto" w:fill="auto"/>
            <w:vAlign w:val="bottom"/>
            <w:hideMark/>
          </w:tcPr>
          <w:p w14:paraId="4A7A26F3" w14:textId="77777777" w:rsidR="00505357" w:rsidRDefault="00505357">
            <w:pPr>
              <w:jc w:val="right"/>
              <w:rPr>
                <w:rFonts w:ascii="Calibri" w:hAnsi="Calibri" w:cs="Arial"/>
                <w:color w:val="000000"/>
              </w:rPr>
            </w:pPr>
            <w:r>
              <w:rPr>
                <w:rFonts w:ascii="Calibri" w:hAnsi="Calibri" w:cs="Arial"/>
                <w:color w:val="000000"/>
              </w:rPr>
              <w:t>50.3</w:t>
            </w:r>
          </w:p>
        </w:tc>
        <w:tc>
          <w:tcPr>
            <w:tcW w:w="819" w:type="dxa"/>
            <w:tcBorders>
              <w:top w:val="nil"/>
              <w:left w:val="nil"/>
              <w:bottom w:val="single" w:sz="4" w:space="0" w:color="auto"/>
              <w:right w:val="single" w:sz="4" w:space="0" w:color="auto"/>
            </w:tcBorders>
            <w:shd w:val="clear" w:color="auto" w:fill="auto"/>
            <w:vAlign w:val="bottom"/>
            <w:hideMark/>
          </w:tcPr>
          <w:p w14:paraId="4A7A26F4" w14:textId="77777777" w:rsidR="00505357" w:rsidRDefault="00505357">
            <w:pPr>
              <w:jc w:val="right"/>
              <w:rPr>
                <w:rFonts w:ascii="Calibri" w:hAnsi="Calibri" w:cs="Arial"/>
                <w:color w:val="000000"/>
              </w:rPr>
            </w:pPr>
            <w:r>
              <w:rPr>
                <w:rFonts w:ascii="Calibri" w:hAnsi="Calibri" w:cs="Arial"/>
                <w:color w:val="000000"/>
              </w:rPr>
              <w:t>26.8</w:t>
            </w:r>
          </w:p>
        </w:tc>
        <w:tc>
          <w:tcPr>
            <w:tcW w:w="904" w:type="dxa"/>
            <w:tcBorders>
              <w:top w:val="nil"/>
              <w:left w:val="nil"/>
              <w:bottom w:val="single" w:sz="4" w:space="0" w:color="auto"/>
              <w:right w:val="single" w:sz="4" w:space="0" w:color="auto"/>
            </w:tcBorders>
            <w:shd w:val="clear" w:color="auto" w:fill="auto"/>
            <w:vAlign w:val="bottom"/>
            <w:hideMark/>
          </w:tcPr>
          <w:p w14:paraId="4A7A26F5" w14:textId="77777777" w:rsidR="00505357" w:rsidRDefault="00505357">
            <w:pPr>
              <w:jc w:val="right"/>
              <w:rPr>
                <w:rFonts w:ascii="Calibri" w:hAnsi="Calibri" w:cs="Arial"/>
                <w:color w:val="000000"/>
              </w:rPr>
            </w:pPr>
            <w:r>
              <w:rPr>
                <w:rFonts w:ascii="Calibri" w:hAnsi="Calibri" w:cs="Arial"/>
                <w:color w:val="000000"/>
              </w:rPr>
              <w:t>27.1</w:t>
            </w:r>
          </w:p>
        </w:tc>
        <w:tc>
          <w:tcPr>
            <w:tcW w:w="916" w:type="dxa"/>
            <w:tcBorders>
              <w:top w:val="nil"/>
              <w:left w:val="nil"/>
              <w:bottom w:val="single" w:sz="4" w:space="0" w:color="auto"/>
              <w:right w:val="single" w:sz="4" w:space="0" w:color="auto"/>
            </w:tcBorders>
            <w:shd w:val="clear" w:color="auto" w:fill="auto"/>
            <w:vAlign w:val="bottom"/>
            <w:hideMark/>
          </w:tcPr>
          <w:p w14:paraId="4A7A26F6" w14:textId="77777777" w:rsidR="00505357" w:rsidRDefault="00505357">
            <w:pPr>
              <w:jc w:val="right"/>
              <w:rPr>
                <w:rFonts w:ascii="Calibri" w:hAnsi="Calibri" w:cs="Arial"/>
                <w:color w:val="000000"/>
              </w:rPr>
            </w:pPr>
            <w:r>
              <w:rPr>
                <w:rFonts w:ascii="Calibri" w:hAnsi="Calibri" w:cs="Arial"/>
                <w:color w:val="000000"/>
              </w:rPr>
              <w:t>23.8</w:t>
            </w:r>
          </w:p>
        </w:tc>
        <w:tc>
          <w:tcPr>
            <w:tcW w:w="610" w:type="dxa"/>
            <w:tcBorders>
              <w:top w:val="nil"/>
              <w:left w:val="nil"/>
              <w:bottom w:val="single" w:sz="4" w:space="0" w:color="auto"/>
              <w:right w:val="single" w:sz="4" w:space="0" w:color="auto"/>
            </w:tcBorders>
            <w:shd w:val="clear" w:color="auto" w:fill="auto"/>
            <w:vAlign w:val="bottom"/>
            <w:hideMark/>
          </w:tcPr>
          <w:p w14:paraId="4A7A26F7" w14:textId="77777777" w:rsidR="00505357" w:rsidRDefault="00505357">
            <w:pPr>
              <w:rPr>
                <w:rFonts w:ascii="Calibri" w:hAnsi="Calibri" w:cs="Arial"/>
                <w:color w:val="000000"/>
              </w:rPr>
            </w:pPr>
            <w:r>
              <w:rPr>
                <w:rFonts w:ascii="Calibri" w:hAnsi="Calibri" w:cs="Arial"/>
                <w:color w:val="000000"/>
              </w:rPr>
              <w:t> </w:t>
            </w:r>
          </w:p>
        </w:tc>
      </w:tr>
      <w:tr w:rsidR="00505357" w14:paraId="4A7A26FF" w14:textId="77777777" w:rsidTr="00C15241">
        <w:trPr>
          <w:trHeight w:val="600"/>
        </w:trPr>
        <w:tc>
          <w:tcPr>
            <w:tcW w:w="5822" w:type="dxa"/>
            <w:tcBorders>
              <w:top w:val="nil"/>
              <w:left w:val="single" w:sz="4" w:space="0" w:color="auto"/>
              <w:bottom w:val="single" w:sz="4" w:space="0" w:color="auto"/>
              <w:right w:val="single" w:sz="4" w:space="0" w:color="auto"/>
            </w:tcBorders>
            <w:shd w:val="clear" w:color="auto" w:fill="auto"/>
            <w:vAlign w:val="bottom"/>
            <w:hideMark/>
          </w:tcPr>
          <w:p w14:paraId="4A7A26F9" w14:textId="77777777" w:rsidR="00505357" w:rsidRDefault="00505357">
            <w:pPr>
              <w:rPr>
                <w:rFonts w:ascii="Calibri" w:hAnsi="Calibri" w:cs="Arial"/>
                <w:color w:val="000000"/>
              </w:rPr>
            </w:pPr>
            <w:r>
              <w:rPr>
                <w:rFonts w:ascii="Calibri" w:hAnsi="Calibri" w:cs="Arial"/>
                <w:color w:val="000000"/>
              </w:rPr>
              <w:t>Bringing our Environment Protection Authority into the modern era (asset initiative)</w:t>
            </w:r>
          </w:p>
        </w:tc>
        <w:tc>
          <w:tcPr>
            <w:tcW w:w="819" w:type="dxa"/>
            <w:tcBorders>
              <w:top w:val="nil"/>
              <w:left w:val="nil"/>
              <w:bottom w:val="single" w:sz="4" w:space="0" w:color="auto"/>
              <w:right w:val="single" w:sz="4" w:space="0" w:color="auto"/>
            </w:tcBorders>
            <w:shd w:val="clear" w:color="auto" w:fill="auto"/>
            <w:vAlign w:val="bottom"/>
            <w:hideMark/>
          </w:tcPr>
          <w:p w14:paraId="4A7A26FA" w14:textId="77777777" w:rsidR="00505357" w:rsidRDefault="00505357">
            <w:pPr>
              <w:jc w:val="right"/>
              <w:rPr>
                <w:rFonts w:ascii="Calibri" w:hAnsi="Calibri" w:cs="Arial"/>
                <w:color w:val="000000"/>
              </w:rPr>
            </w:pPr>
            <w:r>
              <w:rPr>
                <w:rFonts w:ascii="Calibri" w:hAnsi="Calibri" w:cs="Arial"/>
                <w:color w:val="000000"/>
              </w:rPr>
              <w:t>4.5</w:t>
            </w:r>
          </w:p>
        </w:tc>
        <w:tc>
          <w:tcPr>
            <w:tcW w:w="819" w:type="dxa"/>
            <w:tcBorders>
              <w:top w:val="nil"/>
              <w:left w:val="nil"/>
              <w:bottom w:val="single" w:sz="4" w:space="0" w:color="auto"/>
              <w:right w:val="single" w:sz="4" w:space="0" w:color="auto"/>
            </w:tcBorders>
            <w:shd w:val="clear" w:color="auto" w:fill="auto"/>
            <w:vAlign w:val="bottom"/>
            <w:hideMark/>
          </w:tcPr>
          <w:p w14:paraId="4A7A26FB" w14:textId="77777777" w:rsidR="00505357" w:rsidRDefault="00505357">
            <w:pPr>
              <w:jc w:val="right"/>
              <w:rPr>
                <w:rFonts w:ascii="Calibri" w:hAnsi="Calibri" w:cs="Arial"/>
                <w:color w:val="000000"/>
              </w:rPr>
            </w:pPr>
            <w:r>
              <w:rPr>
                <w:rFonts w:ascii="Calibri" w:hAnsi="Calibri" w:cs="Arial"/>
                <w:color w:val="000000"/>
              </w:rPr>
              <w:t>6.1</w:t>
            </w:r>
          </w:p>
        </w:tc>
        <w:tc>
          <w:tcPr>
            <w:tcW w:w="904" w:type="dxa"/>
            <w:tcBorders>
              <w:top w:val="nil"/>
              <w:left w:val="nil"/>
              <w:bottom w:val="single" w:sz="4" w:space="0" w:color="auto"/>
              <w:right w:val="single" w:sz="4" w:space="0" w:color="auto"/>
            </w:tcBorders>
            <w:shd w:val="clear" w:color="auto" w:fill="auto"/>
            <w:vAlign w:val="bottom"/>
            <w:hideMark/>
          </w:tcPr>
          <w:p w14:paraId="4A7A26FC" w14:textId="77777777" w:rsidR="00505357" w:rsidRDefault="00505357">
            <w:pPr>
              <w:jc w:val="right"/>
              <w:rPr>
                <w:rFonts w:ascii="Calibri" w:hAnsi="Calibri" w:cs="Arial"/>
                <w:color w:val="000000"/>
              </w:rPr>
            </w:pPr>
            <w:r>
              <w:rPr>
                <w:rFonts w:ascii="Calibri" w:hAnsi="Calibri" w:cs="Arial"/>
                <w:color w:val="000000"/>
              </w:rPr>
              <w:t>8.2</w:t>
            </w:r>
          </w:p>
        </w:tc>
        <w:tc>
          <w:tcPr>
            <w:tcW w:w="916" w:type="dxa"/>
            <w:tcBorders>
              <w:top w:val="nil"/>
              <w:left w:val="nil"/>
              <w:bottom w:val="single" w:sz="4" w:space="0" w:color="auto"/>
              <w:right w:val="single" w:sz="4" w:space="0" w:color="auto"/>
            </w:tcBorders>
            <w:shd w:val="clear" w:color="auto" w:fill="auto"/>
            <w:vAlign w:val="bottom"/>
            <w:hideMark/>
          </w:tcPr>
          <w:p w14:paraId="4A7A26FD" w14:textId="77777777" w:rsidR="00505357" w:rsidRDefault="00505357">
            <w:pPr>
              <w:jc w:val="right"/>
              <w:rPr>
                <w:rFonts w:ascii="Calibri" w:hAnsi="Calibri" w:cs="Arial"/>
                <w:color w:val="000000"/>
              </w:rPr>
            </w:pPr>
            <w:r>
              <w:rPr>
                <w:rFonts w:ascii="Calibri" w:hAnsi="Calibri" w:cs="Arial"/>
                <w:color w:val="000000"/>
              </w:rPr>
              <w:t>0.7</w:t>
            </w:r>
          </w:p>
        </w:tc>
        <w:tc>
          <w:tcPr>
            <w:tcW w:w="610" w:type="dxa"/>
            <w:tcBorders>
              <w:top w:val="nil"/>
              <w:left w:val="nil"/>
              <w:bottom w:val="single" w:sz="4" w:space="0" w:color="auto"/>
              <w:right w:val="single" w:sz="4" w:space="0" w:color="auto"/>
            </w:tcBorders>
            <w:shd w:val="clear" w:color="auto" w:fill="auto"/>
            <w:vAlign w:val="bottom"/>
            <w:hideMark/>
          </w:tcPr>
          <w:p w14:paraId="4A7A26FE" w14:textId="77777777" w:rsidR="00505357" w:rsidRDefault="00505357">
            <w:pPr>
              <w:rPr>
                <w:rFonts w:ascii="Calibri" w:hAnsi="Calibri" w:cs="Arial"/>
                <w:color w:val="000000"/>
              </w:rPr>
            </w:pPr>
            <w:r>
              <w:rPr>
                <w:rFonts w:ascii="Calibri" w:hAnsi="Calibri" w:cs="Arial"/>
                <w:color w:val="000000"/>
              </w:rPr>
              <w:t> </w:t>
            </w:r>
          </w:p>
        </w:tc>
      </w:tr>
      <w:tr w:rsidR="00505357" w14:paraId="4A7A2706" w14:textId="77777777" w:rsidTr="00C15241">
        <w:trPr>
          <w:trHeight w:val="300"/>
        </w:trPr>
        <w:tc>
          <w:tcPr>
            <w:tcW w:w="5822" w:type="dxa"/>
            <w:tcBorders>
              <w:top w:val="nil"/>
              <w:left w:val="single" w:sz="4" w:space="0" w:color="auto"/>
              <w:bottom w:val="single" w:sz="4" w:space="0" w:color="auto"/>
              <w:right w:val="single" w:sz="4" w:space="0" w:color="auto"/>
            </w:tcBorders>
            <w:shd w:val="clear" w:color="auto" w:fill="auto"/>
            <w:vAlign w:val="bottom"/>
            <w:hideMark/>
          </w:tcPr>
          <w:p w14:paraId="4A7A2700" w14:textId="77777777" w:rsidR="00505357" w:rsidRDefault="00505357">
            <w:pPr>
              <w:rPr>
                <w:rFonts w:ascii="Calibri" w:hAnsi="Calibri" w:cs="Arial"/>
                <w:color w:val="000000"/>
              </w:rPr>
            </w:pPr>
            <w:r>
              <w:rPr>
                <w:rFonts w:ascii="Calibri" w:hAnsi="Calibri" w:cs="Arial"/>
                <w:color w:val="000000"/>
              </w:rPr>
              <w:t> </w:t>
            </w:r>
          </w:p>
        </w:tc>
        <w:tc>
          <w:tcPr>
            <w:tcW w:w="819" w:type="dxa"/>
            <w:tcBorders>
              <w:top w:val="nil"/>
              <w:left w:val="nil"/>
              <w:bottom w:val="single" w:sz="4" w:space="0" w:color="auto"/>
              <w:right w:val="single" w:sz="4" w:space="0" w:color="auto"/>
            </w:tcBorders>
            <w:shd w:val="clear" w:color="auto" w:fill="auto"/>
            <w:vAlign w:val="bottom"/>
            <w:hideMark/>
          </w:tcPr>
          <w:p w14:paraId="4A7A2701" w14:textId="77777777" w:rsidR="00505357" w:rsidRDefault="00505357">
            <w:pPr>
              <w:jc w:val="right"/>
              <w:rPr>
                <w:rFonts w:ascii="Calibri" w:hAnsi="Calibri" w:cs="Arial"/>
                <w:b/>
                <w:bCs/>
                <w:color w:val="000000"/>
              </w:rPr>
            </w:pPr>
            <w:r>
              <w:rPr>
                <w:rFonts w:ascii="Calibri" w:hAnsi="Calibri" w:cs="Arial"/>
                <w:b/>
                <w:bCs/>
                <w:color w:val="000000"/>
              </w:rPr>
              <w:t>54.8</w:t>
            </w:r>
          </w:p>
        </w:tc>
        <w:tc>
          <w:tcPr>
            <w:tcW w:w="819" w:type="dxa"/>
            <w:tcBorders>
              <w:top w:val="nil"/>
              <w:left w:val="nil"/>
              <w:bottom w:val="single" w:sz="4" w:space="0" w:color="auto"/>
              <w:right w:val="single" w:sz="4" w:space="0" w:color="auto"/>
            </w:tcBorders>
            <w:shd w:val="clear" w:color="auto" w:fill="auto"/>
            <w:vAlign w:val="bottom"/>
            <w:hideMark/>
          </w:tcPr>
          <w:p w14:paraId="4A7A2702" w14:textId="77777777" w:rsidR="00505357" w:rsidRDefault="00505357">
            <w:pPr>
              <w:jc w:val="right"/>
              <w:rPr>
                <w:rFonts w:ascii="Calibri" w:hAnsi="Calibri" w:cs="Arial"/>
                <w:b/>
                <w:bCs/>
                <w:color w:val="000000"/>
              </w:rPr>
            </w:pPr>
            <w:r>
              <w:rPr>
                <w:rFonts w:ascii="Calibri" w:hAnsi="Calibri" w:cs="Arial"/>
                <w:b/>
                <w:bCs/>
                <w:color w:val="000000"/>
              </w:rPr>
              <w:t>32.9</w:t>
            </w:r>
          </w:p>
        </w:tc>
        <w:tc>
          <w:tcPr>
            <w:tcW w:w="904" w:type="dxa"/>
            <w:tcBorders>
              <w:top w:val="nil"/>
              <w:left w:val="nil"/>
              <w:bottom w:val="single" w:sz="4" w:space="0" w:color="auto"/>
              <w:right w:val="single" w:sz="4" w:space="0" w:color="auto"/>
            </w:tcBorders>
            <w:shd w:val="clear" w:color="auto" w:fill="auto"/>
            <w:vAlign w:val="bottom"/>
            <w:hideMark/>
          </w:tcPr>
          <w:p w14:paraId="4A7A2703" w14:textId="77777777" w:rsidR="00505357" w:rsidRDefault="00505357">
            <w:pPr>
              <w:jc w:val="right"/>
              <w:rPr>
                <w:rFonts w:ascii="Calibri" w:hAnsi="Calibri" w:cs="Arial"/>
                <w:b/>
                <w:bCs/>
                <w:color w:val="000000"/>
              </w:rPr>
            </w:pPr>
            <w:r>
              <w:rPr>
                <w:rFonts w:ascii="Calibri" w:hAnsi="Calibri" w:cs="Arial"/>
                <w:b/>
                <w:bCs/>
                <w:color w:val="000000"/>
              </w:rPr>
              <w:t>35.3</w:t>
            </w:r>
          </w:p>
        </w:tc>
        <w:tc>
          <w:tcPr>
            <w:tcW w:w="916" w:type="dxa"/>
            <w:tcBorders>
              <w:top w:val="nil"/>
              <w:left w:val="nil"/>
              <w:bottom w:val="single" w:sz="4" w:space="0" w:color="auto"/>
              <w:right w:val="single" w:sz="4" w:space="0" w:color="auto"/>
            </w:tcBorders>
            <w:shd w:val="clear" w:color="auto" w:fill="auto"/>
            <w:vAlign w:val="bottom"/>
            <w:hideMark/>
          </w:tcPr>
          <w:p w14:paraId="4A7A2704" w14:textId="77777777" w:rsidR="00505357" w:rsidRDefault="00505357">
            <w:pPr>
              <w:jc w:val="right"/>
              <w:rPr>
                <w:rFonts w:ascii="Calibri" w:hAnsi="Calibri" w:cs="Arial"/>
                <w:b/>
                <w:bCs/>
                <w:color w:val="000000"/>
              </w:rPr>
            </w:pPr>
            <w:r>
              <w:rPr>
                <w:rFonts w:ascii="Calibri" w:hAnsi="Calibri" w:cs="Arial"/>
                <w:b/>
                <w:bCs/>
                <w:color w:val="000000"/>
              </w:rPr>
              <w:t>24.5</w:t>
            </w:r>
          </w:p>
        </w:tc>
        <w:tc>
          <w:tcPr>
            <w:tcW w:w="610" w:type="dxa"/>
            <w:tcBorders>
              <w:top w:val="nil"/>
              <w:left w:val="nil"/>
              <w:bottom w:val="single" w:sz="4" w:space="0" w:color="auto"/>
              <w:right w:val="single" w:sz="4" w:space="0" w:color="auto"/>
            </w:tcBorders>
            <w:shd w:val="clear" w:color="auto" w:fill="auto"/>
            <w:vAlign w:val="bottom"/>
            <w:hideMark/>
          </w:tcPr>
          <w:p w14:paraId="4A7A2705" w14:textId="77777777" w:rsidR="00505357" w:rsidRDefault="00505357">
            <w:pPr>
              <w:jc w:val="right"/>
              <w:rPr>
                <w:rFonts w:ascii="Calibri" w:hAnsi="Calibri" w:cs="Arial"/>
                <w:b/>
                <w:bCs/>
                <w:color w:val="000000"/>
              </w:rPr>
            </w:pPr>
            <w:r>
              <w:rPr>
                <w:rFonts w:ascii="Calibri" w:hAnsi="Calibri" w:cs="Arial"/>
                <w:b/>
                <w:bCs/>
                <w:color w:val="000000"/>
              </w:rPr>
              <w:t>148</w:t>
            </w:r>
          </w:p>
        </w:tc>
      </w:tr>
      <w:tr w:rsidR="00505357" w14:paraId="4A7A270D" w14:textId="77777777" w:rsidTr="00C15241">
        <w:trPr>
          <w:trHeight w:val="300"/>
        </w:trPr>
        <w:tc>
          <w:tcPr>
            <w:tcW w:w="5822" w:type="dxa"/>
            <w:tcBorders>
              <w:top w:val="nil"/>
              <w:left w:val="single" w:sz="4" w:space="0" w:color="auto"/>
              <w:bottom w:val="single" w:sz="4" w:space="0" w:color="auto"/>
              <w:right w:val="single" w:sz="4" w:space="0" w:color="auto"/>
            </w:tcBorders>
            <w:shd w:val="clear" w:color="auto" w:fill="auto"/>
            <w:vAlign w:val="bottom"/>
            <w:hideMark/>
          </w:tcPr>
          <w:p w14:paraId="4A7A2707" w14:textId="77777777" w:rsidR="00505357" w:rsidRDefault="00505357">
            <w:pPr>
              <w:rPr>
                <w:rFonts w:ascii="Calibri" w:hAnsi="Calibri" w:cs="Arial"/>
                <w:color w:val="000000"/>
              </w:rPr>
            </w:pPr>
            <w:r>
              <w:rPr>
                <w:rFonts w:ascii="Calibri" w:hAnsi="Calibri" w:cs="Arial"/>
                <w:color w:val="000000"/>
              </w:rPr>
              <w:t> </w:t>
            </w:r>
          </w:p>
        </w:tc>
        <w:tc>
          <w:tcPr>
            <w:tcW w:w="819" w:type="dxa"/>
            <w:tcBorders>
              <w:top w:val="nil"/>
              <w:left w:val="nil"/>
              <w:bottom w:val="single" w:sz="4" w:space="0" w:color="auto"/>
              <w:right w:val="single" w:sz="4" w:space="0" w:color="auto"/>
            </w:tcBorders>
            <w:shd w:val="clear" w:color="auto" w:fill="auto"/>
            <w:vAlign w:val="bottom"/>
            <w:hideMark/>
          </w:tcPr>
          <w:p w14:paraId="4A7A2708" w14:textId="77777777" w:rsidR="00505357" w:rsidRDefault="00505357">
            <w:pPr>
              <w:rPr>
                <w:rFonts w:ascii="Calibri" w:hAnsi="Calibri" w:cs="Arial"/>
                <w:b/>
                <w:bCs/>
                <w:color w:val="000000"/>
              </w:rPr>
            </w:pPr>
            <w:r>
              <w:rPr>
                <w:rFonts w:ascii="Calibri" w:hAnsi="Calibri" w:cs="Arial"/>
                <w:b/>
                <w:bCs/>
                <w:color w:val="000000"/>
              </w:rPr>
              <w:t> </w:t>
            </w:r>
          </w:p>
        </w:tc>
        <w:tc>
          <w:tcPr>
            <w:tcW w:w="819" w:type="dxa"/>
            <w:tcBorders>
              <w:top w:val="nil"/>
              <w:left w:val="nil"/>
              <w:bottom w:val="single" w:sz="4" w:space="0" w:color="auto"/>
              <w:right w:val="single" w:sz="4" w:space="0" w:color="auto"/>
            </w:tcBorders>
            <w:shd w:val="clear" w:color="auto" w:fill="auto"/>
            <w:vAlign w:val="bottom"/>
            <w:hideMark/>
          </w:tcPr>
          <w:p w14:paraId="4A7A2709" w14:textId="77777777" w:rsidR="00505357" w:rsidRDefault="00505357">
            <w:pPr>
              <w:rPr>
                <w:rFonts w:ascii="Calibri" w:hAnsi="Calibri" w:cs="Arial"/>
                <w:b/>
                <w:bCs/>
                <w:color w:val="000000"/>
              </w:rPr>
            </w:pPr>
            <w:r>
              <w:rPr>
                <w:rFonts w:ascii="Calibri" w:hAnsi="Calibri" w:cs="Arial"/>
                <w:b/>
                <w:bCs/>
                <w:color w:val="000000"/>
              </w:rPr>
              <w:t> </w:t>
            </w:r>
          </w:p>
        </w:tc>
        <w:tc>
          <w:tcPr>
            <w:tcW w:w="904" w:type="dxa"/>
            <w:tcBorders>
              <w:top w:val="nil"/>
              <w:left w:val="nil"/>
              <w:bottom w:val="single" w:sz="4" w:space="0" w:color="auto"/>
              <w:right w:val="single" w:sz="4" w:space="0" w:color="auto"/>
            </w:tcBorders>
            <w:shd w:val="clear" w:color="auto" w:fill="auto"/>
            <w:vAlign w:val="bottom"/>
            <w:hideMark/>
          </w:tcPr>
          <w:p w14:paraId="4A7A270A" w14:textId="77777777" w:rsidR="00505357" w:rsidRDefault="00505357">
            <w:pPr>
              <w:rPr>
                <w:rFonts w:ascii="Calibri" w:hAnsi="Calibri" w:cs="Arial"/>
                <w:b/>
                <w:bCs/>
                <w:color w:val="000000"/>
              </w:rPr>
            </w:pPr>
            <w:r>
              <w:rPr>
                <w:rFonts w:ascii="Calibri" w:hAnsi="Calibri" w:cs="Arial"/>
                <w:b/>
                <w:bCs/>
                <w:color w:val="000000"/>
              </w:rPr>
              <w:t> </w:t>
            </w:r>
          </w:p>
        </w:tc>
        <w:tc>
          <w:tcPr>
            <w:tcW w:w="916" w:type="dxa"/>
            <w:tcBorders>
              <w:top w:val="nil"/>
              <w:left w:val="nil"/>
              <w:bottom w:val="single" w:sz="4" w:space="0" w:color="auto"/>
              <w:right w:val="single" w:sz="4" w:space="0" w:color="auto"/>
            </w:tcBorders>
            <w:shd w:val="clear" w:color="auto" w:fill="auto"/>
            <w:vAlign w:val="bottom"/>
            <w:hideMark/>
          </w:tcPr>
          <w:p w14:paraId="4A7A270B" w14:textId="77777777" w:rsidR="00505357" w:rsidRDefault="00505357">
            <w:pPr>
              <w:rPr>
                <w:rFonts w:ascii="Calibri" w:hAnsi="Calibri" w:cs="Arial"/>
                <w:b/>
                <w:bCs/>
                <w:color w:val="000000"/>
              </w:rPr>
            </w:pPr>
            <w:r>
              <w:rPr>
                <w:rFonts w:ascii="Calibri" w:hAnsi="Calibri" w:cs="Arial"/>
                <w:b/>
                <w:bCs/>
                <w:color w:val="000000"/>
              </w:rPr>
              <w:t> </w:t>
            </w:r>
          </w:p>
        </w:tc>
        <w:tc>
          <w:tcPr>
            <w:tcW w:w="610" w:type="dxa"/>
            <w:tcBorders>
              <w:top w:val="nil"/>
              <w:left w:val="nil"/>
              <w:bottom w:val="single" w:sz="4" w:space="0" w:color="auto"/>
              <w:right w:val="single" w:sz="4" w:space="0" w:color="auto"/>
            </w:tcBorders>
            <w:shd w:val="clear" w:color="auto" w:fill="auto"/>
            <w:vAlign w:val="bottom"/>
            <w:hideMark/>
          </w:tcPr>
          <w:p w14:paraId="4A7A270C" w14:textId="77777777" w:rsidR="00505357" w:rsidRDefault="00505357">
            <w:pPr>
              <w:rPr>
                <w:rFonts w:ascii="Calibri" w:hAnsi="Calibri" w:cs="Arial"/>
                <w:b/>
                <w:bCs/>
                <w:color w:val="000000"/>
              </w:rPr>
            </w:pPr>
            <w:r>
              <w:rPr>
                <w:rFonts w:ascii="Calibri" w:hAnsi="Calibri" w:cs="Arial"/>
                <w:b/>
                <w:bCs/>
                <w:color w:val="000000"/>
              </w:rPr>
              <w:t> </w:t>
            </w:r>
          </w:p>
        </w:tc>
      </w:tr>
      <w:tr w:rsidR="00505357" w14:paraId="4A7A2714" w14:textId="77777777" w:rsidTr="00C15241">
        <w:trPr>
          <w:trHeight w:val="300"/>
        </w:trPr>
        <w:tc>
          <w:tcPr>
            <w:tcW w:w="5822" w:type="dxa"/>
            <w:tcBorders>
              <w:top w:val="nil"/>
              <w:left w:val="single" w:sz="4" w:space="0" w:color="auto"/>
              <w:bottom w:val="single" w:sz="4" w:space="0" w:color="auto"/>
              <w:right w:val="single" w:sz="4" w:space="0" w:color="auto"/>
            </w:tcBorders>
            <w:shd w:val="clear" w:color="auto" w:fill="auto"/>
            <w:vAlign w:val="bottom"/>
            <w:hideMark/>
          </w:tcPr>
          <w:p w14:paraId="4A7A270E" w14:textId="77777777" w:rsidR="00505357" w:rsidRDefault="00505357">
            <w:pPr>
              <w:rPr>
                <w:rFonts w:ascii="Calibri" w:hAnsi="Calibri" w:cs="Arial"/>
                <w:b/>
                <w:bCs/>
                <w:color w:val="000000"/>
              </w:rPr>
            </w:pPr>
            <w:r>
              <w:rPr>
                <w:rFonts w:ascii="Calibri" w:hAnsi="Calibri" w:cs="Arial"/>
                <w:b/>
                <w:bCs/>
                <w:color w:val="000000"/>
              </w:rPr>
              <w:t>To</w:t>
            </w:r>
            <w:r w:rsidR="00A92E63">
              <w:rPr>
                <w:rFonts w:ascii="Calibri" w:hAnsi="Calibri" w:cs="Arial"/>
                <w:b/>
                <w:bCs/>
                <w:color w:val="000000"/>
              </w:rPr>
              <w:t>t</w:t>
            </w:r>
            <w:r>
              <w:rPr>
                <w:rFonts w:ascii="Calibri" w:hAnsi="Calibri" w:cs="Arial"/>
                <w:b/>
                <w:bCs/>
                <w:color w:val="000000"/>
              </w:rPr>
              <w:t>al expenditure from landfill levy</w:t>
            </w:r>
          </w:p>
        </w:tc>
        <w:tc>
          <w:tcPr>
            <w:tcW w:w="819" w:type="dxa"/>
            <w:tcBorders>
              <w:top w:val="nil"/>
              <w:left w:val="nil"/>
              <w:bottom w:val="single" w:sz="4" w:space="0" w:color="auto"/>
              <w:right w:val="single" w:sz="4" w:space="0" w:color="auto"/>
            </w:tcBorders>
            <w:shd w:val="clear" w:color="auto" w:fill="auto"/>
            <w:vAlign w:val="bottom"/>
            <w:hideMark/>
          </w:tcPr>
          <w:p w14:paraId="4A7A270F" w14:textId="77777777" w:rsidR="00505357" w:rsidRDefault="00505357">
            <w:pPr>
              <w:jc w:val="right"/>
              <w:rPr>
                <w:rFonts w:ascii="Calibri" w:hAnsi="Calibri" w:cs="Arial"/>
                <w:b/>
                <w:bCs/>
                <w:color w:val="000000"/>
              </w:rPr>
            </w:pPr>
            <w:r>
              <w:rPr>
                <w:rFonts w:ascii="Calibri" w:hAnsi="Calibri" w:cs="Arial"/>
                <w:b/>
                <w:bCs/>
                <w:color w:val="000000"/>
              </w:rPr>
              <w:t>166.2</w:t>
            </w:r>
          </w:p>
        </w:tc>
        <w:tc>
          <w:tcPr>
            <w:tcW w:w="819" w:type="dxa"/>
            <w:tcBorders>
              <w:top w:val="nil"/>
              <w:left w:val="nil"/>
              <w:bottom w:val="single" w:sz="4" w:space="0" w:color="auto"/>
              <w:right w:val="single" w:sz="4" w:space="0" w:color="auto"/>
            </w:tcBorders>
            <w:shd w:val="clear" w:color="auto" w:fill="auto"/>
            <w:vAlign w:val="bottom"/>
            <w:hideMark/>
          </w:tcPr>
          <w:p w14:paraId="4A7A2710" w14:textId="77777777" w:rsidR="00505357" w:rsidRDefault="00505357">
            <w:pPr>
              <w:jc w:val="right"/>
              <w:rPr>
                <w:rFonts w:ascii="Calibri" w:hAnsi="Calibri" w:cs="Arial"/>
                <w:b/>
                <w:bCs/>
                <w:color w:val="000000"/>
              </w:rPr>
            </w:pPr>
            <w:r>
              <w:rPr>
                <w:rFonts w:ascii="Calibri" w:hAnsi="Calibri" w:cs="Arial"/>
                <w:b/>
                <w:bCs/>
                <w:color w:val="000000"/>
              </w:rPr>
              <w:t>151.8</w:t>
            </w:r>
          </w:p>
        </w:tc>
        <w:tc>
          <w:tcPr>
            <w:tcW w:w="904" w:type="dxa"/>
            <w:tcBorders>
              <w:top w:val="nil"/>
              <w:left w:val="nil"/>
              <w:bottom w:val="single" w:sz="4" w:space="0" w:color="auto"/>
              <w:right w:val="single" w:sz="4" w:space="0" w:color="auto"/>
            </w:tcBorders>
            <w:shd w:val="clear" w:color="auto" w:fill="auto"/>
            <w:vAlign w:val="bottom"/>
            <w:hideMark/>
          </w:tcPr>
          <w:p w14:paraId="4A7A2711" w14:textId="77777777" w:rsidR="00505357" w:rsidRDefault="00505357">
            <w:pPr>
              <w:jc w:val="right"/>
              <w:rPr>
                <w:rFonts w:ascii="Calibri" w:hAnsi="Calibri" w:cs="Arial"/>
                <w:b/>
                <w:bCs/>
                <w:color w:val="000000"/>
              </w:rPr>
            </w:pPr>
            <w:r>
              <w:rPr>
                <w:rFonts w:ascii="Calibri" w:hAnsi="Calibri" w:cs="Arial"/>
                <w:b/>
                <w:bCs/>
                <w:color w:val="000000"/>
              </w:rPr>
              <w:t>128.9</w:t>
            </w:r>
          </w:p>
        </w:tc>
        <w:tc>
          <w:tcPr>
            <w:tcW w:w="916" w:type="dxa"/>
            <w:tcBorders>
              <w:top w:val="nil"/>
              <w:left w:val="nil"/>
              <w:bottom w:val="single" w:sz="4" w:space="0" w:color="auto"/>
              <w:right w:val="single" w:sz="4" w:space="0" w:color="auto"/>
            </w:tcBorders>
            <w:shd w:val="clear" w:color="auto" w:fill="auto"/>
            <w:vAlign w:val="bottom"/>
            <w:hideMark/>
          </w:tcPr>
          <w:p w14:paraId="4A7A2712" w14:textId="77777777" w:rsidR="00505357" w:rsidRDefault="00505357">
            <w:pPr>
              <w:jc w:val="right"/>
              <w:rPr>
                <w:rFonts w:ascii="Calibri" w:hAnsi="Calibri" w:cs="Arial"/>
                <w:b/>
                <w:bCs/>
                <w:color w:val="000000"/>
              </w:rPr>
            </w:pPr>
            <w:r>
              <w:rPr>
                <w:rFonts w:ascii="Calibri" w:hAnsi="Calibri" w:cs="Arial"/>
                <w:b/>
                <w:bCs/>
                <w:color w:val="000000"/>
              </w:rPr>
              <w:t>93.4</w:t>
            </w:r>
          </w:p>
        </w:tc>
        <w:tc>
          <w:tcPr>
            <w:tcW w:w="610" w:type="dxa"/>
            <w:tcBorders>
              <w:top w:val="nil"/>
              <w:left w:val="nil"/>
              <w:bottom w:val="single" w:sz="4" w:space="0" w:color="auto"/>
              <w:right w:val="single" w:sz="4" w:space="0" w:color="auto"/>
            </w:tcBorders>
            <w:shd w:val="clear" w:color="auto" w:fill="auto"/>
            <w:vAlign w:val="bottom"/>
            <w:hideMark/>
          </w:tcPr>
          <w:p w14:paraId="4A7A2713" w14:textId="77777777" w:rsidR="00505357" w:rsidRDefault="00505357">
            <w:pPr>
              <w:jc w:val="right"/>
              <w:rPr>
                <w:rFonts w:ascii="Calibri" w:hAnsi="Calibri" w:cs="Arial"/>
                <w:b/>
                <w:bCs/>
                <w:color w:val="000000"/>
              </w:rPr>
            </w:pPr>
            <w:r>
              <w:rPr>
                <w:rFonts w:ascii="Calibri" w:hAnsi="Calibri" w:cs="Arial"/>
                <w:b/>
                <w:bCs/>
                <w:color w:val="000000"/>
              </w:rPr>
              <w:t>540</w:t>
            </w:r>
          </w:p>
        </w:tc>
      </w:tr>
    </w:tbl>
    <w:p w14:paraId="4A7A2715" w14:textId="77777777" w:rsidR="00117D3B" w:rsidRDefault="00117D3B" w:rsidP="00E04BD1">
      <w:pPr>
        <w:spacing w:before="100" w:beforeAutospacing="1" w:after="100" w:afterAutospacing="1"/>
        <w:rPr>
          <w:rFonts w:eastAsia="Times New Roman" w:cs="Arial"/>
          <w:lang w:val="en" w:eastAsia="en-AU"/>
        </w:rPr>
      </w:pPr>
    </w:p>
    <w:p w14:paraId="4A7A2716" w14:textId="77777777" w:rsidR="004F5F82" w:rsidRDefault="004F5F82" w:rsidP="00E04BD1">
      <w:pPr>
        <w:spacing w:before="100" w:beforeAutospacing="1" w:after="100" w:afterAutospacing="1"/>
        <w:rPr>
          <w:rFonts w:eastAsia="Times New Roman" w:cs="Arial"/>
          <w:lang w:val="en" w:eastAsia="en-AU"/>
        </w:rPr>
      </w:pPr>
    </w:p>
    <w:sectPr w:rsidR="004F5F82" w:rsidSect="00F61DDE">
      <w:headerReference w:type="default" r:id="rId21"/>
      <w:footerReference w:type="default" r:id="rId22"/>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4EEFE" w14:textId="77777777" w:rsidR="009C5995" w:rsidRDefault="009C5995" w:rsidP="00932CAE">
      <w:r>
        <w:separator/>
      </w:r>
    </w:p>
  </w:endnote>
  <w:endnote w:type="continuationSeparator" w:id="0">
    <w:p w14:paraId="03114020" w14:textId="77777777" w:rsidR="009C5995" w:rsidRDefault="009C5995" w:rsidP="0093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713861"/>
      <w:docPartObj>
        <w:docPartGallery w:val="Page Numbers (Bottom of Page)"/>
        <w:docPartUnique/>
      </w:docPartObj>
    </w:sdtPr>
    <w:sdtEndPr>
      <w:rPr>
        <w:noProof/>
      </w:rPr>
    </w:sdtEndPr>
    <w:sdtContent>
      <w:p w14:paraId="589DD32F" w14:textId="6DC7C116" w:rsidR="00524B0D" w:rsidRDefault="00524B0D">
        <w:pPr>
          <w:pStyle w:val="Footer"/>
          <w:jc w:val="right"/>
        </w:pPr>
        <w:r>
          <w:fldChar w:fldCharType="begin"/>
        </w:r>
        <w:r>
          <w:instrText xml:space="preserve"> PAGE   \* MERGEFORMAT </w:instrText>
        </w:r>
        <w:r>
          <w:fldChar w:fldCharType="separate"/>
        </w:r>
        <w:r w:rsidR="00FB5418">
          <w:rPr>
            <w:noProof/>
          </w:rPr>
          <w:t>1</w:t>
        </w:r>
        <w:r>
          <w:rPr>
            <w:noProof/>
          </w:rPr>
          <w:fldChar w:fldCharType="end"/>
        </w:r>
      </w:p>
    </w:sdtContent>
  </w:sdt>
  <w:p w14:paraId="4477FA6C" w14:textId="77777777" w:rsidR="00524B0D" w:rsidRDefault="00524B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C9D8F" w14:textId="77777777" w:rsidR="009C5995" w:rsidRDefault="009C5995" w:rsidP="00932CAE">
      <w:r>
        <w:separator/>
      </w:r>
    </w:p>
  </w:footnote>
  <w:footnote w:type="continuationSeparator" w:id="0">
    <w:p w14:paraId="1349C8CC" w14:textId="77777777" w:rsidR="009C5995" w:rsidRDefault="009C5995" w:rsidP="00932C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A271B" w14:textId="77777777" w:rsidR="00324A42" w:rsidRPr="00324A42" w:rsidRDefault="00324A42" w:rsidP="00324A42">
    <w:pPr>
      <w:pStyle w:val="Header"/>
      <w:tabs>
        <w:tab w:val="clear" w:pos="4513"/>
        <w:tab w:val="clear" w:pos="9026"/>
        <w:tab w:val="center" w:pos="4819"/>
      </w:tabs>
      <w:rPr>
        <w:sz w:val="48"/>
        <w:szCs w:val="48"/>
      </w:rPr>
    </w:pPr>
    <w:r>
      <w:rPr>
        <w:noProof/>
        <w:lang w:eastAsia="en-AU"/>
      </w:rPr>
      <w:drawing>
        <wp:inline distT="0" distB="0" distL="0" distR="0" wp14:anchorId="4A7A271D" wp14:editId="4A7A271E">
          <wp:extent cx="1748790" cy="647700"/>
          <wp:effectExtent l="0" t="0" r="3810" b="0"/>
          <wp:docPr id="1" name="Picture 1" descr="C:\Users\cdunn\Desktop\MAV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unn\Desktop\MAV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790" cy="647700"/>
                  </a:xfrm>
                  <a:prstGeom prst="rect">
                    <a:avLst/>
                  </a:prstGeom>
                  <a:noFill/>
                  <a:ln>
                    <a:noFill/>
                  </a:ln>
                </pic:spPr>
              </pic:pic>
            </a:graphicData>
          </a:graphic>
        </wp:inline>
      </w:drawing>
    </w:r>
    <w:r>
      <w:tab/>
      <w:t xml:space="preserve"> </w:t>
    </w:r>
  </w:p>
  <w:p w14:paraId="4A7A271C" w14:textId="77777777" w:rsidR="00932CAE" w:rsidRDefault="00932CAE" w:rsidP="00932CAE">
    <w:pPr>
      <w:pStyle w:val="Header"/>
      <w:tabs>
        <w:tab w:val="left" w:pos="387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0FCA"/>
    <w:multiLevelType w:val="hybridMultilevel"/>
    <w:tmpl w:val="23246832"/>
    <w:lvl w:ilvl="0" w:tplc="0C090001">
      <w:start w:val="1"/>
      <w:numFmt w:val="bullet"/>
      <w:lvlText w:val=""/>
      <w:lvlJc w:val="left"/>
      <w:pPr>
        <w:ind w:left="800" w:hanging="360"/>
      </w:pPr>
      <w:rPr>
        <w:rFonts w:ascii="Symbol" w:hAnsi="Symbol" w:hint="default"/>
        <w:b/>
        <w:i w:val="0"/>
        <w:color w:val="3F8080"/>
      </w:rPr>
    </w:lvl>
    <w:lvl w:ilvl="1" w:tplc="0C090019" w:tentative="1">
      <w:start w:val="1"/>
      <w:numFmt w:val="lowerLetter"/>
      <w:lvlText w:val="%2."/>
      <w:lvlJc w:val="left"/>
      <w:pPr>
        <w:ind w:left="1520" w:hanging="360"/>
      </w:pPr>
    </w:lvl>
    <w:lvl w:ilvl="2" w:tplc="0C09001B" w:tentative="1">
      <w:start w:val="1"/>
      <w:numFmt w:val="lowerRoman"/>
      <w:lvlText w:val="%3."/>
      <w:lvlJc w:val="right"/>
      <w:pPr>
        <w:ind w:left="2240" w:hanging="180"/>
      </w:pPr>
    </w:lvl>
    <w:lvl w:ilvl="3" w:tplc="0C09000F" w:tentative="1">
      <w:start w:val="1"/>
      <w:numFmt w:val="decimal"/>
      <w:lvlText w:val="%4."/>
      <w:lvlJc w:val="left"/>
      <w:pPr>
        <w:ind w:left="2960" w:hanging="360"/>
      </w:pPr>
    </w:lvl>
    <w:lvl w:ilvl="4" w:tplc="0C090019" w:tentative="1">
      <w:start w:val="1"/>
      <w:numFmt w:val="lowerLetter"/>
      <w:lvlText w:val="%5."/>
      <w:lvlJc w:val="left"/>
      <w:pPr>
        <w:ind w:left="3680" w:hanging="360"/>
      </w:pPr>
    </w:lvl>
    <w:lvl w:ilvl="5" w:tplc="0C09001B" w:tentative="1">
      <w:start w:val="1"/>
      <w:numFmt w:val="lowerRoman"/>
      <w:lvlText w:val="%6."/>
      <w:lvlJc w:val="right"/>
      <w:pPr>
        <w:ind w:left="4400" w:hanging="180"/>
      </w:pPr>
    </w:lvl>
    <w:lvl w:ilvl="6" w:tplc="0C09000F" w:tentative="1">
      <w:start w:val="1"/>
      <w:numFmt w:val="decimal"/>
      <w:lvlText w:val="%7."/>
      <w:lvlJc w:val="left"/>
      <w:pPr>
        <w:ind w:left="5120" w:hanging="360"/>
      </w:pPr>
    </w:lvl>
    <w:lvl w:ilvl="7" w:tplc="0C090019" w:tentative="1">
      <w:start w:val="1"/>
      <w:numFmt w:val="lowerLetter"/>
      <w:lvlText w:val="%8."/>
      <w:lvlJc w:val="left"/>
      <w:pPr>
        <w:ind w:left="5840" w:hanging="360"/>
      </w:pPr>
    </w:lvl>
    <w:lvl w:ilvl="8" w:tplc="0C09001B" w:tentative="1">
      <w:start w:val="1"/>
      <w:numFmt w:val="lowerRoman"/>
      <w:lvlText w:val="%9."/>
      <w:lvlJc w:val="right"/>
      <w:pPr>
        <w:ind w:left="6560" w:hanging="180"/>
      </w:pPr>
    </w:lvl>
  </w:abstractNum>
  <w:abstractNum w:abstractNumId="1">
    <w:nsid w:val="0DE94417"/>
    <w:multiLevelType w:val="hybridMultilevel"/>
    <w:tmpl w:val="413E3DF8"/>
    <w:lvl w:ilvl="0" w:tplc="0C090001">
      <w:start w:val="1"/>
      <w:numFmt w:val="bullet"/>
      <w:lvlText w:val=""/>
      <w:lvlJc w:val="left"/>
      <w:pPr>
        <w:ind w:left="845" w:hanging="360"/>
      </w:pPr>
      <w:rPr>
        <w:rFonts w:ascii="Symbol" w:hAnsi="Symbol" w:hint="default"/>
        <w:b/>
        <w:i w:val="0"/>
        <w:color w:val="3F8080"/>
      </w:rPr>
    </w:lvl>
    <w:lvl w:ilvl="1" w:tplc="0C090019" w:tentative="1">
      <w:start w:val="1"/>
      <w:numFmt w:val="lowerLetter"/>
      <w:lvlText w:val="%2."/>
      <w:lvlJc w:val="left"/>
      <w:pPr>
        <w:ind w:left="1565" w:hanging="360"/>
      </w:pPr>
    </w:lvl>
    <w:lvl w:ilvl="2" w:tplc="0C09001B" w:tentative="1">
      <w:start w:val="1"/>
      <w:numFmt w:val="lowerRoman"/>
      <w:lvlText w:val="%3."/>
      <w:lvlJc w:val="right"/>
      <w:pPr>
        <w:ind w:left="2285" w:hanging="180"/>
      </w:pPr>
    </w:lvl>
    <w:lvl w:ilvl="3" w:tplc="0C09000F" w:tentative="1">
      <w:start w:val="1"/>
      <w:numFmt w:val="decimal"/>
      <w:lvlText w:val="%4."/>
      <w:lvlJc w:val="left"/>
      <w:pPr>
        <w:ind w:left="3005" w:hanging="360"/>
      </w:pPr>
    </w:lvl>
    <w:lvl w:ilvl="4" w:tplc="0C090019" w:tentative="1">
      <w:start w:val="1"/>
      <w:numFmt w:val="lowerLetter"/>
      <w:lvlText w:val="%5."/>
      <w:lvlJc w:val="left"/>
      <w:pPr>
        <w:ind w:left="3725" w:hanging="360"/>
      </w:pPr>
    </w:lvl>
    <w:lvl w:ilvl="5" w:tplc="0C09001B" w:tentative="1">
      <w:start w:val="1"/>
      <w:numFmt w:val="lowerRoman"/>
      <w:lvlText w:val="%6."/>
      <w:lvlJc w:val="right"/>
      <w:pPr>
        <w:ind w:left="4445" w:hanging="180"/>
      </w:pPr>
    </w:lvl>
    <w:lvl w:ilvl="6" w:tplc="0C09000F" w:tentative="1">
      <w:start w:val="1"/>
      <w:numFmt w:val="decimal"/>
      <w:lvlText w:val="%7."/>
      <w:lvlJc w:val="left"/>
      <w:pPr>
        <w:ind w:left="5165" w:hanging="360"/>
      </w:pPr>
    </w:lvl>
    <w:lvl w:ilvl="7" w:tplc="0C090019" w:tentative="1">
      <w:start w:val="1"/>
      <w:numFmt w:val="lowerLetter"/>
      <w:lvlText w:val="%8."/>
      <w:lvlJc w:val="left"/>
      <w:pPr>
        <w:ind w:left="5885" w:hanging="360"/>
      </w:pPr>
    </w:lvl>
    <w:lvl w:ilvl="8" w:tplc="0C09001B" w:tentative="1">
      <w:start w:val="1"/>
      <w:numFmt w:val="lowerRoman"/>
      <w:lvlText w:val="%9."/>
      <w:lvlJc w:val="right"/>
      <w:pPr>
        <w:ind w:left="6605" w:hanging="180"/>
      </w:pPr>
    </w:lvl>
  </w:abstractNum>
  <w:abstractNum w:abstractNumId="2">
    <w:nsid w:val="0F636E05"/>
    <w:multiLevelType w:val="hybridMultilevel"/>
    <w:tmpl w:val="264C964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74575BD"/>
    <w:multiLevelType w:val="hybridMultilevel"/>
    <w:tmpl w:val="520C21E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0CA6161"/>
    <w:multiLevelType w:val="multilevel"/>
    <w:tmpl w:val="FFA88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338E09A5"/>
    <w:multiLevelType w:val="multilevel"/>
    <w:tmpl w:val="44E695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43751AD0"/>
    <w:multiLevelType w:val="hybridMultilevel"/>
    <w:tmpl w:val="3CD89D3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36049A7"/>
    <w:multiLevelType w:val="hybridMultilevel"/>
    <w:tmpl w:val="C4187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6DE3A55"/>
    <w:multiLevelType w:val="multilevel"/>
    <w:tmpl w:val="2322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D0F583A"/>
    <w:multiLevelType w:val="multilevel"/>
    <w:tmpl w:val="EAD226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70F66C3D"/>
    <w:multiLevelType w:val="multilevel"/>
    <w:tmpl w:val="401CC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9"/>
  </w:num>
  <w:num w:numId="4">
    <w:abstractNumId w:val="8"/>
  </w:num>
  <w:num w:numId="5">
    <w:abstractNumId w:val="10"/>
  </w:num>
  <w:num w:numId="6">
    <w:abstractNumId w:val="7"/>
  </w:num>
  <w:num w:numId="7">
    <w:abstractNumId w:val="6"/>
  </w:num>
  <w:num w:numId="8">
    <w:abstractNumId w:val="1"/>
  </w:num>
  <w:num w:numId="9">
    <w:abstractNumId w:val="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042"/>
    <w:rsid w:val="000269B1"/>
    <w:rsid w:val="00026B94"/>
    <w:rsid w:val="0004446C"/>
    <w:rsid w:val="000761F6"/>
    <w:rsid w:val="0009357F"/>
    <w:rsid w:val="000B2815"/>
    <w:rsid w:val="000B4F25"/>
    <w:rsid w:val="000D09AE"/>
    <w:rsid w:val="00117D3B"/>
    <w:rsid w:val="00151F23"/>
    <w:rsid w:val="001E063F"/>
    <w:rsid w:val="002005AA"/>
    <w:rsid w:val="00255042"/>
    <w:rsid w:val="00311F34"/>
    <w:rsid w:val="00324A42"/>
    <w:rsid w:val="003558A2"/>
    <w:rsid w:val="003B2406"/>
    <w:rsid w:val="003F5DAF"/>
    <w:rsid w:val="00431F24"/>
    <w:rsid w:val="00434C7F"/>
    <w:rsid w:val="00463AAA"/>
    <w:rsid w:val="004A4036"/>
    <w:rsid w:val="004F5F82"/>
    <w:rsid w:val="00505357"/>
    <w:rsid w:val="0052368C"/>
    <w:rsid w:val="00524B0D"/>
    <w:rsid w:val="0055374D"/>
    <w:rsid w:val="00562DFD"/>
    <w:rsid w:val="005C3C5C"/>
    <w:rsid w:val="005D010F"/>
    <w:rsid w:val="005D5AF3"/>
    <w:rsid w:val="005E0DCF"/>
    <w:rsid w:val="005E18CD"/>
    <w:rsid w:val="00644B60"/>
    <w:rsid w:val="00682E56"/>
    <w:rsid w:val="006956AF"/>
    <w:rsid w:val="00761568"/>
    <w:rsid w:val="00797112"/>
    <w:rsid w:val="007A5960"/>
    <w:rsid w:val="007B471C"/>
    <w:rsid w:val="008A23B7"/>
    <w:rsid w:val="008B66FE"/>
    <w:rsid w:val="008F008E"/>
    <w:rsid w:val="008F6063"/>
    <w:rsid w:val="009231A2"/>
    <w:rsid w:val="00932CAE"/>
    <w:rsid w:val="00940B36"/>
    <w:rsid w:val="00972413"/>
    <w:rsid w:val="00974A30"/>
    <w:rsid w:val="009B73A7"/>
    <w:rsid w:val="009C5995"/>
    <w:rsid w:val="00A92E63"/>
    <w:rsid w:val="00AB75EA"/>
    <w:rsid w:val="00AD4428"/>
    <w:rsid w:val="00AE4AB4"/>
    <w:rsid w:val="00AF125E"/>
    <w:rsid w:val="00B46383"/>
    <w:rsid w:val="00BE371C"/>
    <w:rsid w:val="00C15241"/>
    <w:rsid w:val="00C87C9F"/>
    <w:rsid w:val="00CE5DE5"/>
    <w:rsid w:val="00E03E45"/>
    <w:rsid w:val="00E04BD1"/>
    <w:rsid w:val="00E11B2C"/>
    <w:rsid w:val="00E54990"/>
    <w:rsid w:val="00E57BED"/>
    <w:rsid w:val="00EE2D4D"/>
    <w:rsid w:val="00F53164"/>
    <w:rsid w:val="00F54145"/>
    <w:rsid w:val="00F61DDE"/>
    <w:rsid w:val="00F61E65"/>
    <w:rsid w:val="00F827D2"/>
    <w:rsid w:val="00FB5418"/>
    <w:rsid w:val="00FB5E5B"/>
    <w:rsid w:val="00FD34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A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36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255042"/>
    <w:pPr>
      <w:keepNext/>
      <w:spacing w:before="200"/>
      <w:outlineLvl w:val="1"/>
    </w:pPr>
    <w:rPr>
      <w:rFonts w:ascii="Cambria" w:hAnsi="Cambria" w:cs="Times New Roman"/>
      <w:b/>
      <w:bCs/>
      <w:color w:val="4F81BD"/>
      <w:sz w:val="26"/>
      <w:szCs w:val="26"/>
      <w:lang w:eastAsia="en-AU"/>
    </w:rPr>
  </w:style>
  <w:style w:type="paragraph" w:styleId="Heading3">
    <w:name w:val="heading 3"/>
    <w:basedOn w:val="Normal"/>
    <w:next w:val="Normal"/>
    <w:link w:val="Heading3Char"/>
    <w:uiPriority w:val="9"/>
    <w:unhideWhenUsed/>
    <w:qFormat/>
    <w:rsid w:val="00974A3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unhideWhenUsed/>
    <w:qFormat/>
    <w:rsid w:val="00255042"/>
    <w:pPr>
      <w:spacing w:before="100" w:beforeAutospacing="1" w:after="150"/>
      <w:outlineLvl w:val="3"/>
    </w:pPr>
    <w:rPr>
      <w:rFonts w:ascii="Times New Roman" w:hAnsi="Times New Roman" w:cs="Times New Roman"/>
      <w:b/>
      <w:bCs/>
      <w:sz w:val="21"/>
      <w:szCs w:val="2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5042"/>
    <w:rPr>
      <w:rFonts w:ascii="Cambria" w:hAnsi="Cambria" w:cs="Times New Roman"/>
      <w:b/>
      <w:bCs/>
      <w:color w:val="4F81BD"/>
      <w:sz w:val="26"/>
      <w:szCs w:val="26"/>
      <w:lang w:eastAsia="en-AU"/>
    </w:rPr>
  </w:style>
  <w:style w:type="character" w:customStyle="1" w:styleId="Heading4Char">
    <w:name w:val="Heading 4 Char"/>
    <w:basedOn w:val="DefaultParagraphFont"/>
    <w:link w:val="Heading4"/>
    <w:uiPriority w:val="9"/>
    <w:rsid w:val="00255042"/>
    <w:rPr>
      <w:rFonts w:ascii="Times New Roman" w:hAnsi="Times New Roman" w:cs="Times New Roman"/>
      <w:b/>
      <w:bCs/>
      <w:sz w:val="21"/>
      <w:szCs w:val="21"/>
      <w:lang w:eastAsia="en-AU"/>
    </w:rPr>
  </w:style>
  <w:style w:type="character" w:styleId="Hyperlink">
    <w:name w:val="Hyperlink"/>
    <w:basedOn w:val="DefaultParagraphFont"/>
    <w:uiPriority w:val="99"/>
    <w:unhideWhenUsed/>
    <w:rsid w:val="00255042"/>
    <w:rPr>
      <w:color w:val="0000FF"/>
      <w:u w:val="single"/>
    </w:rPr>
  </w:style>
  <w:style w:type="character" w:styleId="Strong">
    <w:name w:val="Strong"/>
    <w:basedOn w:val="DefaultParagraphFont"/>
    <w:uiPriority w:val="22"/>
    <w:qFormat/>
    <w:rsid w:val="00255042"/>
    <w:rPr>
      <w:b/>
      <w:bCs/>
      <w:i w:val="0"/>
      <w:iCs w:val="0"/>
    </w:rPr>
  </w:style>
  <w:style w:type="paragraph" w:styleId="BalloonText">
    <w:name w:val="Balloon Text"/>
    <w:basedOn w:val="Normal"/>
    <w:link w:val="BalloonTextChar"/>
    <w:uiPriority w:val="99"/>
    <w:semiHidden/>
    <w:unhideWhenUsed/>
    <w:rsid w:val="00255042"/>
    <w:rPr>
      <w:rFonts w:ascii="Tahoma" w:hAnsi="Tahoma" w:cs="Tahoma"/>
      <w:sz w:val="16"/>
      <w:szCs w:val="16"/>
    </w:rPr>
  </w:style>
  <w:style w:type="character" w:customStyle="1" w:styleId="BalloonTextChar">
    <w:name w:val="Balloon Text Char"/>
    <w:basedOn w:val="DefaultParagraphFont"/>
    <w:link w:val="BalloonText"/>
    <w:uiPriority w:val="99"/>
    <w:semiHidden/>
    <w:rsid w:val="00255042"/>
    <w:rPr>
      <w:rFonts w:ascii="Tahoma" w:hAnsi="Tahoma" w:cs="Tahoma"/>
      <w:sz w:val="16"/>
      <w:szCs w:val="16"/>
    </w:rPr>
  </w:style>
  <w:style w:type="character" w:styleId="FollowedHyperlink">
    <w:name w:val="FollowedHyperlink"/>
    <w:basedOn w:val="DefaultParagraphFont"/>
    <w:uiPriority w:val="99"/>
    <w:semiHidden/>
    <w:unhideWhenUsed/>
    <w:rsid w:val="00F53164"/>
    <w:rPr>
      <w:color w:val="800080" w:themeColor="followedHyperlink"/>
      <w:u w:val="single"/>
    </w:rPr>
  </w:style>
  <w:style w:type="character" w:customStyle="1" w:styleId="Heading1Char">
    <w:name w:val="Heading 1 Char"/>
    <w:basedOn w:val="DefaultParagraphFont"/>
    <w:link w:val="Heading1"/>
    <w:uiPriority w:val="9"/>
    <w:rsid w:val="0052368C"/>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151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04BD1"/>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E04BD1"/>
    <w:rPr>
      <w:i/>
      <w:iCs/>
    </w:rPr>
  </w:style>
  <w:style w:type="paragraph" w:styleId="ListParagraph">
    <w:name w:val="List Paragraph"/>
    <w:aliases w:val="Bullet List"/>
    <w:basedOn w:val="Normal"/>
    <w:link w:val="ListParagraphChar"/>
    <w:uiPriority w:val="34"/>
    <w:qFormat/>
    <w:rsid w:val="0004446C"/>
    <w:pPr>
      <w:ind w:left="720"/>
      <w:contextualSpacing/>
    </w:pPr>
  </w:style>
  <w:style w:type="paragraph" w:customStyle="1" w:styleId="Caption">
    <w:name w:val="_Caption"/>
    <w:qFormat/>
    <w:rsid w:val="00F61E65"/>
    <w:pPr>
      <w:spacing w:before="120" w:after="120" w:line="170" w:lineRule="atLeast"/>
    </w:pPr>
    <w:rPr>
      <w:rFonts w:ascii="Calibri" w:eastAsia="Times New Roman" w:hAnsi="Calibri" w:cs="Arial"/>
      <w:b/>
      <w:color w:val="404040"/>
      <w:sz w:val="20"/>
      <w:szCs w:val="14"/>
    </w:rPr>
  </w:style>
  <w:style w:type="character" w:customStyle="1" w:styleId="ListParagraphChar">
    <w:name w:val="List Paragraph Char"/>
    <w:aliases w:val="Bullet List Char"/>
    <w:link w:val="ListParagraph"/>
    <w:uiPriority w:val="34"/>
    <w:rsid w:val="00026B94"/>
  </w:style>
  <w:style w:type="paragraph" w:styleId="Header">
    <w:name w:val="header"/>
    <w:basedOn w:val="Normal"/>
    <w:link w:val="HeaderChar"/>
    <w:uiPriority w:val="99"/>
    <w:unhideWhenUsed/>
    <w:rsid w:val="00932CAE"/>
    <w:pPr>
      <w:tabs>
        <w:tab w:val="center" w:pos="4513"/>
        <w:tab w:val="right" w:pos="9026"/>
      </w:tabs>
    </w:pPr>
  </w:style>
  <w:style w:type="character" w:customStyle="1" w:styleId="HeaderChar">
    <w:name w:val="Header Char"/>
    <w:basedOn w:val="DefaultParagraphFont"/>
    <w:link w:val="Header"/>
    <w:uiPriority w:val="99"/>
    <w:rsid w:val="00932CAE"/>
  </w:style>
  <w:style w:type="paragraph" w:styleId="Footer">
    <w:name w:val="footer"/>
    <w:basedOn w:val="Normal"/>
    <w:link w:val="FooterChar"/>
    <w:uiPriority w:val="99"/>
    <w:unhideWhenUsed/>
    <w:rsid w:val="00932CAE"/>
    <w:pPr>
      <w:tabs>
        <w:tab w:val="center" w:pos="4513"/>
        <w:tab w:val="right" w:pos="9026"/>
      </w:tabs>
    </w:pPr>
  </w:style>
  <w:style w:type="character" w:customStyle="1" w:styleId="FooterChar">
    <w:name w:val="Footer Char"/>
    <w:basedOn w:val="DefaultParagraphFont"/>
    <w:link w:val="Footer"/>
    <w:uiPriority w:val="99"/>
    <w:rsid w:val="00932CAE"/>
  </w:style>
  <w:style w:type="character" w:customStyle="1" w:styleId="Heading3Char">
    <w:name w:val="Heading 3 Char"/>
    <w:basedOn w:val="DefaultParagraphFont"/>
    <w:link w:val="Heading3"/>
    <w:uiPriority w:val="9"/>
    <w:rsid w:val="00974A30"/>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36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255042"/>
    <w:pPr>
      <w:keepNext/>
      <w:spacing w:before="200"/>
      <w:outlineLvl w:val="1"/>
    </w:pPr>
    <w:rPr>
      <w:rFonts w:ascii="Cambria" w:hAnsi="Cambria" w:cs="Times New Roman"/>
      <w:b/>
      <w:bCs/>
      <w:color w:val="4F81BD"/>
      <w:sz w:val="26"/>
      <w:szCs w:val="26"/>
      <w:lang w:eastAsia="en-AU"/>
    </w:rPr>
  </w:style>
  <w:style w:type="paragraph" w:styleId="Heading3">
    <w:name w:val="heading 3"/>
    <w:basedOn w:val="Normal"/>
    <w:next w:val="Normal"/>
    <w:link w:val="Heading3Char"/>
    <w:uiPriority w:val="9"/>
    <w:unhideWhenUsed/>
    <w:qFormat/>
    <w:rsid w:val="00974A3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unhideWhenUsed/>
    <w:qFormat/>
    <w:rsid w:val="00255042"/>
    <w:pPr>
      <w:spacing w:before="100" w:beforeAutospacing="1" w:after="150"/>
      <w:outlineLvl w:val="3"/>
    </w:pPr>
    <w:rPr>
      <w:rFonts w:ascii="Times New Roman" w:hAnsi="Times New Roman" w:cs="Times New Roman"/>
      <w:b/>
      <w:bCs/>
      <w:sz w:val="21"/>
      <w:szCs w:val="2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5042"/>
    <w:rPr>
      <w:rFonts w:ascii="Cambria" w:hAnsi="Cambria" w:cs="Times New Roman"/>
      <w:b/>
      <w:bCs/>
      <w:color w:val="4F81BD"/>
      <w:sz w:val="26"/>
      <w:szCs w:val="26"/>
      <w:lang w:eastAsia="en-AU"/>
    </w:rPr>
  </w:style>
  <w:style w:type="character" w:customStyle="1" w:styleId="Heading4Char">
    <w:name w:val="Heading 4 Char"/>
    <w:basedOn w:val="DefaultParagraphFont"/>
    <w:link w:val="Heading4"/>
    <w:uiPriority w:val="9"/>
    <w:rsid w:val="00255042"/>
    <w:rPr>
      <w:rFonts w:ascii="Times New Roman" w:hAnsi="Times New Roman" w:cs="Times New Roman"/>
      <w:b/>
      <w:bCs/>
      <w:sz w:val="21"/>
      <w:szCs w:val="21"/>
      <w:lang w:eastAsia="en-AU"/>
    </w:rPr>
  </w:style>
  <w:style w:type="character" w:styleId="Hyperlink">
    <w:name w:val="Hyperlink"/>
    <w:basedOn w:val="DefaultParagraphFont"/>
    <w:uiPriority w:val="99"/>
    <w:unhideWhenUsed/>
    <w:rsid w:val="00255042"/>
    <w:rPr>
      <w:color w:val="0000FF"/>
      <w:u w:val="single"/>
    </w:rPr>
  </w:style>
  <w:style w:type="character" w:styleId="Strong">
    <w:name w:val="Strong"/>
    <w:basedOn w:val="DefaultParagraphFont"/>
    <w:uiPriority w:val="22"/>
    <w:qFormat/>
    <w:rsid w:val="00255042"/>
    <w:rPr>
      <w:b/>
      <w:bCs/>
      <w:i w:val="0"/>
      <w:iCs w:val="0"/>
    </w:rPr>
  </w:style>
  <w:style w:type="paragraph" w:styleId="BalloonText">
    <w:name w:val="Balloon Text"/>
    <w:basedOn w:val="Normal"/>
    <w:link w:val="BalloonTextChar"/>
    <w:uiPriority w:val="99"/>
    <w:semiHidden/>
    <w:unhideWhenUsed/>
    <w:rsid w:val="00255042"/>
    <w:rPr>
      <w:rFonts w:ascii="Tahoma" w:hAnsi="Tahoma" w:cs="Tahoma"/>
      <w:sz w:val="16"/>
      <w:szCs w:val="16"/>
    </w:rPr>
  </w:style>
  <w:style w:type="character" w:customStyle="1" w:styleId="BalloonTextChar">
    <w:name w:val="Balloon Text Char"/>
    <w:basedOn w:val="DefaultParagraphFont"/>
    <w:link w:val="BalloonText"/>
    <w:uiPriority w:val="99"/>
    <w:semiHidden/>
    <w:rsid w:val="00255042"/>
    <w:rPr>
      <w:rFonts w:ascii="Tahoma" w:hAnsi="Tahoma" w:cs="Tahoma"/>
      <w:sz w:val="16"/>
      <w:szCs w:val="16"/>
    </w:rPr>
  </w:style>
  <w:style w:type="character" w:styleId="FollowedHyperlink">
    <w:name w:val="FollowedHyperlink"/>
    <w:basedOn w:val="DefaultParagraphFont"/>
    <w:uiPriority w:val="99"/>
    <w:semiHidden/>
    <w:unhideWhenUsed/>
    <w:rsid w:val="00F53164"/>
    <w:rPr>
      <w:color w:val="800080" w:themeColor="followedHyperlink"/>
      <w:u w:val="single"/>
    </w:rPr>
  </w:style>
  <w:style w:type="character" w:customStyle="1" w:styleId="Heading1Char">
    <w:name w:val="Heading 1 Char"/>
    <w:basedOn w:val="DefaultParagraphFont"/>
    <w:link w:val="Heading1"/>
    <w:uiPriority w:val="9"/>
    <w:rsid w:val="0052368C"/>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151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04BD1"/>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E04BD1"/>
    <w:rPr>
      <w:i/>
      <w:iCs/>
    </w:rPr>
  </w:style>
  <w:style w:type="paragraph" w:styleId="ListParagraph">
    <w:name w:val="List Paragraph"/>
    <w:aliases w:val="Bullet List"/>
    <w:basedOn w:val="Normal"/>
    <w:link w:val="ListParagraphChar"/>
    <w:uiPriority w:val="34"/>
    <w:qFormat/>
    <w:rsid w:val="0004446C"/>
    <w:pPr>
      <w:ind w:left="720"/>
      <w:contextualSpacing/>
    </w:pPr>
  </w:style>
  <w:style w:type="paragraph" w:customStyle="1" w:styleId="Caption">
    <w:name w:val="_Caption"/>
    <w:qFormat/>
    <w:rsid w:val="00F61E65"/>
    <w:pPr>
      <w:spacing w:before="120" w:after="120" w:line="170" w:lineRule="atLeast"/>
    </w:pPr>
    <w:rPr>
      <w:rFonts w:ascii="Calibri" w:eastAsia="Times New Roman" w:hAnsi="Calibri" w:cs="Arial"/>
      <w:b/>
      <w:color w:val="404040"/>
      <w:sz w:val="20"/>
      <w:szCs w:val="14"/>
    </w:rPr>
  </w:style>
  <w:style w:type="character" w:customStyle="1" w:styleId="ListParagraphChar">
    <w:name w:val="List Paragraph Char"/>
    <w:aliases w:val="Bullet List Char"/>
    <w:link w:val="ListParagraph"/>
    <w:uiPriority w:val="34"/>
    <w:rsid w:val="00026B94"/>
  </w:style>
  <w:style w:type="paragraph" w:styleId="Header">
    <w:name w:val="header"/>
    <w:basedOn w:val="Normal"/>
    <w:link w:val="HeaderChar"/>
    <w:uiPriority w:val="99"/>
    <w:unhideWhenUsed/>
    <w:rsid w:val="00932CAE"/>
    <w:pPr>
      <w:tabs>
        <w:tab w:val="center" w:pos="4513"/>
        <w:tab w:val="right" w:pos="9026"/>
      </w:tabs>
    </w:pPr>
  </w:style>
  <w:style w:type="character" w:customStyle="1" w:styleId="HeaderChar">
    <w:name w:val="Header Char"/>
    <w:basedOn w:val="DefaultParagraphFont"/>
    <w:link w:val="Header"/>
    <w:uiPriority w:val="99"/>
    <w:rsid w:val="00932CAE"/>
  </w:style>
  <w:style w:type="paragraph" w:styleId="Footer">
    <w:name w:val="footer"/>
    <w:basedOn w:val="Normal"/>
    <w:link w:val="FooterChar"/>
    <w:uiPriority w:val="99"/>
    <w:unhideWhenUsed/>
    <w:rsid w:val="00932CAE"/>
    <w:pPr>
      <w:tabs>
        <w:tab w:val="center" w:pos="4513"/>
        <w:tab w:val="right" w:pos="9026"/>
      </w:tabs>
    </w:pPr>
  </w:style>
  <w:style w:type="character" w:customStyle="1" w:styleId="FooterChar">
    <w:name w:val="Footer Char"/>
    <w:basedOn w:val="DefaultParagraphFont"/>
    <w:link w:val="Footer"/>
    <w:uiPriority w:val="99"/>
    <w:rsid w:val="00932CAE"/>
  </w:style>
  <w:style w:type="character" w:customStyle="1" w:styleId="Heading3Char">
    <w:name w:val="Heading 3 Char"/>
    <w:basedOn w:val="DefaultParagraphFont"/>
    <w:link w:val="Heading3"/>
    <w:uiPriority w:val="9"/>
    <w:rsid w:val="00974A3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7236">
      <w:bodyDiv w:val="1"/>
      <w:marLeft w:val="0"/>
      <w:marRight w:val="0"/>
      <w:marTop w:val="0"/>
      <w:marBottom w:val="0"/>
      <w:divBdr>
        <w:top w:val="none" w:sz="0" w:space="0" w:color="auto"/>
        <w:left w:val="none" w:sz="0" w:space="0" w:color="auto"/>
        <w:bottom w:val="none" w:sz="0" w:space="0" w:color="auto"/>
        <w:right w:val="none" w:sz="0" w:space="0" w:color="auto"/>
      </w:divBdr>
      <w:divsChild>
        <w:div w:id="996809870">
          <w:marLeft w:val="0"/>
          <w:marRight w:val="0"/>
          <w:marTop w:val="0"/>
          <w:marBottom w:val="0"/>
          <w:divBdr>
            <w:top w:val="none" w:sz="0" w:space="0" w:color="auto"/>
            <w:left w:val="none" w:sz="0" w:space="0" w:color="auto"/>
            <w:bottom w:val="none" w:sz="0" w:space="0" w:color="auto"/>
            <w:right w:val="none" w:sz="0" w:space="0" w:color="auto"/>
          </w:divBdr>
          <w:divsChild>
            <w:div w:id="2136635922">
              <w:marLeft w:val="0"/>
              <w:marRight w:val="0"/>
              <w:marTop w:val="0"/>
              <w:marBottom w:val="0"/>
              <w:divBdr>
                <w:top w:val="none" w:sz="0" w:space="0" w:color="auto"/>
                <w:left w:val="none" w:sz="0" w:space="0" w:color="auto"/>
                <w:bottom w:val="none" w:sz="0" w:space="0" w:color="auto"/>
                <w:right w:val="none" w:sz="0" w:space="0" w:color="auto"/>
              </w:divBdr>
              <w:divsChild>
                <w:div w:id="1084570371">
                  <w:marLeft w:val="0"/>
                  <w:marRight w:val="0"/>
                  <w:marTop w:val="0"/>
                  <w:marBottom w:val="0"/>
                  <w:divBdr>
                    <w:top w:val="none" w:sz="0" w:space="0" w:color="auto"/>
                    <w:left w:val="none" w:sz="0" w:space="0" w:color="auto"/>
                    <w:bottom w:val="none" w:sz="0" w:space="0" w:color="auto"/>
                    <w:right w:val="none" w:sz="0" w:space="0" w:color="auto"/>
                  </w:divBdr>
                  <w:divsChild>
                    <w:div w:id="324743977">
                      <w:marLeft w:val="0"/>
                      <w:marRight w:val="0"/>
                      <w:marTop w:val="0"/>
                      <w:marBottom w:val="0"/>
                      <w:divBdr>
                        <w:top w:val="none" w:sz="0" w:space="0" w:color="auto"/>
                        <w:left w:val="none" w:sz="0" w:space="0" w:color="auto"/>
                        <w:bottom w:val="none" w:sz="0" w:space="0" w:color="auto"/>
                        <w:right w:val="none" w:sz="0" w:space="0" w:color="auto"/>
                      </w:divBdr>
                      <w:divsChild>
                        <w:div w:id="269511131">
                          <w:marLeft w:val="0"/>
                          <w:marRight w:val="0"/>
                          <w:marTop w:val="0"/>
                          <w:marBottom w:val="0"/>
                          <w:divBdr>
                            <w:top w:val="none" w:sz="0" w:space="0" w:color="auto"/>
                            <w:left w:val="none" w:sz="0" w:space="0" w:color="auto"/>
                            <w:bottom w:val="none" w:sz="0" w:space="0" w:color="auto"/>
                            <w:right w:val="none" w:sz="0" w:space="0" w:color="auto"/>
                          </w:divBdr>
                          <w:divsChild>
                            <w:div w:id="805589168">
                              <w:marLeft w:val="0"/>
                              <w:marRight w:val="0"/>
                              <w:marTop w:val="0"/>
                              <w:marBottom w:val="0"/>
                              <w:divBdr>
                                <w:top w:val="none" w:sz="0" w:space="0" w:color="auto"/>
                                <w:left w:val="none" w:sz="0" w:space="0" w:color="auto"/>
                                <w:bottom w:val="none" w:sz="0" w:space="0" w:color="auto"/>
                                <w:right w:val="none" w:sz="0" w:space="0" w:color="auto"/>
                              </w:divBdr>
                              <w:divsChild>
                                <w:div w:id="763064866">
                                  <w:marLeft w:val="0"/>
                                  <w:marRight w:val="0"/>
                                  <w:marTop w:val="0"/>
                                  <w:marBottom w:val="0"/>
                                  <w:divBdr>
                                    <w:top w:val="none" w:sz="0" w:space="0" w:color="auto"/>
                                    <w:left w:val="none" w:sz="0" w:space="0" w:color="auto"/>
                                    <w:bottom w:val="none" w:sz="0" w:space="0" w:color="auto"/>
                                    <w:right w:val="none" w:sz="0" w:space="0" w:color="auto"/>
                                  </w:divBdr>
                                  <w:divsChild>
                                    <w:div w:id="715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887123">
      <w:bodyDiv w:val="1"/>
      <w:marLeft w:val="0"/>
      <w:marRight w:val="0"/>
      <w:marTop w:val="0"/>
      <w:marBottom w:val="0"/>
      <w:divBdr>
        <w:top w:val="none" w:sz="0" w:space="0" w:color="auto"/>
        <w:left w:val="none" w:sz="0" w:space="0" w:color="auto"/>
        <w:bottom w:val="none" w:sz="0" w:space="0" w:color="auto"/>
        <w:right w:val="none" w:sz="0" w:space="0" w:color="auto"/>
      </w:divBdr>
    </w:div>
    <w:div w:id="563683289">
      <w:bodyDiv w:val="1"/>
      <w:marLeft w:val="0"/>
      <w:marRight w:val="0"/>
      <w:marTop w:val="0"/>
      <w:marBottom w:val="0"/>
      <w:divBdr>
        <w:top w:val="none" w:sz="0" w:space="0" w:color="auto"/>
        <w:left w:val="none" w:sz="0" w:space="0" w:color="auto"/>
        <w:bottom w:val="none" w:sz="0" w:space="0" w:color="auto"/>
        <w:right w:val="none" w:sz="0" w:space="0" w:color="auto"/>
      </w:divBdr>
    </w:div>
    <w:div w:id="968122735">
      <w:bodyDiv w:val="1"/>
      <w:marLeft w:val="0"/>
      <w:marRight w:val="0"/>
      <w:marTop w:val="0"/>
      <w:marBottom w:val="0"/>
      <w:divBdr>
        <w:top w:val="none" w:sz="0" w:space="0" w:color="auto"/>
        <w:left w:val="none" w:sz="0" w:space="0" w:color="auto"/>
        <w:bottom w:val="none" w:sz="0" w:space="0" w:color="auto"/>
        <w:right w:val="none" w:sz="0" w:space="0" w:color="auto"/>
      </w:divBdr>
    </w:div>
    <w:div w:id="1042638032">
      <w:bodyDiv w:val="1"/>
      <w:marLeft w:val="0"/>
      <w:marRight w:val="0"/>
      <w:marTop w:val="0"/>
      <w:marBottom w:val="0"/>
      <w:divBdr>
        <w:top w:val="none" w:sz="0" w:space="0" w:color="auto"/>
        <w:left w:val="none" w:sz="0" w:space="0" w:color="auto"/>
        <w:bottom w:val="none" w:sz="0" w:space="0" w:color="auto"/>
        <w:right w:val="none" w:sz="0" w:space="0" w:color="auto"/>
      </w:divBdr>
    </w:div>
    <w:div w:id="1044720807">
      <w:bodyDiv w:val="1"/>
      <w:marLeft w:val="0"/>
      <w:marRight w:val="0"/>
      <w:marTop w:val="0"/>
      <w:marBottom w:val="0"/>
      <w:divBdr>
        <w:top w:val="none" w:sz="0" w:space="0" w:color="auto"/>
        <w:left w:val="none" w:sz="0" w:space="0" w:color="auto"/>
        <w:bottom w:val="none" w:sz="0" w:space="0" w:color="auto"/>
        <w:right w:val="none" w:sz="0" w:space="0" w:color="auto"/>
      </w:divBdr>
    </w:div>
    <w:div w:id="1120996184">
      <w:bodyDiv w:val="1"/>
      <w:marLeft w:val="0"/>
      <w:marRight w:val="0"/>
      <w:marTop w:val="0"/>
      <w:marBottom w:val="0"/>
      <w:divBdr>
        <w:top w:val="none" w:sz="0" w:space="0" w:color="auto"/>
        <w:left w:val="none" w:sz="0" w:space="0" w:color="auto"/>
        <w:bottom w:val="none" w:sz="0" w:space="0" w:color="auto"/>
        <w:right w:val="none" w:sz="0" w:space="0" w:color="auto"/>
      </w:divBdr>
    </w:div>
    <w:div w:id="1392460309">
      <w:bodyDiv w:val="1"/>
      <w:marLeft w:val="0"/>
      <w:marRight w:val="0"/>
      <w:marTop w:val="0"/>
      <w:marBottom w:val="0"/>
      <w:divBdr>
        <w:top w:val="none" w:sz="0" w:space="0" w:color="auto"/>
        <w:left w:val="none" w:sz="0" w:space="0" w:color="auto"/>
        <w:bottom w:val="none" w:sz="0" w:space="0" w:color="auto"/>
        <w:right w:val="none" w:sz="0" w:space="0" w:color="auto"/>
      </w:divBdr>
      <w:divsChild>
        <w:div w:id="1977222487">
          <w:marLeft w:val="0"/>
          <w:marRight w:val="0"/>
          <w:marTop w:val="0"/>
          <w:marBottom w:val="0"/>
          <w:divBdr>
            <w:top w:val="none" w:sz="0" w:space="0" w:color="auto"/>
            <w:left w:val="none" w:sz="0" w:space="0" w:color="auto"/>
            <w:bottom w:val="none" w:sz="0" w:space="0" w:color="auto"/>
            <w:right w:val="none" w:sz="0" w:space="0" w:color="auto"/>
          </w:divBdr>
          <w:divsChild>
            <w:div w:id="1174883426">
              <w:marLeft w:val="0"/>
              <w:marRight w:val="0"/>
              <w:marTop w:val="0"/>
              <w:marBottom w:val="0"/>
              <w:divBdr>
                <w:top w:val="none" w:sz="0" w:space="0" w:color="auto"/>
                <w:left w:val="none" w:sz="0" w:space="0" w:color="auto"/>
                <w:bottom w:val="none" w:sz="0" w:space="0" w:color="auto"/>
                <w:right w:val="none" w:sz="0" w:space="0" w:color="auto"/>
              </w:divBdr>
              <w:divsChild>
                <w:div w:id="339048785">
                  <w:marLeft w:val="0"/>
                  <w:marRight w:val="0"/>
                  <w:marTop w:val="0"/>
                  <w:marBottom w:val="0"/>
                  <w:divBdr>
                    <w:top w:val="none" w:sz="0" w:space="0" w:color="auto"/>
                    <w:left w:val="none" w:sz="0" w:space="0" w:color="auto"/>
                    <w:bottom w:val="none" w:sz="0" w:space="0" w:color="auto"/>
                    <w:right w:val="none" w:sz="0" w:space="0" w:color="auto"/>
                  </w:divBdr>
                  <w:divsChild>
                    <w:div w:id="422841415">
                      <w:marLeft w:val="0"/>
                      <w:marRight w:val="0"/>
                      <w:marTop w:val="0"/>
                      <w:marBottom w:val="300"/>
                      <w:divBdr>
                        <w:top w:val="none" w:sz="0" w:space="0" w:color="auto"/>
                        <w:left w:val="none" w:sz="0" w:space="0" w:color="auto"/>
                        <w:bottom w:val="none" w:sz="0" w:space="0" w:color="auto"/>
                        <w:right w:val="none" w:sz="0" w:space="0" w:color="auto"/>
                      </w:divBdr>
                      <w:divsChild>
                        <w:div w:id="1690986964">
                          <w:marLeft w:val="0"/>
                          <w:marRight w:val="0"/>
                          <w:marTop w:val="0"/>
                          <w:marBottom w:val="0"/>
                          <w:divBdr>
                            <w:top w:val="none" w:sz="0" w:space="0" w:color="auto"/>
                            <w:left w:val="none" w:sz="0" w:space="0" w:color="auto"/>
                            <w:bottom w:val="none" w:sz="0" w:space="0" w:color="auto"/>
                            <w:right w:val="none" w:sz="0" w:space="0" w:color="auto"/>
                          </w:divBdr>
                          <w:divsChild>
                            <w:div w:id="70039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61818">
      <w:bodyDiv w:val="1"/>
      <w:marLeft w:val="0"/>
      <w:marRight w:val="0"/>
      <w:marTop w:val="0"/>
      <w:marBottom w:val="0"/>
      <w:divBdr>
        <w:top w:val="none" w:sz="0" w:space="0" w:color="auto"/>
        <w:left w:val="none" w:sz="0" w:space="0" w:color="auto"/>
        <w:bottom w:val="none" w:sz="0" w:space="0" w:color="auto"/>
        <w:right w:val="none" w:sz="0" w:space="0" w:color="auto"/>
      </w:divBdr>
      <w:divsChild>
        <w:div w:id="768429657">
          <w:marLeft w:val="0"/>
          <w:marRight w:val="0"/>
          <w:marTop w:val="0"/>
          <w:marBottom w:val="0"/>
          <w:divBdr>
            <w:top w:val="none" w:sz="0" w:space="0" w:color="auto"/>
            <w:left w:val="none" w:sz="0" w:space="0" w:color="auto"/>
            <w:bottom w:val="none" w:sz="0" w:space="0" w:color="auto"/>
            <w:right w:val="none" w:sz="0" w:space="0" w:color="auto"/>
          </w:divBdr>
          <w:divsChild>
            <w:div w:id="361439105">
              <w:marLeft w:val="0"/>
              <w:marRight w:val="0"/>
              <w:marTop w:val="0"/>
              <w:marBottom w:val="0"/>
              <w:divBdr>
                <w:top w:val="none" w:sz="0" w:space="0" w:color="auto"/>
                <w:left w:val="none" w:sz="0" w:space="0" w:color="auto"/>
                <w:bottom w:val="none" w:sz="0" w:space="0" w:color="auto"/>
                <w:right w:val="none" w:sz="0" w:space="0" w:color="auto"/>
              </w:divBdr>
              <w:divsChild>
                <w:div w:id="233900093">
                  <w:marLeft w:val="0"/>
                  <w:marRight w:val="0"/>
                  <w:marTop w:val="0"/>
                  <w:marBottom w:val="0"/>
                  <w:divBdr>
                    <w:top w:val="none" w:sz="0" w:space="0" w:color="auto"/>
                    <w:left w:val="none" w:sz="0" w:space="0" w:color="auto"/>
                    <w:bottom w:val="none" w:sz="0" w:space="0" w:color="auto"/>
                    <w:right w:val="none" w:sz="0" w:space="0" w:color="auto"/>
                  </w:divBdr>
                  <w:divsChild>
                    <w:div w:id="572471343">
                      <w:marLeft w:val="0"/>
                      <w:marRight w:val="0"/>
                      <w:marTop w:val="0"/>
                      <w:marBottom w:val="0"/>
                      <w:divBdr>
                        <w:top w:val="none" w:sz="0" w:space="0" w:color="auto"/>
                        <w:left w:val="none" w:sz="0" w:space="0" w:color="auto"/>
                        <w:bottom w:val="none" w:sz="0" w:space="0" w:color="auto"/>
                        <w:right w:val="none" w:sz="0" w:space="0" w:color="auto"/>
                      </w:divBdr>
                      <w:divsChild>
                        <w:div w:id="1235432132">
                          <w:marLeft w:val="0"/>
                          <w:marRight w:val="0"/>
                          <w:marTop w:val="0"/>
                          <w:marBottom w:val="0"/>
                          <w:divBdr>
                            <w:top w:val="none" w:sz="0" w:space="0" w:color="auto"/>
                            <w:left w:val="none" w:sz="0" w:space="0" w:color="auto"/>
                            <w:bottom w:val="none" w:sz="0" w:space="0" w:color="auto"/>
                            <w:right w:val="none" w:sz="0" w:space="0" w:color="auto"/>
                          </w:divBdr>
                          <w:divsChild>
                            <w:div w:id="1854801152">
                              <w:marLeft w:val="0"/>
                              <w:marRight w:val="0"/>
                              <w:marTop w:val="0"/>
                              <w:marBottom w:val="0"/>
                              <w:divBdr>
                                <w:top w:val="none" w:sz="0" w:space="0" w:color="auto"/>
                                <w:left w:val="none" w:sz="0" w:space="0" w:color="auto"/>
                                <w:bottom w:val="none" w:sz="0" w:space="0" w:color="auto"/>
                                <w:right w:val="none" w:sz="0" w:space="0" w:color="auto"/>
                              </w:divBdr>
                              <w:divsChild>
                                <w:div w:id="52823116">
                                  <w:marLeft w:val="0"/>
                                  <w:marRight w:val="0"/>
                                  <w:marTop w:val="0"/>
                                  <w:marBottom w:val="0"/>
                                  <w:divBdr>
                                    <w:top w:val="none" w:sz="0" w:space="0" w:color="auto"/>
                                    <w:left w:val="none" w:sz="0" w:space="0" w:color="auto"/>
                                    <w:bottom w:val="none" w:sz="0" w:space="0" w:color="auto"/>
                                    <w:right w:val="none" w:sz="0" w:space="0" w:color="auto"/>
                                  </w:divBdr>
                                  <w:divsChild>
                                    <w:div w:id="6048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5121112">
      <w:bodyDiv w:val="1"/>
      <w:marLeft w:val="0"/>
      <w:marRight w:val="0"/>
      <w:marTop w:val="0"/>
      <w:marBottom w:val="0"/>
      <w:divBdr>
        <w:top w:val="none" w:sz="0" w:space="0" w:color="auto"/>
        <w:left w:val="none" w:sz="0" w:space="0" w:color="auto"/>
        <w:bottom w:val="none" w:sz="0" w:space="0" w:color="auto"/>
        <w:right w:val="none" w:sz="0" w:space="0" w:color="auto"/>
      </w:divBdr>
    </w:div>
    <w:div w:id="1867480880">
      <w:bodyDiv w:val="1"/>
      <w:marLeft w:val="0"/>
      <w:marRight w:val="0"/>
      <w:marTop w:val="0"/>
      <w:marBottom w:val="0"/>
      <w:divBdr>
        <w:top w:val="none" w:sz="0" w:space="0" w:color="auto"/>
        <w:left w:val="none" w:sz="0" w:space="0" w:color="auto"/>
        <w:bottom w:val="none" w:sz="0" w:space="0" w:color="auto"/>
        <w:right w:val="none" w:sz="0" w:space="0" w:color="auto"/>
      </w:divBdr>
    </w:div>
    <w:div w:id="213282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environment.vic.gov.au/__data/assets/pdf_file/0029/49286/2016-Sustainability-Fund-Priority-Statement.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parliament.vic.gov.au/images/stories/daily-hansard/Council_Feb-Jun_2010/Council_WAR_Extract_25_26_and_27_May_2010_from_Book_7.pdf" TargetMode="External"/><Relationship Id="rId2" Type="http://schemas.openxmlformats.org/officeDocument/2006/relationships/customXml" Target="../customXml/item2.xml"/><Relationship Id="rId16" Type="http://schemas.openxmlformats.org/officeDocument/2006/relationships/hyperlink" Target="https://www.parliament.vic.gov.au/images/stories/daily-hansard/Council_Feb-Jun_2010/Council_WAR_Extract_25_26_and_27_May_2010_from_Book_7.pdf" TargetMode="External"/><Relationship Id="rId20" Type="http://schemas.openxmlformats.org/officeDocument/2006/relationships/hyperlink" Target="https://www2.delwp.vic.gov.au/__data/assets/pdf_file/0023/4289/Annual-Report-2015-16.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23" Type="http://schemas.openxmlformats.org/officeDocument/2006/relationships/fontTable" Target="fontTable.xml"/><Relationship Id="rId15" Type="http://schemas.openxmlformats.org/officeDocument/2006/relationships/hyperlink" Target="http://www.theage.com.au/victoria/landfill-charges-to-rise-sharply-20100324-qwrv.html" TargetMode="External"/><Relationship Id="rId10" Type="http://schemas.openxmlformats.org/officeDocument/2006/relationships/settings" Target="settings.xml"/><Relationship Id="rId19" Type="http://schemas.openxmlformats.org/officeDocument/2006/relationships/hyperlink" Target="https://www.environment.vic.gov.au/__data/assets/pdf_file/0024/49290/Sustainability-Fund-Guidelines_FINAL-UPDATED.pdf" TargetMode="External"/><Relationship Id="rId22" Type="http://schemas.openxmlformats.org/officeDocument/2006/relationships/footer" Target="footer1.xml"/><Relationship Id="rId9" Type="http://schemas.microsoft.com/office/2007/relationships/stylesWithEffects" Target="stylesWithEffects.xml"/><Relationship Id="rId14" Type="http://schemas.openxmlformats.org/officeDocument/2006/relationships/hyperlink" Target="http://www.dtf.vic.gov.au/Victorias-Economy/Economic-policy-and-guidelines/Indexation-of-fees-and-penal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2999bd9-dba0-46e4-8521-1f182c80fbb9">
      <Value>177</Value>
    </TaxCatchAll>
    <AGLSSubjectTaxHTField1 xmlns="b2999bd9-dba0-46e4-8521-1f182c80fbb9" xsi:nil="true"/>
    <AGLSSubjectHTField0 xmlns="c9f238dd-bb73-4aef-a7a5-d644ad823e52">
      <Terms xmlns="http://schemas.microsoft.com/office/infopath/2007/PartnerControls">
        <TermInfo xmlns="http://schemas.microsoft.com/office/infopath/2007/PartnerControls">
          <TermName xmlns="http://schemas.microsoft.com/office/infopath/2007/PartnerControls">Landfill</TermName>
          <TermId xmlns="http://schemas.microsoft.com/office/infopath/2007/PartnerControls">c22cd51c-4e27-403c-9447-46f1c6566be9</TermId>
        </TermInfo>
      </Terms>
    </AGLSSubjectHTField0>
  </documentManagement>
</p:properties>
</file>

<file path=customXml/item4.xml><?xml version="1.0" encoding="utf-8"?>
<?mso-contentType ?>
<DocAve xmlns="http://www.AvePoint.com/sharepoint2007/v5/contenttype/list" CTID="0x010100801A03BAF923BB4A9A6902AB019B677B00DBE9BC3D870A144797856520ED9FBF44"/>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959F3BD2A74A534DBA9A2B980A899212" ma:contentTypeVersion="3" ma:contentTypeDescription="Create a new document." ma:contentTypeScope="" ma:versionID="c640ede844c1fbdc3f0f9e5989eb0c7b">
  <xsd:schema xmlns:xsd="http://www.w3.org/2001/XMLSchema" xmlns:xs="http://www.w3.org/2001/XMLSchema" xmlns:p="http://schemas.microsoft.com/office/2006/metadata/properties" xmlns:ns2="b2999bd9-dba0-46e4-8521-1f182c80fbb9" xmlns:ns4="c9f238dd-bb73-4aef-a7a5-d644ad823e52" targetNamespace="http://schemas.microsoft.com/office/2006/metadata/properties" ma:root="true" ma:fieldsID="9747bf499f99bff5671837b5e40fbb32" ns2:_="" ns4:_="">
    <xsd:import namespace="b2999bd9-dba0-46e4-8521-1f182c80fbb9"/>
    <xsd:import namespace="c9f238dd-bb73-4aef-a7a5-d644ad823e52"/>
    <xsd:element name="properties">
      <xsd:complexType>
        <xsd:sequence>
          <xsd:element name="documentManagement">
            <xsd:complexType>
              <xsd:all>
                <xsd:element ref="ns2:AGLSSubjectTaxHTField1" minOccurs="0"/>
                <xsd:element ref="ns4:AGLSSubjectHTField0"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99bd9-dba0-46e4-8521-1f182c80fbb9" elementFormDefault="qualified">
    <xsd:import namespace="http://schemas.microsoft.com/office/2006/documentManagement/types"/>
    <xsd:import namespace="http://schemas.microsoft.com/office/infopath/2007/PartnerControls"/>
    <xsd:element name="AGLSSubjectTaxHTField1" ma:index="8" nillable="true" ma:displayName="DC.Subject_1" ma:hidden="true" ma:internalName="AGLSSubjectTaxHTField1">
      <xsd:simpleType>
        <xsd:restriction base="dms:Note"/>
      </xsd:simpleType>
    </xsd:element>
    <xsd:element name="TaxCatchAll" ma:index="11" nillable="true" ma:displayName="Taxonomy Catch All Column" ma:description="" ma:hidden="true" ma:list="{ff9c2cd2-d0e6-477d-a921-5f7152752030}" ma:internalName="TaxCatchAll" ma:showField="CatchAllData" ma:web="b2999bd9-dba0-46e4-8521-1f182c80f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AGLSSubjectHTField0" ma:index="10" ma:taxonomy="true" ma:internalName="AGLSSubjectHTField0" ma:taxonomyFieldName="AGLSSubject" ma:displayName="DC.Subject" ma:default="" ma:fieldId="{d8fece8f-c1b1-4f04-a86c-25e52362e650}" ma:sspId="2283e515-f1ad-4c86-85fd-a7bc38926309" ma:termSetId="bd09e9e4-4fd3-4785-8f8f-05e1704e9b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138713-900E-4776-A174-06ECB57A101D}"/>
</file>

<file path=customXml/itemProps2.xml><?xml version="1.0" encoding="utf-8"?>
<ds:datastoreItem xmlns:ds="http://schemas.openxmlformats.org/officeDocument/2006/customXml" ds:itemID="{8A05BACB-6C7D-4D75-A524-C55CFF458CEC}"/>
</file>

<file path=customXml/itemProps3.xml><?xml version="1.0" encoding="utf-8"?>
<ds:datastoreItem xmlns:ds="http://schemas.openxmlformats.org/officeDocument/2006/customXml" ds:itemID="{189D3462-7364-4AE8-8EB2-6177446ABFA1}"/>
</file>

<file path=customXml/itemProps4.xml><?xml version="1.0" encoding="utf-8"?>
<ds:datastoreItem xmlns:ds="http://schemas.openxmlformats.org/officeDocument/2006/customXml" ds:itemID="{57B74F69-FD52-401F-83DC-3C817EBCA6CD}">
  <ds:schemaRefs>
    <ds:schemaRef ds:uri="http://www.AvePoint.com/sharepoint2007/v5/contenttype/list"/>
  </ds:schemaRefs>
</ds:datastoreItem>
</file>

<file path=customXml/itemProps5.xml><?xml version="1.0" encoding="utf-8"?>
<ds:datastoreItem xmlns:ds="http://schemas.openxmlformats.org/officeDocument/2006/customXml" ds:itemID="{E1138713-900E-4776-A174-06ECB57A101D}">
  <ds:schemaRefs>
    <ds:schemaRef ds:uri="http://schemas.microsoft.com/sharepoint/v3/contenttype/forms"/>
  </ds:schemaRefs>
</ds:datastoreItem>
</file>

<file path=customXml/itemProps6.xml><?xml version="1.0" encoding="utf-8"?>
<ds:datastoreItem xmlns:ds="http://schemas.openxmlformats.org/officeDocument/2006/customXml" ds:itemID="{1A98AF94-9108-424F-9F6E-D1A5A7FDA480}"/>
</file>

<file path=docProps/app.xml><?xml version="1.0" encoding="utf-8"?>
<Properties xmlns="http://schemas.openxmlformats.org/officeDocument/2006/extended-properties" xmlns:vt="http://schemas.openxmlformats.org/officeDocument/2006/docPropsVTypes">
  <Template>Normal</Template>
  <TotalTime>1</TotalTime>
  <Pages>5</Pages>
  <Words>1565</Words>
  <Characters>8924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Landfill levy background paper.docx</vt:lpstr>
    </vt:vector>
  </TitlesOfParts>
  <Company/>
  <LinksUpToDate>false</LinksUpToDate>
  <CharactersWithSpaces>10469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Landfill levy background paper.docx</dc:title>
  <dc:creator>Claire Dunn</dc:creator>
  <cp:lastModifiedBy>Zachary Tangey</cp:lastModifiedBy>
  <cp:revision>3</cp:revision>
  <cp:lastPrinted>2017-06-13T06:41:00Z</cp:lastPrinted>
  <dcterms:created xsi:type="dcterms:W3CDTF">2017-06-15T06:26:00Z</dcterms:created>
  <dcterms:modified xsi:type="dcterms:W3CDTF">2017-06-15T06:27:00Z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0x010100959F3BD2A74A534DBA9A2B980A899212</vt:lpwstr>
  </property>
  <property fmtid="{D5CDD505-2E9C-101B-9397-08002B2CF9AE}" pid="3" name="Project">
    <vt:lpwstr/>
  </property>
  <property fmtid="{D5CDD505-2E9C-101B-9397-08002B2CF9AE}" pid="4" name="Topic">
    <vt:lpwstr>200;#Landfill|eea762cd-30dd-4101-89b8-b73faa8708b4</vt:lpwstr>
  </property>
  <property fmtid="{D5CDD505-2E9C-101B-9397-08002B2CF9AE}" pid="5" name="Doc Type">
    <vt:lpwstr>4;#Backgrounder|0677c3fe-1d61-47d6-8e10-43461f33954c</vt:lpwstr>
  </property>
  <property fmtid="{D5CDD505-2E9C-101B-9397-08002B2CF9AE}" pid="6" name="Year">
    <vt:lpwstr>641;#2017|037acd56-77d8-4481-a2a2-1ae1825a9a97</vt:lpwstr>
  </property>
  <property fmtid="{D5CDD505-2E9C-101B-9397-08002B2CF9AE}" pid="7" name="Month">
    <vt:lpwstr>39;#June|a6c41dbf-7c5c-479e-8c7f-dfe3c45c6794</vt:lpwstr>
  </property>
  <property fmtid="{D5CDD505-2E9C-101B-9397-08002B2CF9AE}" pid="8" name="Stakeholders">
    <vt:lpwstr/>
  </property>
  <property fmtid="{D5CDD505-2E9C-101B-9397-08002B2CF9AE}" pid="9" name="AGLSSubject">
    <vt:lpwstr>177;#Landfill|c22cd51c-4e27-403c-9447-46f1c6566be9</vt:lpwstr>
  </property>
</Properties>
</file>