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34ECE" w14:textId="77777777" w:rsidR="0057751B" w:rsidRDefault="0057751B" w:rsidP="0057751B">
      <w:pPr>
        <w:pStyle w:val="Header"/>
      </w:pPr>
      <w:bookmarkStart w:id="0" w:name="_GoBack"/>
      <w:bookmarkEnd w:id="0"/>
    </w:p>
    <w:p w14:paraId="5CC34ECF" w14:textId="77777777" w:rsidR="0057751B" w:rsidRDefault="0057751B" w:rsidP="0057751B">
      <w:pPr>
        <w:ind w:right="-216"/>
        <w:jc w:val="right"/>
        <w:rPr>
          <w:rFonts w:cs="Arial"/>
        </w:rPr>
      </w:pPr>
      <w:r>
        <w:rPr>
          <w:rFonts w:cs="Arial"/>
          <w:noProof/>
          <w:lang w:eastAsia="en-AU"/>
        </w:rPr>
        <w:drawing>
          <wp:inline distT="0" distB="0" distL="0" distR="0" wp14:anchorId="5CC34F96" wp14:editId="5CC34F97">
            <wp:extent cx="3464743" cy="128557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8860" cy="1287102"/>
                    </a:xfrm>
                    <a:prstGeom prst="rect">
                      <a:avLst/>
                    </a:prstGeom>
                  </pic:spPr>
                </pic:pic>
              </a:graphicData>
            </a:graphic>
          </wp:inline>
        </w:drawing>
      </w:r>
    </w:p>
    <w:p w14:paraId="5CC34ED0" w14:textId="77777777" w:rsidR="0057751B" w:rsidRDefault="0057751B" w:rsidP="0057751B">
      <w:pPr>
        <w:rPr>
          <w:rFonts w:cs="Arial"/>
        </w:rPr>
      </w:pPr>
      <w:r>
        <w:rPr>
          <w:rFonts w:cs="Arial"/>
          <w:noProof/>
          <w:lang w:eastAsia="en-AU"/>
        </w:rPr>
        <mc:AlternateContent>
          <mc:Choice Requires="wps">
            <w:drawing>
              <wp:anchor distT="0" distB="0" distL="114300" distR="114300" simplePos="0" relativeHeight="251659264" behindDoc="0" locked="0" layoutInCell="1" allowOverlap="1" wp14:anchorId="5CC34F98" wp14:editId="5CC34F99">
                <wp:simplePos x="0" y="0"/>
                <wp:positionH relativeFrom="column">
                  <wp:posOffset>941070</wp:posOffset>
                </wp:positionH>
                <wp:positionV relativeFrom="paragraph">
                  <wp:posOffset>49530</wp:posOffset>
                </wp:positionV>
                <wp:extent cx="0" cy="6859905"/>
                <wp:effectExtent l="24765" t="27940" r="2286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B694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UHwIAADcEAAAOAAAAZHJzL2Uyb0RvYy54bWysU02P2yAQvVfqf0DcE9tZJ02sOKvWTnrZ&#10;biNl+wMIYBsVMwjYOFHV/14gH9q0l6rqBQYYHm/ePJaPx16iAzdWgCpxNk4x4ooCE6ot8beXzWiO&#10;kXVEMSJB8RKfuMWPq/fvloMu+AQ6kIwb5EGULQZd4s45XSSJpR3viR2D5sofNmB64vzStAkzZPDo&#10;vUwmaTpLBjBMG6DcWr9bnw/xKuI3Dafua9NY7pAssefm4mjiuA9jslqSojVEd4JeaJB/YNETofyj&#10;N6iaOIJejfgDqhfUgIXGjSn0CTSNoDzW4KvJ0t+q2XVE81iLF8fqm0z2/8HS58PWIMFKPMFIkd63&#10;aOcMEW3nUAVKeQHBoEnQadC28OmV2ppQKT2qnX4C+t0iBVVHVMsj35eT9iBZuJHcXQkLq/1r++EL&#10;MJ9DXh1E0Y6N6QOklwMdY29Ot97wo0P0vEn97mw+XSzSaUQnxfWiNtZ95tCjEJRYChVkIwU5PFkX&#10;iJDimhK2FWyElLH1UqGhxA/zLE3jDQtSsHAa8qxp95U06EC8ezbVp2mWXx6+SzPwqlhE6zhh60vs&#10;iJDn2L8uVcDztXg+l+hsjx+LdLGer+f5KJ/M1qM8revRx02Vj2ab7MO0fqirqs5+BmpZXnSCMa4C&#10;u6tVs/zvrHD5NGeT3cx60yG5R4+CebLXOZKOzQz9OzthD+y0Ndcme3fG5MtPCvZ/u/bx2/+++gUA&#10;AP//AwBQSwMEFAAGAAgAAAAhAPCRdencAAAACgEAAA8AAABkcnMvZG93bnJldi54bWxMj8FOwzAQ&#10;RO9I/QdrK3GjTqMKTIhTIdQKiQtqizg78ZJExOvIdtvA17PlArcdzWj2Tbme3CBOGGLvScNykYFA&#10;arztqdXwdtjeKBAxGbJm8IQavjDCuppdlaaw/kw7PO1TK7iEYmE0dCmNhZSx6dCZuPAjEnsfPjiT&#10;WIZW2mDOXO4GmWfZrXSmJ/7QmRGfOmw+90enIb7cr3bBTa+5fFfP8XsTDtTUWl/Pp8cHEAmn9BeG&#10;Cz6jQ8VMtT+SjWJgvVI5RzXc8YKL/6trPjKlliCrUv6fUP0AAAD//wMAUEsBAi0AFAAGAAgAAAAh&#10;ALaDOJL+AAAA4QEAABMAAAAAAAAAAAAAAAAAAAAAAFtDb250ZW50X1R5cGVzXS54bWxQSwECLQAU&#10;AAYACAAAACEAOP0h/9YAAACUAQAACwAAAAAAAAAAAAAAAAAvAQAAX3JlbHMvLnJlbHNQSwECLQAU&#10;AAYACAAAACEAhH2cVB8CAAA3BAAADgAAAAAAAAAAAAAAAAAuAgAAZHJzL2Uyb0RvYy54bWxQSwEC&#10;LQAUAAYACAAAACEA8JF16dwAAAAKAQAADwAAAAAAAAAAAAAAAAB5BAAAZHJzL2Rvd25yZXYueG1s&#10;UEsFBgAAAAAEAAQA8wAAAIIFAAAAAA==&#10;" strokecolor="#fcb514" strokeweight="3pt"/>
            </w:pict>
          </mc:Fallback>
        </mc:AlternateContent>
      </w:r>
    </w:p>
    <w:p w14:paraId="5CC34ED1" w14:textId="77777777" w:rsidR="0057751B" w:rsidRDefault="0057751B" w:rsidP="0057751B">
      <w:pPr>
        <w:rPr>
          <w:rFonts w:cs="Arial"/>
        </w:rPr>
      </w:pPr>
    </w:p>
    <w:p w14:paraId="5CC34ED2" w14:textId="77777777" w:rsidR="0057751B" w:rsidRDefault="0057751B" w:rsidP="0057751B">
      <w:pPr>
        <w:pStyle w:val="Header"/>
      </w:pPr>
    </w:p>
    <w:p w14:paraId="5CC34ED3" w14:textId="77777777" w:rsidR="0057751B" w:rsidRDefault="0057751B" w:rsidP="0057751B">
      <w:pPr>
        <w:pStyle w:val="Header"/>
      </w:pPr>
    </w:p>
    <w:p w14:paraId="5CC34ED4" w14:textId="77777777" w:rsidR="0057751B" w:rsidRDefault="0057751B" w:rsidP="0057751B">
      <w:pPr>
        <w:pStyle w:val="Header"/>
      </w:pPr>
    </w:p>
    <w:p w14:paraId="5CC34ED5" w14:textId="77777777" w:rsidR="0057751B" w:rsidRDefault="0057751B" w:rsidP="0057751B">
      <w:pPr>
        <w:pStyle w:val="Header"/>
      </w:pPr>
    </w:p>
    <w:p w14:paraId="5CC34ED6" w14:textId="77777777" w:rsidR="0057751B" w:rsidRDefault="0057751B" w:rsidP="0057751B">
      <w:pPr>
        <w:pStyle w:val="Header"/>
      </w:pPr>
    </w:p>
    <w:p w14:paraId="5CC34ED7" w14:textId="77777777" w:rsidR="0057751B" w:rsidRDefault="0057751B" w:rsidP="0057751B">
      <w:pPr>
        <w:pStyle w:val="Header"/>
      </w:pPr>
    </w:p>
    <w:p w14:paraId="5CC34ED8" w14:textId="77777777" w:rsidR="0057751B" w:rsidRDefault="0057751B" w:rsidP="0057751B">
      <w:pPr>
        <w:pStyle w:val="Header"/>
      </w:pPr>
    </w:p>
    <w:p w14:paraId="5CC34ED9" w14:textId="77777777" w:rsidR="0057751B" w:rsidRDefault="0057751B" w:rsidP="0057751B">
      <w:pPr>
        <w:pStyle w:val="Header"/>
      </w:pPr>
    </w:p>
    <w:p w14:paraId="5CC34EDA" w14:textId="77777777" w:rsidR="0057751B" w:rsidRDefault="0057751B" w:rsidP="0057751B">
      <w:pPr>
        <w:pStyle w:val="Header"/>
      </w:pPr>
    </w:p>
    <w:p w14:paraId="5CC34EDB" w14:textId="77777777" w:rsidR="0057751B" w:rsidRDefault="0057751B" w:rsidP="0057751B">
      <w:pPr>
        <w:pStyle w:val="Header"/>
      </w:pPr>
    </w:p>
    <w:p w14:paraId="5CC34EDC" w14:textId="77777777" w:rsidR="0057751B" w:rsidRDefault="0057751B" w:rsidP="0057751B">
      <w:pPr>
        <w:pStyle w:val="Header"/>
      </w:pPr>
    </w:p>
    <w:p w14:paraId="5CC34EDD" w14:textId="77777777" w:rsidR="0057751B" w:rsidRDefault="0057751B" w:rsidP="0057751B">
      <w:pPr>
        <w:pStyle w:val="Header"/>
      </w:pPr>
    </w:p>
    <w:p w14:paraId="5CC34EDE" w14:textId="77777777" w:rsidR="0057751B" w:rsidRDefault="0057751B" w:rsidP="0057751B">
      <w:pPr>
        <w:pStyle w:val="Header"/>
      </w:pPr>
    </w:p>
    <w:p w14:paraId="5CC34EDF" w14:textId="77777777" w:rsidR="0057751B" w:rsidRDefault="0057751B" w:rsidP="0057751B">
      <w:pPr>
        <w:pStyle w:val="Header"/>
      </w:pPr>
    </w:p>
    <w:p w14:paraId="5CC34EE0" w14:textId="77777777" w:rsidR="0057751B" w:rsidRDefault="0057751B" w:rsidP="0057751B">
      <w:pPr>
        <w:pStyle w:val="Header"/>
      </w:pPr>
    </w:p>
    <w:p w14:paraId="5CC34EE1" w14:textId="77777777" w:rsidR="0057751B" w:rsidRDefault="0057751B" w:rsidP="0057751B">
      <w:pPr>
        <w:pStyle w:val="Header"/>
      </w:pPr>
    </w:p>
    <w:p w14:paraId="5CC34EE2" w14:textId="77777777" w:rsidR="0057751B"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ind w:right="4"/>
        <w:jc w:val="center"/>
        <w:rPr>
          <w:b/>
          <w:sz w:val="36"/>
          <w:szCs w:val="36"/>
        </w:rPr>
      </w:pPr>
    </w:p>
    <w:p w14:paraId="5CC34EE3" w14:textId="77777777" w:rsidR="0057751B"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ind w:right="4"/>
        <w:jc w:val="center"/>
        <w:rPr>
          <w:b/>
          <w:sz w:val="36"/>
          <w:szCs w:val="36"/>
        </w:rPr>
      </w:pPr>
    </w:p>
    <w:p w14:paraId="5CC34EE4" w14:textId="77777777" w:rsidR="0057751B"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ind w:right="4"/>
        <w:jc w:val="center"/>
        <w:rPr>
          <w:b/>
          <w:sz w:val="36"/>
          <w:szCs w:val="36"/>
        </w:rPr>
      </w:pPr>
    </w:p>
    <w:p w14:paraId="5CC34EE5" w14:textId="77777777" w:rsidR="0057751B"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ind w:right="4"/>
        <w:jc w:val="center"/>
        <w:rPr>
          <w:b/>
          <w:sz w:val="36"/>
          <w:szCs w:val="36"/>
        </w:rPr>
      </w:pPr>
    </w:p>
    <w:p w14:paraId="5CC34EE6" w14:textId="77777777" w:rsidR="0057751B" w:rsidRPr="000F3A02"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ind w:right="4"/>
        <w:jc w:val="right"/>
        <w:rPr>
          <w:b/>
          <w:sz w:val="36"/>
          <w:szCs w:val="36"/>
        </w:rPr>
      </w:pPr>
      <w:r w:rsidRPr="000F3A02">
        <w:rPr>
          <w:b/>
          <w:sz w:val="36"/>
          <w:szCs w:val="36"/>
        </w:rPr>
        <w:t>Victorian State-Local Government Agreement</w:t>
      </w:r>
    </w:p>
    <w:p w14:paraId="5CC34EE7" w14:textId="77777777" w:rsidR="0057751B" w:rsidRPr="000F3A02" w:rsidRDefault="0057751B" w:rsidP="0057751B">
      <w:pPr>
        <w:keepNext/>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rFonts w:cs="Arial"/>
          <w:bCs/>
          <w:sz w:val="24"/>
          <w:szCs w:val="24"/>
        </w:rPr>
      </w:pPr>
      <w:r w:rsidRPr="000F3A02">
        <w:rPr>
          <w:rFonts w:cs="Arial"/>
          <w:bCs/>
          <w:sz w:val="24"/>
          <w:szCs w:val="24"/>
        </w:rPr>
        <w:t>Position Paper</w:t>
      </w:r>
    </w:p>
    <w:p w14:paraId="5CC34EE8" w14:textId="77777777" w:rsidR="0057751B" w:rsidRPr="000F3A02"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szCs w:val="24"/>
        </w:rPr>
      </w:pPr>
    </w:p>
    <w:p w14:paraId="5CC34EE9" w14:textId="77777777" w:rsidR="0057751B"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szCs w:val="24"/>
        </w:rPr>
      </w:pPr>
    </w:p>
    <w:p w14:paraId="5CC34EEA" w14:textId="77777777" w:rsidR="0057751B"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szCs w:val="24"/>
        </w:rPr>
      </w:pPr>
    </w:p>
    <w:p w14:paraId="5CC34EEB" w14:textId="77777777" w:rsidR="0057751B"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szCs w:val="24"/>
        </w:rPr>
      </w:pPr>
    </w:p>
    <w:p w14:paraId="5CC34EEC" w14:textId="77777777" w:rsidR="0057751B"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szCs w:val="24"/>
        </w:rPr>
      </w:pPr>
    </w:p>
    <w:p w14:paraId="5CC34EED" w14:textId="77777777" w:rsidR="0057751B" w:rsidRPr="000F3A02"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szCs w:val="24"/>
        </w:rPr>
      </w:pPr>
    </w:p>
    <w:p w14:paraId="5CC34EEE" w14:textId="77777777" w:rsidR="0057751B" w:rsidRPr="000F3A02"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szCs w:val="24"/>
        </w:rPr>
      </w:pPr>
      <w:r w:rsidRPr="000F3A02">
        <w:rPr>
          <w:szCs w:val="24"/>
        </w:rPr>
        <w:t>March 2014</w:t>
      </w:r>
    </w:p>
    <w:p w14:paraId="5CC34EEF" w14:textId="77777777" w:rsidR="0057751B" w:rsidRPr="002907FD"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rFonts w:ascii="Futura Md BT" w:hAnsi="Futura Md BT" w:cs="Arial"/>
        </w:rPr>
      </w:pPr>
    </w:p>
    <w:p w14:paraId="5CC34EF0" w14:textId="77777777" w:rsidR="0057751B" w:rsidRPr="001942F4"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rFonts w:ascii="Futura Md BT" w:hAnsi="Futura Md BT" w:cs="Arial"/>
        </w:rPr>
      </w:pPr>
    </w:p>
    <w:p w14:paraId="5CC34EF1" w14:textId="77777777" w:rsidR="0057751B" w:rsidRPr="001942F4" w:rsidRDefault="0057751B" w:rsidP="0057751B">
      <w:pPr>
        <w:framePr w:w="7949" w:h="2419" w:hSpace="180" w:wrap="around" w:vAnchor="text" w:hAnchor="page" w:x="3496" w:y="53"/>
        <w:pBdr>
          <w:top w:val="single" w:sz="6" w:space="1" w:color="FFFFFF"/>
          <w:left w:val="single" w:sz="6" w:space="1" w:color="FFFFFF"/>
          <w:bottom w:val="single" w:sz="6" w:space="1" w:color="FFFFFF"/>
          <w:right w:val="single" w:sz="6" w:space="1" w:color="FFFFFF"/>
        </w:pBdr>
        <w:jc w:val="right"/>
        <w:rPr>
          <w:rFonts w:ascii="Futura Md BT" w:hAnsi="Futura Md BT" w:cs="Arial"/>
        </w:rPr>
      </w:pPr>
    </w:p>
    <w:p w14:paraId="5CC34EF2" w14:textId="77777777" w:rsidR="0057751B" w:rsidRDefault="0057751B" w:rsidP="0057751B">
      <w:pPr>
        <w:pStyle w:val="Header"/>
      </w:pPr>
    </w:p>
    <w:p w14:paraId="5CC34EF3" w14:textId="77777777" w:rsidR="0057751B" w:rsidRDefault="0057751B" w:rsidP="0057751B">
      <w:pPr>
        <w:pStyle w:val="Header"/>
      </w:pPr>
    </w:p>
    <w:p w14:paraId="5CC34EF4" w14:textId="77777777" w:rsidR="0057751B" w:rsidRDefault="0057751B" w:rsidP="0057751B">
      <w:pPr>
        <w:pStyle w:val="Header"/>
      </w:pPr>
    </w:p>
    <w:p w14:paraId="5CC34EF5" w14:textId="77777777" w:rsidR="0057751B" w:rsidRDefault="0057751B" w:rsidP="0057751B">
      <w:pPr>
        <w:pStyle w:val="Header"/>
      </w:pPr>
    </w:p>
    <w:p w14:paraId="5CC34EF6" w14:textId="77777777" w:rsidR="0057751B" w:rsidRDefault="0057751B" w:rsidP="0057751B">
      <w:pPr>
        <w:pStyle w:val="Header"/>
      </w:pPr>
    </w:p>
    <w:p w14:paraId="5CC34EF7" w14:textId="77777777" w:rsidR="0057751B" w:rsidRDefault="0057751B" w:rsidP="0057751B">
      <w:pPr>
        <w:pStyle w:val="Header"/>
      </w:pPr>
    </w:p>
    <w:p w14:paraId="5CC34EF8" w14:textId="77777777" w:rsidR="0057751B" w:rsidRDefault="0057751B" w:rsidP="0057751B">
      <w:pPr>
        <w:pStyle w:val="Header"/>
      </w:pPr>
    </w:p>
    <w:p w14:paraId="5CC34EF9" w14:textId="77777777" w:rsidR="0057751B" w:rsidRDefault="0057751B" w:rsidP="0057751B">
      <w:pPr>
        <w:pStyle w:val="Header"/>
      </w:pPr>
    </w:p>
    <w:p w14:paraId="5CC34EFA" w14:textId="77777777" w:rsidR="0057751B" w:rsidRDefault="0057751B" w:rsidP="0057751B">
      <w:pPr>
        <w:pStyle w:val="Header"/>
      </w:pPr>
    </w:p>
    <w:p w14:paraId="5CC34EFB" w14:textId="77777777" w:rsidR="0057751B" w:rsidRDefault="0057751B" w:rsidP="0057751B">
      <w:pPr>
        <w:pStyle w:val="Header"/>
      </w:pPr>
    </w:p>
    <w:p w14:paraId="5CC34EFC" w14:textId="77777777" w:rsidR="0057751B" w:rsidRDefault="0057751B" w:rsidP="0057751B">
      <w:pPr>
        <w:pStyle w:val="Header"/>
      </w:pPr>
    </w:p>
    <w:p w14:paraId="5CC34EFD" w14:textId="77777777" w:rsidR="0057751B" w:rsidRDefault="0057751B" w:rsidP="0057751B">
      <w:pPr>
        <w:pStyle w:val="Header"/>
      </w:pPr>
    </w:p>
    <w:p w14:paraId="5CC34EFE" w14:textId="77777777" w:rsidR="0057751B" w:rsidRDefault="0057751B" w:rsidP="0057751B">
      <w:pPr>
        <w:pStyle w:val="Header"/>
      </w:pPr>
    </w:p>
    <w:p w14:paraId="5CC34EFF" w14:textId="77777777" w:rsidR="0057751B" w:rsidRDefault="0057751B" w:rsidP="0057751B">
      <w:pPr>
        <w:pStyle w:val="Header"/>
      </w:pPr>
    </w:p>
    <w:p w14:paraId="5CC34F00" w14:textId="77777777" w:rsidR="0057751B" w:rsidRDefault="0057751B" w:rsidP="0057751B">
      <w:pPr>
        <w:pStyle w:val="Header"/>
      </w:pPr>
    </w:p>
    <w:p w14:paraId="5CC34F01" w14:textId="77777777" w:rsidR="0057751B" w:rsidRDefault="0057751B" w:rsidP="0057751B">
      <w:pPr>
        <w:pStyle w:val="Header"/>
      </w:pPr>
    </w:p>
    <w:p w14:paraId="5CC34F02" w14:textId="77777777" w:rsidR="0057751B" w:rsidRDefault="0057751B" w:rsidP="0057751B">
      <w:pPr>
        <w:pStyle w:val="Header"/>
      </w:pPr>
    </w:p>
    <w:p w14:paraId="5CC34F03" w14:textId="77777777" w:rsidR="0057751B" w:rsidRDefault="0057751B" w:rsidP="0057751B">
      <w:pPr>
        <w:pStyle w:val="Header"/>
      </w:pPr>
    </w:p>
    <w:p w14:paraId="5CC34F04" w14:textId="77777777" w:rsidR="0057751B" w:rsidRDefault="0057751B" w:rsidP="0057751B">
      <w:pPr>
        <w:pStyle w:val="Header"/>
      </w:pPr>
    </w:p>
    <w:p w14:paraId="5CC34F05" w14:textId="77777777" w:rsidR="0057751B" w:rsidRDefault="0057751B" w:rsidP="0057751B">
      <w:pPr>
        <w:pStyle w:val="TOC1"/>
      </w:pPr>
    </w:p>
    <w:p w14:paraId="5CC34F06" w14:textId="77777777" w:rsidR="0057751B" w:rsidRDefault="0057751B" w:rsidP="0057751B">
      <w:pPr>
        <w:sectPr w:rsidR="0057751B">
          <w:headerReference w:type="even" r:id="rId12"/>
          <w:headerReference w:type="default" r:id="rId13"/>
          <w:footerReference w:type="even" r:id="rId14"/>
          <w:footerReference w:type="default" r:id="rId15"/>
          <w:pgSz w:w="11909" w:h="16834" w:code="9"/>
          <w:pgMar w:top="1440" w:right="1797" w:bottom="1440" w:left="1797" w:header="720" w:footer="720" w:gutter="0"/>
          <w:pgNumType w:start="1"/>
          <w:cols w:space="720"/>
          <w:docGrid w:linePitch="254"/>
        </w:sectPr>
      </w:pPr>
    </w:p>
    <w:p w14:paraId="5CC34F07" w14:textId="77777777" w:rsidR="0057751B" w:rsidRDefault="0057751B" w:rsidP="00EE699B">
      <w:pPr>
        <w:ind w:right="4"/>
        <w:jc w:val="center"/>
        <w:rPr>
          <w:b/>
          <w:sz w:val="36"/>
          <w:szCs w:val="36"/>
        </w:rPr>
      </w:pPr>
    </w:p>
    <w:p w14:paraId="5CC34F08" w14:textId="77777777" w:rsidR="0057751B" w:rsidRDefault="0057751B" w:rsidP="00EE699B">
      <w:pPr>
        <w:ind w:right="4"/>
        <w:jc w:val="center"/>
        <w:rPr>
          <w:b/>
          <w:sz w:val="36"/>
          <w:szCs w:val="36"/>
        </w:rPr>
      </w:pPr>
    </w:p>
    <w:p w14:paraId="5CC34F09" w14:textId="77777777" w:rsidR="0057751B" w:rsidRDefault="0057751B" w:rsidP="00EE699B">
      <w:pPr>
        <w:ind w:right="4"/>
        <w:jc w:val="center"/>
        <w:rPr>
          <w:b/>
          <w:sz w:val="36"/>
          <w:szCs w:val="36"/>
        </w:rPr>
      </w:pPr>
    </w:p>
    <w:p w14:paraId="5CC34F0A" w14:textId="77777777" w:rsidR="0057751B" w:rsidRDefault="0057751B" w:rsidP="00EE699B">
      <w:pPr>
        <w:ind w:right="4"/>
        <w:jc w:val="center"/>
        <w:rPr>
          <w:b/>
          <w:sz w:val="36"/>
          <w:szCs w:val="36"/>
        </w:rPr>
      </w:pPr>
    </w:p>
    <w:p w14:paraId="5CC34F0B" w14:textId="77777777" w:rsidR="0057751B" w:rsidRDefault="0057751B" w:rsidP="00EE699B">
      <w:pPr>
        <w:ind w:right="4"/>
        <w:jc w:val="center"/>
        <w:rPr>
          <w:b/>
          <w:sz w:val="36"/>
          <w:szCs w:val="36"/>
        </w:rPr>
      </w:pPr>
    </w:p>
    <w:p w14:paraId="5CC34F0C" w14:textId="77777777" w:rsidR="0057751B" w:rsidRDefault="0057751B" w:rsidP="00EE699B">
      <w:pPr>
        <w:ind w:right="4"/>
        <w:jc w:val="center"/>
        <w:rPr>
          <w:b/>
          <w:sz w:val="36"/>
          <w:szCs w:val="36"/>
        </w:rPr>
      </w:pPr>
    </w:p>
    <w:p w14:paraId="5CC34F0D" w14:textId="77777777" w:rsidR="0057751B" w:rsidRDefault="0057751B" w:rsidP="00EE699B">
      <w:pPr>
        <w:ind w:right="4"/>
        <w:jc w:val="center"/>
        <w:rPr>
          <w:b/>
          <w:sz w:val="36"/>
          <w:szCs w:val="36"/>
        </w:rPr>
      </w:pPr>
    </w:p>
    <w:p w14:paraId="5CC34F0E" w14:textId="77777777" w:rsidR="0057751B" w:rsidRDefault="0057751B" w:rsidP="00EE699B">
      <w:pPr>
        <w:ind w:right="4"/>
        <w:jc w:val="center"/>
        <w:rPr>
          <w:b/>
          <w:sz w:val="36"/>
          <w:szCs w:val="36"/>
        </w:rPr>
      </w:pPr>
    </w:p>
    <w:p w14:paraId="5CC34F0F" w14:textId="77777777" w:rsidR="0057751B" w:rsidRDefault="0057751B" w:rsidP="00EE699B">
      <w:pPr>
        <w:ind w:right="4"/>
        <w:jc w:val="center"/>
        <w:rPr>
          <w:b/>
          <w:sz w:val="36"/>
          <w:szCs w:val="36"/>
        </w:rPr>
      </w:pPr>
    </w:p>
    <w:p w14:paraId="5CC34F10" w14:textId="77777777" w:rsidR="0057751B" w:rsidRDefault="0057751B" w:rsidP="00EE699B">
      <w:pPr>
        <w:ind w:right="4"/>
        <w:jc w:val="center"/>
        <w:rPr>
          <w:b/>
          <w:sz w:val="36"/>
          <w:szCs w:val="36"/>
        </w:rPr>
      </w:pPr>
    </w:p>
    <w:p w14:paraId="5CC34F11" w14:textId="77777777" w:rsidR="0057751B" w:rsidRDefault="0057751B" w:rsidP="00EE699B">
      <w:pPr>
        <w:ind w:right="4"/>
        <w:jc w:val="center"/>
        <w:rPr>
          <w:b/>
          <w:sz w:val="36"/>
          <w:szCs w:val="36"/>
        </w:rPr>
      </w:pPr>
    </w:p>
    <w:p w14:paraId="5CC34F12" w14:textId="77777777" w:rsidR="0057751B" w:rsidRDefault="0057751B" w:rsidP="00EE699B">
      <w:pPr>
        <w:ind w:right="4"/>
        <w:jc w:val="center"/>
        <w:rPr>
          <w:b/>
          <w:sz w:val="36"/>
          <w:szCs w:val="36"/>
        </w:rPr>
      </w:pPr>
    </w:p>
    <w:p w14:paraId="5CC34F13" w14:textId="77777777" w:rsidR="0057751B" w:rsidRDefault="0057751B" w:rsidP="00EE699B">
      <w:pPr>
        <w:ind w:right="4"/>
        <w:jc w:val="center"/>
        <w:rPr>
          <w:b/>
          <w:sz w:val="36"/>
          <w:szCs w:val="36"/>
        </w:rPr>
      </w:pPr>
    </w:p>
    <w:p w14:paraId="5CC34F14" w14:textId="77777777" w:rsidR="0057751B" w:rsidRDefault="0057751B" w:rsidP="00EE699B">
      <w:pPr>
        <w:ind w:right="4"/>
        <w:jc w:val="center"/>
        <w:rPr>
          <w:b/>
          <w:sz w:val="36"/>
          <w:szCs w:val="36"/>
        </w:rPr>
      </w:pPr>
    </w:p>
    <w:p w14:paraId="5CC34F15" w14:textId="77777777" w:rsidR="0057751B" w:rsidRDefault="0057751B" w:rsidP="00EE699B">
      <w:pPr>
        <w:ind w:right="4"/>
        <w:jc w:val="center"/>
        <w:rPr>
          <w:b/>
          <w:sz w:val="36"/>
          <w:szCs w:val="36"/>
        </w:rPr>
      </w:pPr>
    </w:p>
    <w:p w14:paraId="5CC34F16" w14:textId="77777777" w:rsidR="0057751B" w:rsidRDefault="0057751B" w:rsidP="00EE699B">
      <w:pPr>
        <w:ind w:right="4"/>
        <w:jc w:val="center"/>
        <w:rPr>
          <w:b/>
          <w:sz w:val="36"/>
          <w:szCs w:val="36"/>
        </w:rPr>
      </w:pPr>
    </w:p>
    <w:p w14:paraId="5CC34F17" w14:textId="77777777" w:rsidR="0057751B" w:rsidRDefault="0057751B" w:rsidP="00EE699B">
      <w:pPr>
        <w:ind w:right="4"/>
        <w:jc w:val="center"/>
        <w:rPr>
          <w:b/>
          <w:sz w:val="36"/>
          <w:szCs w:val="36"/>
        </w:rPr>
      </w:pPr>
    </w:p>
    <w:p w14:paraId="5CC34F18" w14:textId="77777777" w:rsidR="0057751B" w:rsidRDefault="0057751B" w:rsidP="00EE699B">
      <w:pPr>
        <w:ind w:right="4"/>
        <w:jc w:val="center"/>
        <w:rPr>
          <w:b/>
          <w:sz w:val="36"/>
          <w:szCs w:val="36"/>
        </w:rPr>
      </w:pPr>
    </w:p>
    <w:p w14:paraId="5CC34F19" w14:textId="77777777" w:rsidR="0057751B" w:rsidRDefault="0057751B" w:rsidP="00EE699B">
      <w:pPr>
        <w:ind w:right="4"/>
        <w:jc w:val="center"/>
        <w:rPr>
          <w:b/>
          <w:sz w:val="36"/>
          <w:szCs w:val="36"/>
        </w:rPr>
      </w:pPr>
    </w:p>
    <w:p w14:paraId="5CC34F1A" w14:textId="77777777" w:rsidR="0057751B" w:rsidRDefault="0057751B" w:rsidP="00EE699B">
      <w:pPr>
        <w:ind w:right="4"/>
        <w:jc w:val="center"/>
        <w:rPr>
          <w:b/>
          <w:sz w:val="36"/>
          <w:szCs w:val="36"/>
        </w:rPr>
      </w:pPr>
    </w:p>
    <w:p w14:paraId="5CC34F1B" w14:textId="77777777" w:rsidR="0057751B" w:rsidRDefault="0057751B" w:rsidP="00EE699B">
      <w:pPr>
        <w:ind w:right="4"/>
        <w:jc w:val="center"/>
        <w:rPr>
          <w:b/>
          <w:sz w:val="36"/>
          <w:szCs w:val="36"/>
        </w:rPr>
      </w:pPr>
    </w:p>
    <w:p w14:paraId="5CC34F1C" w14:textId="77777777" w:rsidR="0057751B" w:rsidRDefault="0057751B" w:rsidP="00EE699B">
      <w:pPr>
        <w:ind w:right="4"/>
        <w:jc w:val="center"/>
        <w:rPr>
          <w:b/>
          <w:sz w:val="36"/>
          <w:szCs w:val="36"/>
        </w:rPr>
      </w:pPr>
    </w:p>
    <w:p w14:paraId="5CC34F1D" w14:textId="77777777" w:rsidR="0057751B" w:rsidRDefault="0057751B" w:rsidP="00EE699B">
      <w:pPr>
        <w:ind w:right="4"/>
        <w:jc w:val="center"/>
        <w:rPr>
          <w:b/>
          <w:sz w:val="36"/>
          <w:szCs w:val="36"/>
        </w:rPr>
      </w:pPr>
    </w:p>
    <w:p w14:paraId="5CC34F1E" w14:textId="77777777" w:rsidR="0057751B" w:rsidRDefault="0057751B" w:rsidP="00EE699B">
      <w:pPr>
        <w:ind w:right="4"/>
        <w:jc w:val="center"/>
        <w:rPr>
          <w:b/>
          <w:sz w:val="36"/>
          <w:szCs w:val="36"/>
        </w:rPr>
      </w:pPr>
    </w:p>
    <w:p w14:paraId="5CC34F1F" w14:textId="77777777" w:rsidR="0057751B" w:rsidRDefault="0057751B" w:rsidP="00EE699B">
      <w:pPr>
        <w:ind w:right="4"/>
        <w:jc w:val="center"/>
        <w:rPr>
          <w:b/>
          <w:sz w:val="36"/>
          <w:szCs w:val="36"/>
        </w:rPr>
      </w:pPr>
    </w:p>
    <w:p w14:paraId="5CC34F20" w14:textId="77777777" w:rsidR="0057751B" w:rsidRDefault="0057751B" w:rsidP="00EE699B">
      <w:pPr>
        <w:ind w:right="4"/>
        <w:jc w:val="center"/>
        <w:rPr>
          <w:b/>
          <w:sz w:val="36"/>
          <w:szCs w:val="36"/>
        </w:rPr>
      </w:pPr>
    </w:p>
    <w:p w14:paraId="5CC34F21" w14:textId="77777777" w:rsidR="0057751B" w:rsidRDefault="0057751B" w:rsidP="0057751B">
      <w:pPr>
        <w:pStyle w:val="DisclaimerBold"/>
      </w:pPr>
      <w:r>
        <w:t>© Copyright Municipal Association of Victoria, 2014</w:t>
      </w:r>
    </w:p>
    <w:p w14:paraId="5CC34F22" w14:textId="77777777" w:rsidR="0057751B" w:rsidRDefault="0057751B" w:rsidP="0057751B">
      <w:pPr>
        <w:pStyle w:val="Disclaimer"/>
      </w:pPr>
    </w:p>
    <w:p w14:paraId="5CC34F23" w14:textId="77777777" w:rsidR="0057751B" w:rsidRDefault="0057751B" w:rsidP="0057751B">
      <w:pPr>
        <w:pStyle w:val="Disclaimer"/>
      </w:pPr>
      <w:r>
        <w:t>The Municipal Association of Victoria is the owner of the copyright in this publication.</w:t>
      </w:r>
    </w:p>
    <w:p w14:paraId="5CC34F24" w14:textId="77777777" w:rsidR="0057751B" w:rsidRDefault="0057751B" w:rsidP="0057751B">
      <w:pPr>
        <w:pStyle w:val="Disclaimer"/>
      </w:pPr>
      <w:r>
        <w:t xml:space="preserve"> </w:t>
      </w:r>
    </w:p>
    <w:p w14:paraId="5CC34F25" w14:textId="77777777" w:rsidR="0057751B" w:rsidRDefault="0057751B" w:rsidP="0057751B">
      <w:pPr>
        <w:pStyle w:val="Disclaimer"/>
      </w:pPr>
      <w:r>
        <w:t xml:space="preserve">No part of this publication may be reproduced, stored or transmitted in any form or by any means without the prior permission in writing from the Municipal Association of Victoria. </w:t>
      </w:r>
    </w:p>
    <w:p w14:paraId="5CC34F26" w14:textId="77777777" w:rsidR="0057751B" w:rsidRDefault="0057751B" w:rsidP="0057751B">
      <w:pPr>
        <w:pStyle w:val="Disclaimer"/>
      </w:pPr>
    </w:p>
    <w:p w14:paraId="5CC34F27" w14:textId="77777777" w:rsidR="0057751B" w:rsidRDefault="0057751B" w:rsidP="0057751B">
      <w:pPr>
        <w:pStyle w:val="Disclaimer"/>
      </w:pPr>
      <w:r>
        <w:t xml:space="preserve">All requests to reproduce, store or transmit material contained in the publication should be addressed to Claire Dunn, </w:t>
      </w:r>
      <w:hyperlink r:id="rId16" w:history="1">
        <w:r w:rsidRPr="00AF3957">
          <w:rPr>
            <w:rStyle w:val="Hyperlink"/>
          </w:rPr>
          <w:t>cdunn@mav.asn.au</w:t>
        </w:r>
      </w:hyperlink>
      <w:r>
        <w:t>.</w:t>
      </w:r>
    </w:p>
    <w:p w14:paraId="5CC34F28" w14:textId="77777777" w:rsidR="0057751B" w:rsidRDefault="0057751B" w:rsidP="0057751B">
      <w:pPr>
        <w:pStyle w:val="Disclaimer"/>
      </w:pPr>
    </w:p>
    <w:p w14:paraId="5CC34F29" w14:textId="77777777" w:rsidR="0057751B" w:rsidRDefault="0057751B" w:rsidP="0057751B">
      <w:pPr>
        <w:pStyle w:val="Disclaimer"/>
        <w:rPr>
          <w:szCs w:val="22"/>
        </w:rPr>
      </w:pPr>
      <w:r>
        <w:t xml:space="preserve">This position paper </w:t>
      </w:r>
      <w:r w:rsidRPr="003A2EDB">
        <w:rPr>
          <w:szCs w:val="22"/>
        </w:rPr>
        <w:t xml:space="preserve">has been prepared by the Municipal Association of Victoria (MAV) </w:t>
      </w:r>
      <w:r>
        <w:rPr>
          <w:szCs w:val="22"/>
        </w:rPr>
        <w:t xml:space="preserve">after </w:t>
      </w:r>
      <w:r w:rsidRPr="003A2EDB">
        <w:rPr>
          <w:szCs w:val="22"/>
        </w:rPr>
        <w:t>discussion with member councils</w:t>
      </w:r>
      <w:r>
        <w:rPr>
          <w:szCs w:val="22"/>
        </w:rPr>
        <w:t xml:space="preserve">. </w:t>
      </w:r>
    </w:p>
    <w:p w14:paraId="5CC34F2A" w14:textId="77777777" w:rsidR="0057751B" w:rsidRDefault="0057751B">
      <w:pPr>
        <w:rPr>
          <w:b/>
          <w:sz w:val="36"/>
          <w:szCs w:val="36"/>
        </w:rPr>
      </w:pPr>
      <w:r>
        <w:rPr>
          <w:b/>
          <w:sz w:val="36"/>
          <w:szCs w:val="36"/>
        </w:rPr>
        <w:br w:type="page"/>
      </w:r>
    </w:p>
    <w:p w14:paraId="5CC34F2B" w14:textId="77777777" w:rsidR="00211354" w:rsidRDefault="00211354" w:rsidP="00211354">
      <w:pPr>
        <w:pStyle w:val="Heading1"/>
      </w:pPr>
      <w:r>
        <w:lastRenderedPageBreak/>
        <w:t>Introduction</w:t>
      </w:r>
    </w:p>
    <w:p w14:paraId="5CC34F2C" w14:textId="77777777" w:rsidR="00211354" w:rsidRDefault="00211354" w:rsidP="002E1221">
      <w:pPr>
        <w:ind w:right="4"/>
      </w:pPr>
    </w:p>
    <w:p w14:paraId="5CC34F2D" w14:textId="77777777" w:rsidR="00211354" w:rsidRDefault="00211354" w:rsidP="00211354">
      <w:r>
        <w:t xml:space="preserve">Prior to the last election, the Victorian Government made a commitment to review the </w:t>
      </w:r>
      <w:r w:rsidR="00C32A76">
        <w:t>Victorian State-Local Government Agreement (</w:t>
      </w:r>
      <w:r>
        <w:t>VSLGA</w:t>
      </w:r>
      <w:r w:rsidR="007A6D36">
        <w:t>)</w:t>
      </w:r>
      <w:r>
        <w:t xml:space="preserve"> to </w:t>
      </w:r>
      <w:r w:rsidR="00EB6834">
        <w:t>`</w:t>
      </w:r>
      <w:r>
        <w:t>ensure it fulfils its purpose, has practical significance and provides an overall framework for managing the future relationship between the State and local governments.</w:t>
      </w:r>
      <w:r w:rsidR="00EB6834">
        <w:t>’</w:t>
      </w:r>
      <w:r>
        <w:t xml:space="preserve"> </w:t>
      </w:r>
    </w:p>
    <w:p w14:paraId="5CC34F2E" w14:textId="77777777" w:rsidR="00211354" w:rsidRDefault="00211354" w:rsidP="00211354"/>
    <w:p w14:paraId="5CC34F2F" w14:textId="77777777" w:rsidR="00211354" w:rsidRDefault="00211354" w:rsidP="00211354">
      <w:r>
        <w:t xml:space="preserve">In late November 2013, following consultation with the sector and peak bodies, the Minister for Local Government released a draft VSLGA for consultation. </w:t>
      </w:r>
    </w:p>
    <w:p w14:paraId="5CC34F30" w14:textId="77777777" w:rsidR="00211354" w:rsidRDefault="00211354" w:rsidP="00211354"/>
    <w:p w14:paraId="5CC34F31" w14:textId="77777777" w:rsidR="00F643E6" w:rsidRDefault="00211354" w:rsidP="00F643E6">
      <w:pPr>
        <w:rPr>
          <w:rFonts w:cs="Arial"/>
        </w:rPr>
      </w:pPr>
      <w:r>
        <w:t xml:space="preserve">This position paper sets out the MAV’s response to the draft VSLGA. </w:t>
      </w:r>
      <w:r w:rsidR="00F643E6">
        <w:rPr>
          <w:rFonts w:cs="Arial"/>
        </w:rPr>
        <w:t xml:space="preserve">The MAV has </w:t>
      </w:r>
      <w:r w:rsidR="001742DD">
        <w:rPr>
          <w:rFonts w:cs="Arial"/>
        </w:rPr>
        <w:t>discussed the</w:t>
      </w:r>
      <w:r w:rsidR="00F643E6">
        <w:rPr>
          <w:rFonts w:cs="Arial"/>
        </w:rPr>
        <w:t xml:space="preserve"> VSLGA </w:t>
      </w:r>
      <w:r w:rsidR="001742DD">
        <w:rPr>
          <w:rFonts w:cs="Arial"/>
        </w:rPr>
        <w:t xml:space="preserve">with councils </w:t>
      </w:r>
      <w:r w:rsidR="00F643E6">
        <w:rPr>
          <w:rFonts w:cs="Arial"/>
        </w:rPr>
        <w:t xml:space="preserve">at our regional meetings where, despite diverse views being expressed, there was general consensus that the agreement needs to be </w:t>
      </w:r>
      <w:r w:rsidR="007871E6">
        <w:rPr>
          <w:rFonts w:cs="Arial"/>
        </w:rPr>
        <w:t>reworked to enable practical application and meaning</w:t>
      </w:r>
      <w:r w:rsidR="00F643E6">
        <w:rPr>
          <w:rFonts w:cs="Arial"/>
        </w:rPr>
        <w:t xml:space="preserve">. </w:t>
      </w:r>
      <w:r w:rsidR="008E19D4">
        <w:rPr>
          <w:rFonts w:cs="Arial"/>
        </w:rPr>
        <w:t>Following MAV Board endorsement of a draft position paper at its February meeting, the paper was sent to councils for further feedback. This position paper incorporates th</w:t>
      </w:r>
      <w:r w:rsidR="001D6170">
        <w:rPr>
          <w:rFonts w:cs="Arial"/>
        </w:rPr>
        <w:t>at feedback.</w:t>
      </w:r>
      <w:r w:rsidR="008E19D4">
        <w:rPr>
          <w:rFonts w:cs="Arial"/>
        </w:rPr>
        <w:t xml:space="preserve"> </w:t>
      </w:r>
    </w:p>
    <w:p w14:paraId="5CC34F32" w14:textId="77777777" w:rsidR="00805489" w:rsidRDefault="00805489" w:rsidP="00211354">
      <w:pPr>
        <w:ind w:right="4"/>
      </w:pPr>
    </w:p>
    <w:p w14:paraId="5CC34F33" w14:textId="77777777" w:rsidR="00211354" w:rsidRDefault="008E19D4" w:rsidP="00211354">
      <w:pPr>
        <w:ind w:right="4"/>
      </w:pPr>
      <w:r>
        <w:t xml:space="preserve">As </w:t>
      </w:r>
      <w:r w:rsidR="00805489">
        <w:t xml:space="preserve">the MAV has </w:t>
      </w:r>
      <w:r>
        <w:t>previously</w:t>
      </w:r>
      <w:r w:rsidR="00805489">
        <w:t xml:space="preserve"> advised</w:t>
      </w:r>
      <w:r>
        <w:t xml:space="preserve">, </w:t>
      </w:r>
      <w:r w:rsidR="00211354">
        <w:t xml:space="preserve">following consultation with councils and further negotiations with the Minister, </w:t>
      </w:r>
      <w:r>
        <w:t>the MAV</w:t>
      </w:r>
      <w:r w:rsidR="00211354">
        <w:t xml:space="preserve"> will put the </w:t>
      </w:r>
      <w:r>
        <w:t xml:space="preserve">government’s </w:t>
      </w:r>
      <w:r w:rsidR="00211354">
        <w:t>proposed final VSLGA to our May 2014 State Council meeting for sector endorsement</w:t>
      </w:r>
      <w:r w:rsidR="007A6D36">
        <w:t>.</w:t>
      </w:r>
    </w:p>
    <w:p w14:paraId="5CC34F34" w14:textId="77777777" w:rsidR="004A4E20" w:rsidRDefault="004A4E20" w:rsidP="004A4E20">
      <w:pPr>
        <w:pStyle w:val="Heading1"/>
      </w:pPr>
      <w:r>
        <w:t>Background</w:t>
      </w:r>
    </w:p>
    <w:p w14:paraId="5CC34F35" w14:textId="77777777" w:rsidR="004A4E20" w:rsidRDefault="004A4E20" w:rsidP="002E1221">
      <w:pPr>
        <w:ind w:right="4"/>
      </w:pPr>
    </w:p>
    <w:p w14:paraId="5CC34F36" w14:textId="77777777" w:rsidR="00F9329B" w:rsidRDefault="00F643E6" w:rsidP="004A4E20">
      <w:pPr>
        <w:pStyle w:val="NoSpacing"/>
        <w:rPr>
          <w:rFonts w:cs="Arial"/>
          <w:lang w:val="en-US"/>
        </w:rPr>
      </w:pPr>
      <w:r w:rsidRPr="00F643E6">
        <w:t xml:space="preserve">In </w:t>
      </w:r>
      <w:r w:rsidR="00A746E7">
        <w:t xml:space="preserve">November </w:t>
      </w:r>
      <w:r w:rsidRPr="00F643E6">
        <w:t xml:space="preserve">2003, the </w:t>
      </w:r>
      <w:r w:rsidR="00A746E7">
        <w:t xml:space="preserve">House of Representatives Standing Committee on Economics, Finance and Public Administration released its </w:t>
      </w:r>
      <w:r w:rsidR="00A746E7" w:rsidRPr="001742DD">
        <w:rPr>
          <w:i/>
        </w:rPr>
        <w:t>Rates and Taxes</w:t>
      </w:r>
      <w:r w:rsidR="001742DD" w:rsidRPr="001742DD">
        <w:rPr>
          <w:i/>
        </w:rPr>
        <w:t>: A Fair Share for Local Gove</w:t>
      </w:r>
      <w:r w:rsidR="0058326D">
        <w:rPr>
          <w:i/>
        </w:rPr>
        <w:t>r</w:t>
      </w:r>
      <w:r w:rsidR="001742DD" w:rsidRPr="001742DD">
        <w:rPr>
          <w:i/>
        </w:rPr>
        <w:t>nment</w:t>
      </w:r>
      <w:r w:rsidR="001742DD">
        <w:t xml:space="preserve"> report. The report</w:t>
      </w:r>
      <w:r w:rsidRPr="00F643E6">
        <w:t xml:space="preserve"> found</w:t>
      </w:r>
      <w:r w:rsidR="004A4E20">
        <w:t xml:space="preserve"> that `local government has, over a number of years, been on the wrong end of cost shifting largely by state governments.’ The report made 18</w:t>
      </w:r>
      <w:r>
        <w:t xml:space="preserve"> </w:t>
      </w:r>
      <w:r w:rsidR="00F9329B">
        <w:rPr>
          <w:rFonts w:cs="Arial"/>
          <w:lang w:val="en-US"/>
        </w:rPr>
        <w:t>recommend</w:t>
      </w:r>
      <w:r w:rsidR="004A4E20">
        <w:rPr>
          <w:rFonts w:cs="Arial"/>
          <w:lang w:val="en-US"/>
        </w:rPr>
        <w:t>ations, including that a</w:t>
      </w:r>
      <w:r w:rsidR="00F9329B">
        <w:rPr>
          <w:rFonts w:cs="Arial"/>
          <w:lang w:val="en-US"/>
        </w:rPr>
        <w:t>n inter-governmental agreement</w:t>
      </w:r>
      <w:r w:rsidR="004A4E20">
        <w:rPr>
          <w:rFonts w:cs="Arial"/>
          <w:lang w:val="en-US"/>
        </w:rPr>
        <w:t xml:space="preserve"> be developed</w:t>
      </w:r>
      <w:r w:rsidR="00F9329B">
        <w:rPr>
          <w:rFonts w:cs="Arial"/>
          <w:lang w:val="en-US"/>
        </w:rPr>
        <w:t xml:space="preserve"> to address cost shifting onto </w:t>
      </w:r>
      <w:r w:rsidR="00F9329B" w:rsidRPr="00E72A63">
        <w:rPr>
          <w:rFonts w:cs="Arial"/>
          <w:lang w:val="en-US"/>
        </w:rPr>
        <w:t>local government</w:t>
      </w:r>
      <w:r w:rsidR="00F9329B">
        <w:rPr>
          <w:rFonts w:cs="Arial"/>
          <w:lang w:val="en-US"/>
        </w:rPr>
        <w:t>.</w:t>
      </w:r>
      <w:r w:rsidR="00F9329B" w:rsidRPr="00F9329B">
        <w:rPr>
          <w:rFonts w:cs="Arial"/>
          <w:lang w:val="en-US"/>
        </w:rPr>
        <w:t xml:space="preserve"> As a result</w:t>
      </w:r>
      <w:r w:rsidR="00F9329B">
        <w:rPr>
          <w:rFonts w:cs="Arial"/>
          <w:lang w:val="en-US"/>
        </w:rPr>
        <w:t>,</w:t>
      </w:r>
      <w:r w:rsidR="00F9329B" w:rsidRPr="00F9329B">
        <w:rPr>
          <w:rFonts w:cs="Arial"/>
          <w:lang w:val="en-US"/>
        </w:rPr>
        <w:t xml:space="preserve"> </w:t>
      </w:r>
      <w:r w:rsidR="00F9329B" w:rsidRPr="00F9329B">
        <w:rPr>
          <w:rFonts w:cs="Arial"/>
        </w:rPr>
        <w:t xml:space="preserve">the </w:t>
      </w:r>
      <w:r w:rsidR="00F9329B" w:rsidRPr="00F9329B">
        <w:rPr>
          <w:rFonts w:cs="Arial"/>
          <w:i/>
        </w:rPr>
        <w:t>Inter-Governmental Agreement Establishing Principles Guiding Inter-Governmental Relations on Local Government Matters</w:t>
      </w:r>
      <w:r w:rsidR="00F9329B" w:rsidRPr="00F9329B">
        <w:rPr>
          <w:rFonts w:cs="Arial"/>
        </w:rPr>
        <w:t xml:space="preserve"> (IGA)</w:t>
      </w:r>
      <w:r w:rsidR="00F9329B">
        <w:rPr>
          <w:rFonts w:cs="Arial"/>
          <w:lang w:val="en-US"/>
        </w:rPr>
        <w:t xml:space="preserve"> was created. </w:t>
      </w:r>
    </w:p>
    <w:p w14:paraId="5CC34F37" w14:textId="77777777" w:rsidR="00F9329B" w:rsidRDefault="00F9329B" w:rsidP="00C668A2">
      <w:pPr>
        <w:ind w:right="4"/>
      </w:pPr>
    </w:p>
    <w:p w14:paraId="5CC34F38" w14:textId="77777777" w:rsidR="00F643E6" w:rsidRDefault="00EB6834" w:rsidP="00F643E6">
      <w:pPr>
        <w:pStyle w:val="NoSpacing"/>
        <w:rPr>
          <w:rFonts w:cs="Arial"/>
          <w:lang w:val="en-US"/>
        </w:rPr>
      </w:pPr>
      <w:r>
        <w:t xml:space="preserve">The IGA </w:t>
      </w:r>
      <w:r w:rsidR="00C668A2">
        <w:t xml:space="preserve">sought </w:t>
      </w:r>
      <w:r>
        <w:t>to address cost shifting onto local government by obtaining in</w:t>
      </w:r>
      <w:r w:rsidR="008E19D4">
        <w:t>-</w:t>
      </w:r>
      <w:r>
        <w:t>principle agreement from governments that when a responsibility is devolved to local government, local government is consulted and the financial and other impacts on local government are taken into account.</w:t>
      </w:r>
      <w:r w:rsidR="00C668A2">
        <w:t xml:space="preserve"> </w:t>
      </w:r>
      <w:r w:rsidR="00F60213">
        <w:t>It also intended</w:t>
      </w:r>
      <w:r w:rsidR="00C668A2">
        <w:t xml:space="preserve"> to improve the relationship and consultation between governments on local government matters.</w:t>
      </w:r>
      <w:r w:rsidR="00F643E6">
        <w:t xml:space="preserve"> </w:t>
      </w:r>
      <w:r w:rsidR="00F643E6">
        <w:rPr>
          <w:rFonts w:cs="Arial"/>
          <w:lang w:val="en-US"/>
        </w:rPr>
        <w:t xml:space="preserve">The Commonwealth, each State and Territory and the Australian Local Government Association, on behalf of all councils, were made parties to the agreement. </w:t>
      </w:r>
    </w:p>
    <w:p w14:paraId="5CC34F39" w14:textId="77777777" w:rsidR="004A4E20" w:rsidRDefault="004A4E20" w:rsidP="004A4E20">
      <w:pPr>
        <w:pStyle w:val="Heading1"/>
      </w:pPr>
      <w:r>
        <w:t>The purpose of the VSLGA</w:t>
      </w:r>
    </w:p>
    <w:p w14:paraId="5CC34F3A" w14:textId="77777777" w:rsidR="004A4E20" w:rsidRDefault="004A4E20" w:rsidP="00C668A2">
      <w:pPr>
        <w:ind w:right="4"/>
      </w:pPr>
    </w:p>
    <w:p w14:paraId="5CC34F3B" w14:textId="77777777" w:rsidR="00F643E6" w:rsidRDefault="00F643E6" w:rsidP="00F643E6">
      <w:pPr>
        <w:ind w:right="4"/>
      </w:pPr>
      <w:r>
        <w:t>When first drafted, the VSLGA was designed to give effect in Victoria to the IGA.</w:t>
      </w:r>
    </w:p>
    <w:p w14:paraId="5CC34F3C" w14:textId="77777777" w:rsidR="00F643E6" w:rsidRDefault="00F643E6" w:rsidP="002E1221">
      <w:pPr>
        <w:ind w:right="4"/>
      </w:pPr>
    </w:p>
    <w:p w14:paraId="5CC34F3D" w14:textId="77777777" w:rsidR="00F810EB" w:rsidRDefault="004A4E20" w:rsidP="00F810EB">
      <w:pPr>
        <w:ind w:right="4"/>
      </w:pPr>
      <w:r>
        <w:t>A</w:t>
      </w:r>
      <w:r w:rsidR="009C7168">
        <w:t>s the embodiment of the IGA in Victoria,</w:t>
      </w:r>
      <w:r>
        <w:t xml:space="preserve"> the VSLGA</w:t>
      </w:r>
      <w:r w:rsidR="009C7168">
        <w:t xml:space="preserve"> should</w:t>
      </w:r>
      <w:r w:rsidR="00F810EB">
        <w:t xml:space="preserve"> then</w:t>
      </w:r>
      <w:r w:rsidR="009C7168">
        <w:t xml:space="preserve">, at least in part, be assessed against its </w:t>
      </w:r>
      <w:r w:rsidR="00D87F24">
        <w:t xml:space="preserve">record of, and </w:t>
      </w:r>
      <w:r w:rsidR="008126E4">
        <w:t>ability to</w:t>
      </w:r>
      <w:r w:rsidR="00D87F24">
        <w:t>,</w:t>
      </w:r>
      <w:r w:rsidR="008126E4">
        <w:t xml:space="preserve"> address</w:t>
      </w:r>
      <w:r w:rsidR="009C7168">
        <w:t xml:space="preserve"> cost shifting</w:t>
      </w:r>
      <w:r w:rsidR="0058326D">
        <w:t xml:space="preserve"> on</w:t>
      </w:r>
      <w:r w:rsidR="009C7168">
        <w:t xml:space="preserve"> to local government and </w:t>
      </w:r>
      <w:r w:rsidR="00AF3C81">
        <w:t xml:space="preserve">facilitate </w:t>
      </w:r>
      <w:r w:rsidR="00F60213">
        <w:t xml:space="preserve">improved </w:t>
      </w:r>
      <w:r w:rsidR="00EB6834">
        <w:t>relations between state and local government.</w:t>
      </w:r>
      <w:r w:rsidR="00AF3C81">
        <w:t xml:space="preserve"> </w:t>
      </w:r>
      <w:r w:rsidR="009C7168">
        <w:t xml:space="preserve">Feedback from the sector indicates that the success of the VSLGA </w:t>
      </w:r>
      <w:r w:rsidR="00F60213">
        <w:t>against these measures</w:t>
      </w:r>
      <w:r w:rsidR="009C7168">
        <w:t xml:space="preserve"> has, at best, being patchy. </w:t>
      </w:r>
    </w:p>
    <w:p w14:paraId="5CC34F3E" w14:textId="77777777" w:rsidR="0057751B" w:rsidRDefault="0057751B" w:rsidP="00F810EB">
      <w:pPr>
        <w:ind w:right="4"/>
      </w:pPr>
    </w:p>
    <w:p w14:paraId="5CC34F3F" w14:textId="77777777" w:rsidR="0057751B" w:rsidRDefault="0057751B" w:rsidP="00F810EB">
      <w:pPr>
        <w:ind w:right="4"/>
      </w:pPr>
    </w:p>
    <w:p w14:paraId="5CC34F40" w14:textId="77777777" w:rsidR="00F810EB" w:rsidRDefault="00F810EB" w:rsidP="00F60A2F">
      <w:pPr>
        <w:pStyle w:val="Heading2"/>
      </w:pPr>
      <w:r>
        <w:lastRenderedPageBreak/>
        <w:t>Cost shifting</w:t>
      </w:r>
    </w:p>
    <w:p w14:paraId="5CC34F41" w14:textId="77777777" w:rsidR="00F810EB" w:rsidRDefault="00F810EB" w:rsidP="00F810EB">
      <w:pPr>
        <w:pStyle w:val="ListParagraph"/>
        <w:ind w:left="1080" w:right="4"/>
      </w:pPr>
    </w:p>
    <w:p w14:paraId="5CC34F42" w14:textId="77777777" w:rsidR="005329F0" w:rsidRDefault="008126E4" w:rsidP="00AF3C81">
      <w:pPr>
        <w:ind w:right="4"/>
      </w:pPr>
      <w:r>
        <w:t xml:space="preserve">In relation to the VSLGA’s impact on addressing cost shifting, the feedback from councils is </w:t>
      </w:r>
      <w:r w:rsidR="000D3F50">
        <w:t>unanimous</w:t>
      </w:r>
      <w:r>
        <w:t xml:space="preserve"> - t</w:t>
      </w:r>
      <w:r w:rsidR="00D87F24">
        <w:t>he current government</w:t>
      </w:r>
      <w:r w:rsidR="00E94482">
        <w:t>, like the</w:t>
      </w:r>
      <w:r w:rsidR="00F810EB">
        <w:t xml:space="preserve"> previous state government, regularly fail</w:t>
      </w:r>
      <w:r w:rsidR="00E94482">
        <w:t>s</w:t>
      </w:r>
      <w:r w:rsidR="00F810EB">
        <w:t xml:space="preserve"> to consult </w:t>
      </w:r>
      <w:r w:rsidR="0000187D">
        <w:t xml:space="preserve">with local government </w:t>
      </w:r>
      <w:r w:rsidR="00F810EB">
        <w:t>on changes that will have a major impact on local government.</w:t>
      </w:r>
      <w:r w:rsidR="00695784">
        <w:t xml:space="preserve"> </w:t>
      </w:r>
    </w:p>
    <w:p w14:paraId="5CC34F43" w14:textId="77777777" w:rsidR="005329F0" w:rsidRDefault="005329F0" w:rsidP="00AF3C81">
      <w:pPr>
        <w:ind w:right="4"/>
      </w:pPr>
    </w:p>
    <w:p w14:paraId="5CC34F44" w14:textId="77777777" w:rsidR="00F810EB" w:rsidRDefault="005329F0" w:rsidP="00AF3C81">
      <w:pPr>
        <w:ind w:right="4"/>
      </w:pPr>
      <w:r>
        <w:t>Neighbourhood Safer Places, r</w:t>
      </w:r>
      <w:r w:rsidR="00695784">
        <w:t xml:space="preserve">oadside weeds, rural drainage, restricted breed dogs, </w:t>
      </w:r>
      <w:r>
        <w:t>the fire services levy - the</w:t>
      </w:r>
      <w:r w:rsidR="00805489">
        <w:t>s</w:t>
      </w:r>
      <w:r>
        <w:t xml:space="preserve">e are but a few recent examples where the State has unilaterally decided to place additional responsibilities on councils without providing </w:t>
      </w:r>
      <w:r w:rsidR="00805489">
        <w:t>sufficient</w:t>
      </w:r>
      <w:r>
        <w:t xml:space="preserve"> funding </w:t>
      </w:r>
      <w:r w:rsidR="00805489">
        <w:t xml:space="preserve"> and </w:t>
      </w:r>
      <w:r>
        <w:t>support.</w:t>
      </w:r>
      <w:r w:rsidR="00DE3684">
        <w:t xml:space="preserve"> Too often the State fails to take into account the resource constraints of councils and the impacts its decisions have on the financial sustainability of councils and on local communities.</w:t>
      </w:r>
    </w:p>
    <w:p w14:paraId="5CC34F45" w14:textId="77777777" w:rsidR="00F810EB" w:rsidRDefault="00F810EB" w:rsidP="00AF3C81">
      <w:pPr>
        <w:ind w:right="4"/>
      </w:pPr>
    </w:p>
    <w:p w14:paraId="5CC34F46" w14:textId="77777777" w:rsidR="00AF3C81" w:rsidRDefault="00AF3C81" w:rsidP="00AF3C81">
      <w:pPr>
        <w:ind w:right="4"/>
      </w:pPr>
      <w:r>
        <w:t xml:space="preserve">While there </w:t>
      </w:r>
      <w:r w:rsidR="000D3F50">
        <w:t>have been instances</w:t>
      </w:r>
      <w:r w:rsidR="009C7168">
        <w:t xml:space="preserve"> of str</w:t>
      </w:r>
      <w:r w:rsidR="00E41BC2">
        <w:t>ong consultation and engagement</w:t>
      </w:r>
      <w:r w:rsidR="009C7168">
        <w:t xml:space="preserve">, </w:t>
      </w:r>
      <w:r w:rsidR="00F810EB">
        <w:t>t</w:t>
      </w:r>
      <w:r w:rsidR="00F60213">
        <w:t xml:space="preserve">he best examples </w:t>
      </w:r>
      <w:r w:rsidR="007A6D36">
        <w:t xml:space="preserve">can usually be credited to established </w:t>
      </w:r>
      <w:r w:rsidR="009C7168">
        <w:t>relationships between the sector</w:t>
      </w:r>
      <w:r w:rsidR="00F60213">
        <w:t xml:space="preserve"> </w:t>
      </w:r>
      <w:r w:rsidR="00F810EB">
        <w:t xml:space="preserve">(including the MAV) </w:t>
      </w:r>
      <w:r w:rsidR="00F60213">
        <w:t>and the key s</w:t>
      </w:r>
      <w:r w:rsidR="009C7168">
        <w:t>tate pla</w:t>
      </w:r>
      <w:r w:rsidR="00D87F24">
        <w:t xml:space="preserve">yers for </w:t>
      </w:r>
      <w:r w:rsidR="005C77CC">
        <w:t>specific</w:t>
      </w:r>
      <w:r w:rsidR="00D87F24">
        <w:t xml:space="preserve"> portfolios, </w:t>
      </w:r>
      <w:r w:rsidR="009C7168">
        <w:t>including individual Ministers</w:t>
      </w:r>
      <w:r w:rsidR="008606AE">
        <w:t xml:space="preserve"> and senior </w:t>
      </w:r>
      <w:r w:rsidR="000D3F50">
        <w:t>departmental officers</w:t>
      </w:r>
      <w:r w:rsidR="008606AE">
        <w:t xml:space="preserve">. </w:t>
      </w:r>
      <w:r>
        <w:t>That is, the VSLGA</w:t>
      </w:r>
      <w:r w:rsidR="00EB0122">
        <w:t xml:space="preserve"> has not, to date, resulted in </w:t>
      </w:r>
      <w:r w:rsidR="00B14554">
        <w:t>a g</w:t>
      </w:r>
      <w:r w:rsidR="008606AE">
        <w:t xml:space="preserve">enuine whole-of government commitment to </w:t>
      </w:r>
      <w:r>
        <w:t xml:space="preserve">consultation, communication and negotiation with local government prior </w:t>
      </w:r>
      <w:r w:rsidR="008606AE">
        <w:t>to</w:t>
      </w:r>
      <w:r w:rsidR="00EB0122">
        <w:t xml:space="preserve"> </w:t>
      </w:r>
      <w:r>
        <w:t xml:space="preserve">making </w:t>
      </w:r>
      <w:r w:rsidR="008606AE">
        <w:t>a</w:t>
      </w:r>
      <w:r>
        <w:t xml:space="preserve"> decision to allocate councils with any new, revised or expanded roles and responsibilities. </w:t>
      </w:r>
    </w:p>
    <w:p w14:paraId="5CC34F47" w14:textId="77777777" w:rsidR="0057751B" w:rsidRDefault="0057751B" w:rsidP="00AF3C81">
      <w:pPr>
        <w:ind w:right="4"/>
      </w:pPr>
    </w:p>
    <w:p w14:paraId="5CC34F48" w14:textId="77777777" w:rsidR="0061391C" w:rsidRDefault="00475D39" w:rsidP="0061391C">
      <w:pPr>
        <w:pStyle w:val="Heading3"/>
      </w:pPr>
      <w:r>
        <w:t>Implementation of the VSLGA (Part 4)</w:t>
      </w:r>
    </w:p>
    <w:p w14:paraId="5CC34F49" w14:textId="77777777" w:rsidR="0061391C" w:rsidRDefault="0061391C" w:rsidP="002E1221">
      <w:pPr>
        <w:ind w:right="4"/>
      </w:pPr>
    </w:p>
    <w:p w14:paraId="5CC34F4A" w14:textId="77777777" w:rsidR="00E41BC2" w:rsidRDefault="003726AD" w:rsidP="002E1221">
      <w:pPr>
        <w:ind w:right="4"/>
      </w:pPr>
      <w:r>
        <w:t>In light of the ongoing failure of the State to properly consult and communicate with local government</w:t>
      </w:r>
      <w:r w:rsidR="00B14554">
        <w:t xml:space="preserve">, the </w:t>
      </w:r>
      <w:r w:rsidR="00E94482">
        <w:t xml:space="preserve">MAV </w:t>
      </w:r>
      <w:r w:rsidR="003956F4">
        <w:t xml:space="preserve">largely </w:t>
      </w:r>
      <w:r w:rsidR="00B14554">
        <w:t>s</w:t>
      </w:r>
      <w:r w:rsidR="00E94482">
        <w:t>upports the</w:t>
      </w:r>
      <w:r w:rsidR="005C77CC">
        <w:t xml:space="preserve"> </w:t>
      </w:r>
      <w:r w:rsidR="00B14554">
        <w:t>proposed revision of Part 4 of the VSLGA, as set out in the draft for consultation</w:t>
      </w:r>
      <w:r w:rsidR="003956F4">
        <w:t>.</w:t>
      </w:r>
      <w:r w:rsidR="00B14554">
        <w:t xml:space="preserve"> </w:t>
      </w:r>
    </w:p>
    <w:p w14:paraId="5CC34F4B" w14:textId="77777777" w:rsidR="00E41BC2" w:rsidRDefault="00E41BC2" w:rsidP="002E1221">
      <w:pPr>
        <w:ind w:right="4"/>
      </w:pPr>
    </w:p>
    <w:p w14:paraId="5CC34F4C" w14:textId="77777777" w:rsidR="003956F4" w:rsidRDefault="00B14554" w:rsidP="002E1221">
      <w:pPr>
        <w:ind w:right="4"/>
      </w:pPr>
      <w:r>
        <w:t>In particular, we welcome</w:t>
      </w:r>
      <w:r w:rsidR="00C92084">
        <w:t xml:space="preserve"> the State making c</w:t>
      </w:r>
      <w:r w:rsidR="0061391C">
        <w:t>lear its</w:t>
      </w:r>
      <w:r w:rsidR="00C92084">
        <w:t xml:space="preserve"> support for the introduction and application of Local Government Impact Statements at Cabinet (paragraph 9(ii)), and for clearly articulating </w:t>
      </w:r>
      <w:r w:rsidR="0061391C">
        <w:t>its</w:t>
      </w:r>
      <w:r w:rsidR="000D3F50">
        <w:t xml:space="preserve"> commitment to consult with local government on any change to the legislative framework that impacts on local government</w:t>
      </w:r>
      <w:r w:rsidR="00C92084">
        <w:t xml:space="preserve"> (paragraph 13)</w:t>
      </w:r>
      <w:r w:rsidR="000D3F50">
        <w:t xml:space="preserve">. </w:t>
      </w:r>
      <w:r w:rsidR="00E41BC2">
        <w:t>We view</w:t>
      </w:r>
      <w:r w:rsidR="00C92084">
        <w:t xml:space="preserve"> </w:t>
      </w:r>
      <w:r w:rsidR="003726AD">
        <w:t>both</w:t>
      </w:r>
      <w:r w:rsidR="00E91C17">
        <w:t xml:space="preserve"> undertaking</w:t>
      </w:r>
      <w:r w:rsidR="003726AD">
        <w:t>s</w:t>
      </w:r>
      <w:r w:rsidR="00E91C17">
        <w:t xml:space="preserve"> </w:t>
      </w:r>
      <w:r w:rsidR="00E41BC2">
        <w:t>as critica</w:t>
      </w:r>
      <w:r w:rsidR="00872F38">
        <w:t>l</w:t>
      </w:r>
      <w:r w:rsidR="00E41BC2">
        <w:t>l</w:t>
      </w:r>
      <w:r w:rsidR="00872F38">
        <w:t>y</w:t>
      </w:r>
      <w:r w:rsidR="003726AD">
        <w:t xml:space="preserve"> important</w:t>
      </w:r>
      <w:r w:rsidR="00E41BC2">
        <w:t xml:space="preserve"> and therefore ask that</w:t>
      </w:r>
      <w:r w:rsidR="003726AD">
        <w:t xml:space="preserve"> paragraph 13</w:t>
      </w:r>
      <w:r w:rsidR="00E41BC2">
        <w:t xml:space="preserve"> be </w:t>
      </w:r>
      <w:r w:rsidR="003726AD">
        <w:t>moved</w:t>
      </w:r>
      <w:r w:rsidR="0061391C">
        <w:t>, along with paragraph 12, to the top of Part 4</w:t>
      </w:r>
      <w:r w:rsidR="00E91C17">
        <w:t xml:space="preserve">, so that </w:t>
      </w:r>
      <w:r w:rsidR="003726AD">
        <w:t>t</w:t>
      </w:r>
      <w:r w:rsidR="00872F38">
        <w:t>here can be no mistaking that these are</w:t>
      </w:r>
      <w:r w:rsidR="003726AD">
        <w:t xml:space="preserve"> high priority implementation</w:t>
      </w:r>
      <w:r w:rsidR="00E91C17">
        <w:t xml:space="preserve"> </w:t>
      </w:r>
      <w:r w:rsidR="007A6D36">
        <w:t>action</w:t>
      </w:r>
      <w:r w:rsidR="00872F38">
        <w:t>s</w:t>
      </w:r>
      <w:r w:rsidR="00E91C17">
        <w:t>.</w:t>
      </w:r>
      <w:r w:rsidR="00C92084">
        <w:t xml:space="preserve"> </w:t>
      </w:r>
      <w:r w:rsidR="009A46BF">
        <w:t xml:space="preserve">We also ask that the commitment to consult with local government </w:t>
      </w:r>
      <w:r w:rsidR="00480A16">
        <w:t xml:space="preserve">(paragraph 13) </w:t>
      </w:r>
      <w:r w:rsidR="009A46BF">
        <w:t xml:space="preserve">be extended to </w:t>
      </w:r>
      <w:r w:rsidR="00480A16">
        <w:t xml:space="preserve">include </w:t>
      </w:r>
      <w:r w:rsidR="009A46BF">
        <w:t>any change to funding arrangements</w:t>
      </w:r>
      <w:r w:rsidR="00480A16">
        <w:t xml:space="preserve"> (in addition </w:t>
      </w:r>
      <w:r w:rsidR="00805489">
        <w:t>t</w:t>
      </w:r>
      <w:r w:rsidR="00480A16">
        <w:t>o</w:t>
      </w:r>
      <w:r w:rsidR="00805489">
        <w:t xml:space="preserve"> any</w:t>
      </w:r>
      <w:r w:rsidR="00480A16">
        <w:t xml:space="preserve"> change to a legislative framework)</w:t>
      </w:r>
      <w:r w:rsidR="009A46BF">
        <w:t>.</w:t>
      </w:r>
    </w:p>
    <w:p w14:paraId="5CC34F4D" w14:textId="77777777" w:rsidR="00EA0FD5" w:rsidRPr="00F416D2" w:rsidRDefault="00EA0FD5" w:rsidP="002E1221">
      <w:pPr>
        <w:ind w:right="4"/>
        <w:rPr>
          <w:rFonts w:cs="Arial"/>
        </w:rPr>
      </w:pPr>
    </w:p>
    <w:p w14:paraId="5CC34F4E" w14:textId="77777777" w:rsidR="00EA0FD5" w:rsidRPr="00F416D2" w:rsidRDefault="00EA0FD5" w:rsidP="00EA0FD5">
      <w:pPr>
        <w:ind w:right="4"/>
        <w:rPr>
          <w:rFonts w:cs="Arial"/>
        </w:rPr>
      </w:pPr>
      <w:r w:rsidRPr="00F416D2">
        <w:rPr>
          <w:rFonts w:cs="Arial"/>
        </w:rPr>
        <w:t xml:space="preserve">It’s also important that any reference to a specific program that is to be delivered by the sector, such as the Local Government Reform Agenda and the Single Funding Agreement, is amended to make clear that that program must be first agreed to by local government. This can be addressed by simply adding the words “an agreed” before each program, for example “… to deliver </w:t>
      </w:r>
      <w:r w:rsidRPr="00F416D2">
        <w:rPr>
          <w:rFonts w:cs="Arial"/>
          <w:i/>
        </w:rPr>
        <w:t>an agreed</w:t>
      </w:r>
      <w:r w:rsidRPr="00F416D2">
        <w:rPr>
          <w:rFonts w:cs="Arial"/>
        </w:rPr>
        <w:t xml:space="preserve"> Local Government Reform Agenda…”</w:t>
      </w:r>
    </w:p>
    <w:p w14:paraId="5CC34F4F" w14:textId="77777777" w:rsidR="003956F4" w:rsidRPr="00F416D2" w:rsidRDefault="003956F4" w:rsidP="002E1221">
      <w:pPr>
        <w:ind w:right="4"/>
        <w:rPr>
          <w:rFonts w:cs="Arial"/>
        </w:rPr>
      </w:pPr>
    </w:p>
    <w:p w14:paraId="5CC34F50" w14:textId="77777777" w:rsidR="00B14554" w:rsidRPr="00F416D2" w:rsidRDefault="00475D39" w:rsidP="002E1221">
      <w:pPr>
        <w:ind w:right="4"/>
        <w:rPr>
          <w:rFonts w:cs="Arial"/>
        </w:rPr>
      </w:pPr>
      <w:r w:rsidRPr="00F416D2">
        <w:rPr>
          <w:rFonts w:cs="Arial"/>
        </w:rPr>
        <w:t xml:space="preserve">We </w:t>
      </w:r>
      <w:r w:rsidR="003726AD" w:rsidRPr="00F416D2">
        <w:rPr>
          <w:rFonts w:cs="Arial"/>
        </w:rPr>
        <w:t>note the reference to Appendix A at paragraph 10 and ask that both that paragraph and the appendix itself be removed from the VSLGA. It is the MAV’s position</w:t>
      </w:r>
      <w:r w:rsidR="003956F4" w:rsidRPr="00F416D2">
        <w:rPr>
          <w:rFonts w:cs="Arial"/>
        </w:rPr>
        <w:t xml:space="preserve"> that the mechanisms currently listed in </w:t>
      </w:r>
      <w:r w:rsidR="003726AD" w:rsidRPr="00F416D2">
        <w:rPr>
          <w:rFonts w:cs="Arial"/>
        </w:rPr>
        <w:t>A</w:t>
      </w:r>
      <w:r w:rsidR="003956F4" w:rsidRPr="00F416D2">
        <w:rPr>
          <w:rFonts w:cs="Arial"/>
        </w:rPr>
        <w:t xml:space="preserve">ppendix </w:t>
      </w:r>
      <w:r w:rsidR="003726AD" w:rsidRPr="00F416D2">
        <w:rPr>
          <w:rFonts w:cs="Arial"/>
        </w:rPr>
        <w:t xml:space="preserve">A </w:t>
      </w:r>
      <w:r w:rsidR="003956F4" w:rsidRPr="00F416D2">
        <w:rPr>
          <w:rFonts w:cs="Arial"/>
        </w:rPr>
        <w:t>are not necessarily</w:t>
      </w:r>
      <w:r w:rsidR="00D1253F" w:rsidRPr="00F416D2">
        <w:rPr>
          <w:rFonts w:cs="Arial"/>
        </w:rPr>
        <w:t xml:space="preserve"> best practice</w:t>
      </w:r>
      <w:r w:rsidR="003956F4" w:rsidRPr="00F416D2">
        <w:rPr>
          <w:rFonts w:cs="Arial"/>
        </w:rPr>
        <w:t xml:space="preserve"> examples</w:t>
      </w:r>
      <w:r w:rsidR="00D1253F" w:rsidRPr="00F416D2">
        <w:rPr>
          <w:rFonts w:cs="Arial"/>
        </w:rPr>
        <w:t xml:space="preserve"> relevant to</w:t>
      </w:r>
      <w:r w:rsidR="0009009F" w:rsidRPr="00F416D2">
        <w:rPr>
          <w:rFonts w:cs="Arial"/>
        </w:rPr>
        <w:t xml:space="preserve"> the VSLGA</w:t>
      </w:r>
      <w:r w:rsidR="003956F4" w:rsidRPr="00F416D2">
        <w:rPr>
          <w:rFonts w:cs="Arial"/>
        </w:rPr>
        <w:t xml:space="preserve">, in that </w:t>
      </w:r>
      <w:r w:rsidR="00E41BC2" w:rsidRPr="00F416D2">
        <w:rPr>
          <w:rFonts w:cs="Arial"/>
        </w:rPr>
        <w:t xml:space="preserve">they are </w:t>
      </w:r>
      <w:r w:rsidR="00872F38" w:rsidRPr="00F416D2">
        <w:rPr>
          <w:rFonts w:cs="Arial"/>
        </w:rPr>
        <w:t>variously</w:t>
      </w:r>
      <w:r w:rsidR="00E41BC2" w:rsidRPr="00F416D2">
        <w:rPr>
          <w:rFonts w:cs="Arial"/>
        </w:rPr>
        <w:t>:</w:t>
      </w:r>
    </w:p>
    <w:p w14:paraId="5CC34F51" w14:textId="77777777" w:rsidR="00E41BC2" w:rsidRPr="00F416D2" w:rsidRDefault="00E41BC2" w:rsidP="00E41BC2">
      <w:pPr>
        <w:pStyle w:val="ListParagraph"/>
        <w:numPr>
          <w:ilvl w:val="0"/>
          <w:numId w:val="7"/>
        </w:numPr>
        <w:ind w:right="4"/>
      </w:pPr>
      <w:r w:rsidRPr="00F416D2">
        <w:t>not truly representative of the sector</w:t>
      </w:r>
      <w:r w:rsidR="00D1253F" w:rsidRPr="00F416D2">
        <w:t>;</w:t>
      </w:r>
    </w:p>
    <w:p w14:paraId="5CC34F52" w14:textId="77777777" w:rsidR="00E41BC2" w:rsidRPr="00F416D2" w:rsidRDefault="00D1253F" w:rsidP="00E41BC2">
      <w:pPr>
        <w:pStyle w:val="ListParagraph"/>
        <w:numPr>
          <w:ilvl w:val="0"/>
          <w:numId w:val="7"/>
        </w:numPr>
        <w:ind w:right="4"/>
      </w:pPr>
      <w:r w:rsidRPr="00F416D2">
        <w:t>not focused on local government issues per se; or</w:t>
      </w:r>
    </w:p>
    <w:p w14:paraId="5CC34F53" w14:textId="77777777" w:rsidR="00E41BC2" w:rsidRPr="00F416D2" w:rsidRDefault="00D1253F" w:rsidP="00E41BC2">
      <w:pPr>
        <w:pStyle w:val="ListParagraph"/>
        <w:numPr>
          <w:ilvl w:val="0"/>
          <w:numId w:val="7"/>
        </w:numPr>
        <w:ind w:right="4"/>
      </w:pPr>
      <w:r w:rsidRPr="00F416D2">
        <w:t>provide limited, or no, opportunity to genuinely influence Government policy.</w:t>
      </w:r>
    </w:p>
    <w:p w14:paraId="5CC34F54" w14:textId="77777777" w:rsidR="00805489" w:rsidRDefault="00805489" w:rsidP="003726AD">
      <w:pPr>
        <w:ind w:right="4"/>
      </w:pPr>
    </w:p>
    <w:p w14:paraId="5CC34F55" w14:textId="77777777" w:rsidR="00872F38" w:rsidRDefault="005329F0" w:rsidP="003726AD">
      <w:pPr>
        <w:ind w:right="4"/>
      </w:pPr>
      <w:r>
        <w:lastRenderedPageBreak/>
        <w:t>The sector receives little, if any, formal feedback from these groups in terms of their priorities, actions and achievements.</w:t>
      </w:r>
      <w:r w:rsidR="00805489">
        <w:t xml:space="preserve"> </w:t>
      </w:r>
    </w:p>
    <w:p w14:paraId="5CC34F56" w14:textId="77777777" w:rsidR="005329F0" w:rsidRDefault="005329F0" w:rsidP="003726AD">
      <w:pPr>
        <w:ind w:right="4"/>
      </w:pPr>
    </w:p>
    <w:p w14:paraId="5CC34F57" w14:textId="77777777" w:rsidR="003726AD" w:rsidRDefault="003726AD" w:rsidP="003726AD">
      <w:pPr>
        <w:ind w:right="4"/>
      </w:pPr>
      <w:r>
        <w:t xml:space="preserve">We are also concerned that </w:t>
      </w:r>
      <w:r w:rsidR="00872F38">
        <w:t xml:space="preserve">inclusion of </w:t>
      </w:r>
      <w:r>
        <w:t>a list of existing mechanisms</w:t>
      </w:r>
      <w:r w:rsidR="00872F38">
        <w:t xml:space="preserve"> with</w:t>
      </w:r>
      <w:r w:rsidR="001D6170">
        <w:t>in</w:t>
      </w:r>
      <w:r w:rsidR="00872F38">
        <w:t xml:space="preserve"> the VSLGA may act as a</w:t>
      </w:r>
      <w:r>
        <w:t xml:space="preserve"> disincentive to reform those mechanisms or to introduce new, better, mechanisms. </w:t>
      </w:r>
    </w:p>
    <w:p w14:paraId="5CC34F58" w14:textId="77777777" w:rsidR="00EB6F08" w:rsidRDefault="00EB6F08" w:rsidP="003726AD">
      <w:pPr>
        <w:ind w:right="4"/>
      </w:pPr>
    </w:p>
    <w:p w14:paraId="5CC34F59" w14:textId="77777777" w:rsidR="00EB6F08" w:rsidRDefault="00123FF8" w:rsidP="003726AD">
      <w:pPr>
        <w:ind w:right="4"/>
      </w:pPr>
      <w:r>
        <w:t xml:space="preserve">Councils </w:t>
      </w:r>
      <w:r w:rsidR="0058326D">
        <w:t>have also requested that</w:t>
      </w:r>
      <w:r w:rsidR="00EB6F08">
        <w:t xml:space="preserve"> an additional paragraph</w:t>
      </w:r>
      <w:r w:rsidR="0058326D">
        <w:t xml:space="preserve"> be</w:t>
      </w:r>
      <w:r w:rsidR="00BF483A">
        <w:t xml:space="preserve"> included</w:t>
      </w:r>
      <w:r>
        <w:t xml:space="preserve"> that </w:t>
      </w:r>
      <w:r w:rsidR="00EB6F08">
        <w:t xml:space="preserve">commits the State to </w:t>
      </w:r>
      <w:r>
        <w:t xml:space="preserve">improving its whole-of-government approach to planning and strategy in order to achieve </w:t>
      </w:r>
      <w:r w:rsidR="00EB6F08">
        <w:t xml:space="preserve">integrated outcomes </w:t>
      </w:r>
      <w:r>
        <w:t xml:space="preserve">at the local level. Too frequently </w:t>
      </w:r>
      <w:r w:rsidR="00EB6F08">
        <w:t xml:space="preserve">councils </w:t>
      </w:r>
      <w:r>
        <w:t>witness state departments</w:t>
      </w:r>
      <w:r w:rsidR="00673E9A">
        <w:t xml:space="preserve"> and agencies</w:t>
      </w:r>
      <w:r>
        <w:t xml:space="preserve"> act</w:t>
      </w:r>
      <w:r w:rsidR="00673E9A">
        <w:t>ing</w:t>
      </w:r>
      <w:r>
        <w:t xml:space="preserve"> </w:t>
      </w:r>
      <w:r w:rsidR="00673E9A">
        <w:t>independent</w:t>
      </w:r>
      <w:r>
        <w:t xml:space="preserve">ly, </w:t>
      </w:r>
      <w:r w:rsidR="008770A6">
        <w:t>without regard to or coordination with</w:t>
      </w:r>
      <w:r>
        <w:t xml:space="preserve"> the plans and actions of other departments. </w:t>
      </w:r>
    </w:p>
    <w:p w14:paraId="5CC34F5A" w14:textId="77777777" w:rsidR="003726AD" w:rsidRDefault="003726AD" w:rsidP="003726AD">
      <w:pPr>
        <w:ind w:right="4"/>
      </w:pPr>
    </w:p>
    <w:p w14:paraId="5CC34F5B" w14:textId="77777777" w:rsidR="00D160EE" w:rsidRDefault="00123FF8" w:rsidP="002E1221">
      <w:pPr>
        <w:ind w:right="4"/>
      </w:pPr>
      <w:r>
        <w:t>Finally, we</w:t>
      </w:r>
      <w:r w:rsidR="00D160EE">
        <w:t xml:space="preserve"> </w:t>
      </w:r>
      <w:r w:rsidR="003726AD">
        <w:t xml:space="preserve">suggest that the </w:t>
      </w:r>
      <w:r w:rsidR="00D160EE">
        <w:t xml:space="preserve">title of Part 4 </w:t>
      </w:r>
      <w:r w:rsidR="003726AD">
        <w:t xml:space="preserve">be simplified </w:t>
      </w:r>
      <w:r w:rsidR="00D160EE">
        <w:t>so that it reads: “Implementation of the VSLGA</w:t>
      </w:r>
      <w:r w:rsidR="00475D39">
        <w:t>.</w:t>
      </w:r>
      <w:r w:rsidR="00D160EE">
        <w:t>”</w:t>
      </w:r>
    </w:p>
    <w:p w14:paraId="5CC34F5C" w14:textId="77777777" w:rsidR="00550757" w:rsidRDefault="00550757" w:rsidP="002E1221">
      <w:pPr>
        <w:ind w:right="4"/>
      </w:pPr>
    </w:p>
    <w:p w14:paraId="5CC34F5D" w14:textId="77777777" w:rsidR="00D160EE" w:rsidRDefault="00D160EE" w:rsidP="00F60A2F">
      <w:pPr>
        <w:pStyle w:val="Heading2"/>
      </w:pPr>
      <w:r>
        <w:t xml:space="preserve">Improved </w:t>
      </w:r>
      <w:r w:rsidR="003E7FCE">
        <w:t>s</w:t>
      </w:r>
      <w:r w:rsidR="00DC231A">
        <w:t xml:space="preserve">tate and local government </w:t>
      </w:r>
      <w:r>
        <w:t>relations</w:t>
      </w:r>
    </w:p>
    <w:p w14:paraId="5CC34F5E" w14:textId="77777777" w:rsidR="00475D39" w:rsidRDefault="00475D39" w:rsidP="00475D39">
      <w:pPr>
        <w:pStyle w:val="Heading3"/>
      </w:pPr>
      <w:r>
        <w:t>Objective of the VSLGA (Part 1)</w:t>
      </w:r>
    </w:p>
    <w:p w14:paraId="5CC34F5F" w14:textId="77777777" w:rsidR="00475D39" w:rsidRDefault="00475D39" w:rsidP="002E1221">
      <w:pPr>
        <w:ind w:right="4"/>
      </w:pPr>
    </w:p>
    <w:p w14:paraId="5CC34F60" w14:textId="77777777" w:rsidR="0058206A" w:rsidRDefault="005A6350" w:rsidP="002E1221">
      <w:pPr>
        <w:ind w:right="4"/>
      </w:pPr>
      <w:r>
        <w:t>While we agree that achieving positive outcomes for the community is, and should be, the primary focus of both state and local government, we believe</w:t>
      </w:r>
      <w:r w:rsidR="00D51138">
        <w:t xml:space="preserve"> that the stated </w:t>
      </w:r>
      <w:r>
        <w:t xml:space="preserve">objective of the VSLGA </w:t>
      </w:r>
      <w:r w:rsidR="00D51138">
        <w:t xml:space="preserve">(Part 1) needs to be reworked to make clearer the agreement’s practical significance. </w:t>
      </w:r>
    </w:p>
    <w:p w14:paraId="5CC34F61" w14:textId="77777777" w:rsidR="0058206A" w:rsidRDefault="0058206A" w:rsidP="002E1221">
      <w:pPr>
        <w:ind w:right="4"/>
      </w:pPr>
    </w:p>
    <w:p w14:paraId="5CC34F62" w14:textId="77777777" w:rsidR="0058206A" w:rsidRDefault="0058206A" w:rsidP="002E1221">
      <w:pPr>
        <w:ind w:right="4"/>
      </w:pPr>
      <w:r>
        <w:t>In</w:t>
      </w:r>
      <w:r w:rsidR="00D51138">
        <w:t xml:space="preserve"> </w:t>
      </w:r>
      <w:r>
        <w:t>the MAV’s</w:t>
      </w:r>
      <w:r w:rsidR="00D51138">
        <w:t xml:space="preserve"> view</w:t>
      </w:r>
      <w:r>
        <w:t xml:space="preserve">, the </w:t>
      </w:r>
      <w:r w:rsidR="00D27AA5">
        <w:t>real value</w:t>
      </w:r>
      <w:r>
        <w:t xml:space="preserve"> of the VSLGA is that it sets, or should set, the minimum standards for engagement by the state with local government and also provide the framework for relations between the two tiers of government. </w:t>
      </w:r>
    </w:p>
    <w:p w14:paraId="5CC34F63" w14:textId="77777777" w:rsidR="00D27AA5" w:rsidRDefault="00D27AA5" w:rsidP="002E1221">
      <w:pPr>
        <w:ind w:right="4"/>
      </w:pPr>
    </w:p>
    <w:p w14:paraId="5CC34F64" w14:textId="77777777" w:rsidR="00413778" w:rsidRDefault="00DD784D" w:rsidP="00DD784D">
      <w:pPr>
        <w:ind w:right="4"/>
      </w:pPr>
      <w:r>
        <w:t xml:space="preserve">It is our belief that the stated objective of the agreement should be </w:t>
      </w:r>
      <w:r w:rsidR="00475D39">
        <w:t xml:space="preserve">simplified to something along the lines of: </w:t>
      </w:r>
    </w:p>
    <w:p w14:paraId="5CC34F65" w14:textId="77777777" w:rsidR="00413778" w:rsidRDefault="00475D39" w:rsidP="00413778">
      <w:pPr>
        <w:ind w:left="720" w:right="4"/>
      </w:pPr>
      <w:r>
        <w:t xml:space="preserve">`The objective of the VSLGA is </w:t>
      </w:r>
      <w:r w:rsidR="00D27AA5">
        <w:t xml:space="preserve">to </w:t>
      </w:r>
      <w:r w:rsidR="00413778">
        <w:t>encourage the conduct of positive and productive relations between</w:t>
      </w:r>
      <w:r w:rsidR="00DC231A">
        <w:t xml:space="preserve"> state and local government </w:t>
      </w:r>
      <w:r w:rsidR="008609FD">
        <w:t>by</w:t>
      </w:r>
      <w:r w:rsidR="00DC231A">
        <w:t xml:space="preserve"> committing to </w:t>
      </w:r>
      <w:r w:rsidR="008609FD">
        <w:t>improved</w:t>
      </w:r>
      <w:r w:rsidR="00D27AA5">
        <w:t xml:space="preserve"> </w:t>
      </w:r>
      <w:r w:rsidR="00872F38">
        <w:t>and sustained</w:t>
      </w:r>
      <w:r w:rsidR="00851680">
        <w:t xml:space="preserve"> levels of</w:t>
      </w:r>
      <w:r w:rsidR="00872F38">
        <w:t xml:space="preserve"> </w:t>
      </w:r>
      <w:r w:rsidR="00D27AA5">
        <w:t>communi</w:t>
      </w:r>
      <w:r w:rsidR="00D51138">
        <w:t>cation</w:t>
      </w:r>
      <w:r w:rsidR="00DC231A">
        <w:t>,</w:t>
      </w:r>
      <w:r w:rsidR="00D51138">
        <w:t xml:space="preserve"> consultation </w:t>
      </w:r>
      <w:r w:rsidR="00DC231A">
        <w:t>and cooperation</w:t>
      </w:r>
      <w:r w:rsidR="008609FD">
        <w:t>.</w:t>
      </w:r>
      <w:r>
        <w:t xml:space="preserve">’ </w:t>
      </w:r>
      <w:r w:rsidR="00DD784D">
        <w:t xml:space="preserve"> </w:t>
      </w:r>
    </w:p>
    <w:p w14:paraId="5CC34F66" w14:textId="77777777" w:rsidR="00413778" w:rsidRDefault="00413778" w:rsidP="00DD784D">
      <w:pPr>
        <w:ind w:right="4"/>
      </w:pPr>
    </w:p>
    <w:p w14:paraId="5CC34F67" w14:textId="77777777" w:rsidR="00D27AA5" w:rsidRDefault="00DD784D" w:rsidP="00DD784D">
      <w:pPr>
        <w:ind w:right="4"/>
      </w:pPr>
      <w:r>
        <w:t>Subparagraphs (ii) to (v)</w:t>
      </w:r>
      <w:r w:rsidR="00475D39">
        <w:t xml:space="preserve"> </w:t>
      </w:r>
      <w:r w:rsidR="00192A69">
        <w:t>could then be listed as measures to progress social, economic and environmental outcomes for Victoria’s communities</w:t>
      </w:r>
      <w:r w:rsidR="003726AD">
        <w:t>.</w:t>
      </w:r>
      <w:r w:rsidR="00192A69">
        <w:t xml:space="preserve"> Subparagraph (v) needs to be reworked to ensure that the State also commits to fostering a culture of continuous improvement.</w:t>
      </w:r>
    </w:p>
    <w:p w14:paraId="5CC34F68" w14:textId="77777777" w:rsidR="00192A69" w:rsidRDefault="00192A69" w:rsidP="00DD784D">
      <w:pPr>
        <w:ind w:right="4"/>
      </w:pPr>
    </w:p>
    <w:p w14:paraId="5CC34F69" w14:textId="77777777" w:rsidR="00192A69" w:rsidRDefault="00192A69" w:rsidP="00DD784D">
      <w:pPr>
        <w:ind w:right="4"/>
      </w:pPr>
      <w:r>
        <w:t>For example:</w:t>
      </w:r>
    </w:p>
    <w:p w14:paraId="5CC34F6A" w14:textId="77777777" w:rsidR="00192A69" w:rsidRDefault="00192A69" w:rsidP="00DD784D">
      <w:pPr>
        <w:ind w:right="4"/>
      </w:pPr>
    </w:p>
    <w:p w14:paraId="5CC34F6B" w14:textId="77777777" w:rsidR="00192A69" w:rsidRPr="0058326D" w:rsidRDefault="00192A69" w:rsidP="00DD784D">
      <w:pPr>
        <w:ind w:right="4"/>
        <w:rPr>
          <w:i/>
        </w:rPr>
      </w:pPr>
      <w:r w:rsidRPr="0058326D">
        <w:rPr>
          <w:i/>
        </w:rPr>
        <w:t>The objective of the VSLGA is to encourage the conduct of positive and productive relations between state and local government by committing to improved and sustained levels of communication, consultation and cooperation</w:t>
      </w:r>
    </w:p>
    <w:p w14:paraId="5CC34F6C" w14:textId="77777777" w:rsidR="00192A69" w:rsidRPr="0058326D" w:rsidRDefault="00192A69" w:rsidP="00DD784D">
      <w:pPr>
        <w:ind w:right="4"/>
        <w:rPr>
          <w:i/>
        </w:rPr>
      </w:pPr>
    </w:p>
    <w:p w14:paraId="5CC34F6D" w14:textId="77777777" w:rsidR="00192A69" w:rsidRPr="0058326D" w:rsidRDefault="009A46BF" w:rsidP="00DD784D">
      <w:pPr>
        <w:ind w:right="4"/>
        <w:rPr>
          <w:i/>
        </w:rPr>
      </w:pPr>
      <w:r w:rsidRPr="0058326D">
        <w:rPr>
          <w:i/>
        </w:rPr>
        <w:t>State and local government are committed to</w:t>
      </w:r>
      <w:r w:rsidR="00192A69" w:rsidRPr="0058326D">
        <w:rPr>
          <w:i/>
        </w:rPr>
        <w:t xml:space="preserve"> progress</w:t>
      </w:r>
      <w:r w:rsidRPr="0058326D">
        <w:rPr>
          <w:i/>
        </w:rPr>
        <w:t>ing</w:t>
      </w:r>
      <w:r w:rsidR="00192A69" w:rsidRPr="0058326D">
        <w:rPr>
          <w:i/>
        </w:rPr>
        <w:t xml:space="preserve"> social, economic and environmental outcomes for Victoria’s communities by:</w:t>
      </w:r>
    </w:p>
    <w:p w14:paraId="5CC34F6E" w14:textId="77777777" w:rsidR="00192A69" w:rsidRPr="0058326D" w:rsidRDefault="00192A69" w:rsidP="0058326D">
      <w:pPr>
        <w:pStyle w:val="ListParagraph"/>
        <w:numPr>
          <w:ilvl w:val="0"/>
          <w:numId w:val="13"/>
        </w:numPr>
        <w:ind w:right="4"/>
        <w:rPr>
          <w:i/>
        </w:rPr>
      </w:pPr>
      <w:r w:rsidRPr="0058326D">
        <w:rPr>
          <w:i/>
        </w:rPr>
        <w:t>improving coordination and strategic planning of government services and functions at the local level;</w:t>
      </w:r>
    </w:p>
    <w:p w14:paraId="5CC34F6F" w14:textId="77777777" w:rsidR="00192A69" w:rsidRPr="0058326D" w:rsidRDefault="00192A69" w:rsidP="0058326D">
      <w:pPr>
        <w:pStyle w:val="ListParagraph"/>
        <w:numPr>
          <w:ilvl w:val="0"/>
          <w:numId w:val="13"/>
        </w:numPr>
        <w:ind w:right="4"/>
        <w:rPr>
          <w:i/>
        </w:rPr>
      </w:pPr>
      <w:r w:rsidRPr="0058326D">
        <w:rPr>
          <w:i/>
        </w:rPr>
        <w:t>strengthening the capacity of local government to provide services and functions;</w:t>
      </w:r>
    </w:p>
    <w:p w14:paraId="5CC34F70" w14:textId="77777777" w:rsidR="00192A69" w:rsidRPr="0058326D" w:rsidRDefault="00192A69" w:rsidP="0058326D">
      <w:pPr>
        <w:pStyle w:val="ListParagraph"/>
        <w:numPr>
          <w:ilvl w:val="0"/>
          <w:numId w:val="13"/>
        </w:numPr>
        <w:ind w:right="4"/>
        <w:rPr>
          <w:i/>
        </w:rPr>
      </w:pPr>
      <w:r w:rsidRPr="0058326D">
        <w:rPr>
          <w:i/>
        </w:rPr>
        <w:t>promoting greater transparency and accountability between state and local government; and</w:t>
      </w:r>
    </w:p>
    <w:p w14:paraId="5CC34F71" w14:textId="77777777" w:rsidR="00192A69" w:rsidRPr="0058326D" w:rsidRDefault="00192A69" w:rsidP="0058326D">
      <w:pPr>
        <w:pStyle w:val="ListParagraph"/>
        <w:numPr>
          <w:ilvl w:val="0"/>
          <w:numId w:val="13"/>
        </w:numPr>
        <w:ind w:right="4"/>
        <w:rPr>
          <w:i/>
        </w:rPr>
      </w:pPr>
      <w:r w:rsidRPr="0058326D">
        <w:rPr>
          <w:i/>
        </w:rPr>
        <w:t xml:space="preserve">fostering a culture of continuous improvement </w:t>
      </w:r>
      <w:r w:rsidR="009A46BF" w:rsidRPr="0058326D">
        <w:rPr>
          <w:i/>
        </w:rPr>
        <w:t>to enhance the performance of both levels of government.</w:t>
      </w:r>
    </w:p>
    <w:p w14:paraId="5CC34F72" w14:textId="77777777" w:rsidR="000152FC" w:rsidRDefault="000152FC" w:rsidP="000152FC">
      <w:pPr>
        <w:pStyle w:val="Heading3"/>
      </w:pPr>
      <w:r>
        <w:lastRenderedPageBreak/>
        <w:t>Application of the VSLGA (Part 3)</w:t>
      </w:r>
    </w:p>
    <w:p w14:paraId="5CC34F73" w14:textId="77777777" w:rsidR="000152FC" w:rsidRDefault="000152FC" w:rsidP="00D27AA5">
      <w:pPr>
        <w:ind w:right="4"/>
      </w:pPr>
    </w:p>
    <w:p w14:paraId="5CC34F74" w14:textId="77777777" w:rsidR="00D1253F" w:rsidRDefault="00475D39" w:rsidP="002E1221">
      <w:pPr>
        <w:ind w:right="4"/>
      </w:pPr>
      <w:r>
        <w:t xml:space="preserve">In order to </w:t>
      </w:r>
      <w:r w:rsidR="00496A26">
        <w:t>improve clarity</w:t>
      </w:r>
      <w:r>
        <w:t xml:space="preserve"> about who th</w:t>
      </w:r>
      <w:r w:rsidR="00872F38">
        <w:t xml:space="preserve">e </w:t>
      </w:r>
      <w:r w:rsidR="007A6D36">
        <w:t>VSLGA</w:t>
      </w:r>
      <w:r w:rsidR="00872F38">
        <w:t xml:space="preserve"> applies to, we </w:t>
      </w:r>
      <w:r>
        <w:t>ask that Part 3 “Application of the VSLGA” appear</w:t>
      </w:r>
      <w:r w:rsidR="000152FC">
        <w:t>s</w:t>
      </w:r>
      <w:r>
        <w:t xml:space="preserve"> immediately after the Preamble</w:t>
      </w:r>
      <w:r w:rsidR="00872F38">
        <w:t xml:space="preserve"> (</w:t>
      </w:r>
      <w:r w:rsidR="00923D48">
        <w:t>i.e.</w:t>
      </w:r>
      <w:r w:rsidR="00872F38">
        <w:t xml:space="preserve"> become Part 1)</w:t>
      </w:r>
      <w:r>
        <w:t xml:space="preserve">. From a local government perspective, it’s critical that it’s made clear early in the agreement that the agreement applies </w:t>
      </w:r>
      <w:r w:rsidR="000152FC">
        <w:t>equally to state and local government, and that is applies to all of state government.</w:t>
      </w:r>
      <w:r w:rsidR="00805489">
        <w:t xml:space="preserve"> If</w:t>
      </w:r>
      <w:r w:rsidR="003E7FCE">
        <w:t xml:space="preserve"> </w:t>
      </w:r>
      <w:r w:rsidR="00673E9A">
        <w:t>the S</w:t>
      </w:r>
      <w:r w:rsidR="00805489">
        <w:t xml:space="preserve">tate </w:t>
      </w:r>
      <w:r w:rsidR="003E7FCE">
        <w:t xml:space="preserve">continues to not </w:t>
      </w:r>
      <w:r w:rsidR="00805489">
        <w:t>abide by the agreement, its intent and application is meaningless.</w:t>
      </w:r>
    </w:p>
    <w:p w14:paraId="5CC34F75" w14:textId="77777777" w:rsidR="002E1221" w:rsidRDefault="002E1221"/>
    <w:p w14:paraId="5CC34F76" w14:textId="77777777" w:rsidR="008609FD" w:rsidRDefault="008609FD">
      <w:r>
        <w:t xml:space="preserve">We believe paragraph 7 could be improved by </w:t>
      </w:r>
      <w:r w:rsidR="004B0C54">
        <w:t>reworking as follows</w:t>
      </w:r>
      <w:r>
        <w:t>:</w:t>
      </w:r>
    </w:p>
    <w:p w14:paraId="5CC34F77" w14:textId="77777777" w:rsidR="008609FD" w:rsidRDefault="008609FD">
      <w:r>
        <w:t>“The VSLGA applies to arrangements where</w:t>
      </w:r>
      <w:r w:rsidR="004B0C54">
        <w:t xml:space="preserve"> the State</w:t>
      </w:r>
      <w:r>
        <w:t>:</w:t>
      </w:r>
    </w:p>
    <w:p w14:paraId="5CC34F78" w14:textId="77777777" w:rsidR="004B0C54" w:rsidRDefault="008609FD" w:rsidP="008609FD">
      <w:pPr>
        <w:pStyle w:val="ListParagraph"/>
        <w:numPr>
          <w:ilvl w:val="0"/>
          <w:numId w:val="10"/>
        </w:numPr>
      </w:pPr>
      <w:r>
        <w:t xml:space="preserve">intends for local government to administer or enforce new or revised primary legislation or regulation, or act as an agent and deliver services on </w:t>
      </w:r>
      <w:r w:rsidR="004B0C54">
        <w:t xml:space="preserve">its </w:t>
      </w:r>
      <w:r>
        <w:t xml:space="preserve">behalf </w:t>
      </w:r>
    </w:p>
    <w:p w14:paraId="5CC34F79" w14:textId="77777777" w:rsidR="008609FD" w:rsidRDefault="004B0C54" w:rsidP="008609FD">
      <w:pPr>
        <w:pStyle w:val="ListParagraph"/>
        <w:numPr>
          <w:ilvl w:val="0"/>
          <w:numId w:val="10"/>
        </w:numPr>
      </w:pPr>
      <w:r>
        <w:t xml:space="preserve">is, or intends to, partner with </w:t>
      </w:r>
      <w:r w:rsidR="008609FD">
        <w:t>local government to deliver programs</w:t>
      </w:r>
    </w:p>
    <w:p w14:paraId="5CC34F7A" w14:textId="77777777" w:rsidR="008609FD" w:rsidRDefault="004B0C54" w:rsidP="008609FD">
      <w:pPr>
        <w:pStyle w:val="ListParagraph"/>
        <w:numPr>
          <w:ilvl w:val="0"/>
          <w:numId w:val="9"/>
        </w:numPr>
      </w:pPr>
      <w:r>
        <w:t>is, or intends to, fund local government to</w:t>
      </w:r>
      <w:r w:rsidR="008609FD">
        <w:t xml:space="preserve"> deliver</w:t>
      </w:r>
      <w:r>
        <w:t xml:space="preserve"> a program</w:t>
      </w:r>
    </w:p>
    <w:p w14:paraId="5CC34F7B" w14:textId="77777777" w:rsidR="004B0C54" w:rsidRDefault="004B0C54" w:rsidP="008609FD">
      <w:pPr>
        <w:pStyle w:val="ListParagraph"/>
        <w:numPr>
          <w:ilvl w:val="0"/>
          <w:numId w:val="9"/>
        </w:numPr>
      </w:pPr>
      <w:r>
        <w:t>may be affected by the relationship between the Commonwealth Government</w:t>
      </w:r>
      <w:r w:rsidR="00496A26">
        <w:t xml:space="preserve"> and local government.</w:t>
      </w:r>
    </w:p>
    <w:p w14:paraId="5CC34F7C" w14:textId="77777777" w:rsidR="00496A26" w:rsidRDefault="00496A26" w:rsidP="00496A26"/>
    <w:p w14:paraId="5CC34F7D" w14:textId="77777777" w:rsidR="00496A26" w:rsidRDefault="00496A26" w:rsidP="00496A26">
      <w:r>
        <w:t>Paragraph 8 should be strengthened by amending it to read: `The VSLGA is not a legally binding agreement, however it is an agreement negotiated and entered into in</w:t>
      </w:r>
      <w:r w:rsidR="00872F38">
        <w:t xml:space="preserve"> good faith by the parties and shall</w:t>
      </w:r>
      <w:r>
        <w:t xml:space="preserve"> be </w:t>
      </w:r>
      <w:r w:rsidR="0099564E">
        <w:t>respected accordingly.’</w:t>
      </w:r>
    </w:p>
    <w:p w14:paraId="5CC34F7E" w14:textId="77777777" w:rsidR="0057751B" w:rsidRDefault="0057751B" w:rsidP="00496A26"/>
    <w:p w14:paraId="5CC34F7F" w14:textId="77777777" w:rsidR="0057751B" w:rsidRPr="0057751B" w:rsidRDefault="0099564E" w:rsidP="0057751B">
      <w:pPr>
        <w:pStyle w:val="Heading3"/>
      </w:pPr>
      <w:r>
        <w:t>Evaluation and review (Part 5)</w:t>
      </w:r>
    </w:p>
    <w:p w14:paraId="5CC34F80" w14:textId="77777777" w:rsidR="0099564E" w:rsidRDefault="0099564E" w:rsidP="0099564E"/>
    <w:p w14:paraId="5CC34F81" w14:textId="77777777" w:rsidR="0099564E" w:rsidRDefault="0099564E" w:rsidP="0099564E">
      <w:r>
        <w:t xml:space="preserve">In order to ensure the VSLGA retains currency and value, it is critical that </w:t>
      </w:r>
      <w:r w:rsidR="00872F38">
        <w:t>compliance with</w:t>
      </w:r>
      <w:r>
        <w:t xml:space="preserve"> the agreement is properly monitored and evaluated on a regular and transparent basis. There needs to be accountability. Paragraph 14, as currently drafted, will not achieve this.</w:t>
      </w:r>
    </w:p>
    <w:p w14:paraId="5CC34F82" w14:textId="77777777" w:rsidR="0099564E" w:rsidRDefault="0099564E" w:rsidP="0099564E"/>
    <w:p w14:paraId="5CC34F83" w14:textId="77777777" w:rsidR="0099564E" w:rsidRDefault="0099564E" w:rsidP="0099564E">
      <w:r>
        <w:t>Noting our earlier comment in relation to the appendix (namely, that we believe it should be deleted), we urge the State to redraft Part 5 to:</w:t>
      </w:r>
    </w:p>
    <w:p w14:paraId="5CC34F84" w14:textId="77777777" w:rsidR="0099564E" w:rsidRDefault="0099564E" w:rsidP="0099564E">
      <w:pPr>
        <w:pStyle w:val="ListParagraph"/>
        <w:numPr>
          <w:ilvl w:val="0"/>
          <w:numId w:val="12"/>
        </w:numPr>
      </w:pPr>
      <w:r>
        <w:t>remove subparagraph (i)</w:t>
      </w:r>
    </w:p>
    <w:p w14:paraId="5CC34F85" w14:textId="77777777" w:rsidR="0099564E" w:rsidRDefault="0099564E" w:rsidP="0099564E">
      <w:pPr>
        <w:pStyle w:val="ListParagraph"/>
        <w:numPr>
          <w:ilvl w:val="0"/>
          <w:numId w:val="12"/>
        </w:numPr>
      </w:pPr>
      <w:r>
        <w:t xml:space="preserve">rework subparagraph (ii) to formalise reporting on the VSLGA, by having the State </w:t>
      </w:r>
      <w:r w:rsidR="008A3B8F">
        <w:t xml:space="preserve">(through LGV) </w:t>
      </w:r>
      <w:r>
        <w:t xml:space="preserve">seek six-monthly </w:t>
      </w:r>
      <w:r w:rsidR="008A3B8F">
        <w:t>written feedback from the MAV</w:t>
      </w:r>
      <w:r w:rsidR="00872F38">
        <w:t xml:space="preserve"> </w:t>
      </w:r>
      <w:r w:rsidR="008A3B8F">
        <w:t xml:space="preserve">regarding successes and failures of parties to work in accordance with the VSLGA </w:t>
      </w:r>
    </w:p>
    <w:p w14:paraId="5CC34F86" w14:textId="77777777" w:rsidR="008A3B8F" w:rsidRDefault="008A3B8F" w:rsidP="0099564E">
      <w:pPr>
        <w:pStyle w:val="ListParagraph"/>
        <w:numPr>
          <w:ilvl w:val="0"/>
          <w:numId w:val="12"/>
        </w:numPr>
      </w:pPr>
      <w:r>
        <w:t>rework subparagraph (iii) to provide that the Minister for Local Government writes to Cabinet colleagues</w:t>
      </w:r>
      <w:r w:rsidR="007A6D36">
        <w:t xml:space="preserve"> each year</w:t>
      </w:r>
      <w:r>
        <w:t xml:space="preserve"> reminding them of their obligation to adhere to the VSLGA</w:t>
      </w:r>
    </w:p>
    <w:p w14:paraId="5CC34F87" w14:textId="77777777" w:rsidR="002E1221" w:rsidRDefault="00F60A2F" w:rsidP="00F60A2F">
      <w:pPr>
        <w:pStyle w:val="Heading1"/>
      </w:pPr>
      <w:r>
        <w:t>Conclusion</w:t>
      </w:r>
    </w:p>
    <w:p w14:paraId="5CC34F88" w14:textId="77777777" w:rsidR="00F60A2F" w:rsidRDefault="00F60A2F"/>
    <w:p w14:paraId="5CC34F89" w14:textId="77777777" w:rsidR="00BB2EC8" w:rsidRDefault="00DD784D">
      <w:r>
        <w:t xml:space="preserve">The MAV </w:t>
      </w:r>
      <w:r w:rsidR="00872F38">
        <w:t>welcomes the Government’s</w:t>
      </w:r>
      <w:r>
        <w:t xml:space="preserve"> review </w:t>
      </w:r>
      <w:r w:rsidR="00872F38">
        <w:t>of th</w:t>
      </w:r>
      <w:r>
        <w:t>e VSLGA</w:t>
      </w:r>
      <w:r w:rsidR="00872F38">
        <w:t xml:space="preserve"> and supports the Minister’s resolve to ensure the agreement</w:t>
      </w:r>
      <w:r w:rsidR="00BB2EC8">
        <w:t xml:space="preserve"> `fulfils its purpose, has practical significance and provides an overall framework for managing the future relationship between the State and local </w:t>
      </w:r>
      <w:r w:rsidR="008F6411">
        <w:t>governments</w:t>
      </w:r>
      <w:r w:rsidR="00BB2EC8">
        <w:t>.’</w:t>
      </w:r>
    </w:p>
    <w:p w14:paraId="5CC34F8A" w14:textId="77777777" w:rsidR="00F60A2F" w:rsidRDefault="00BB2EC8">
      <w:r>
        <w:t xml:space="preserve"> </w:t>
      </w:r>
    </w:p>
    <w:p w14:paraId="5CC34F8B" w14:textId="77777777" w:rsidR="00F60A2F" w:rsidRDefault="00F60A2F">
      <w:r>
        <w:t>While the draft for consultation is, we believe, an improvement on the previous version, further work is needed in order to make the agreement a document of meaning and value.</w:t>
      </w:r>
    </w:p>
    <w:p w14:paraId="5CC34F8C" w14:textId="77777777" w:rsidR="0057751B" w:rsidRDefault="0057751B"/>
    <w:p w14:paraId="5CC34F8D" w14:textId="77777777" w:rsidR="00D35147" w:rsidRDefault="00F60A2F">
      <w:r>
        <w:t>Despite being in existence since 2008, the VSLGA</w:t>
      </w:r>
      <w:r w:rsidR="00DD784D">
        <w:t xml:space="preserve"> continue</w:t>
      </w:r>
      <w:r w:rsidR="00872F38">
        <w:t>s</w:t>
      </w:r>
      <w:r w:rsidR="00DD784D">
        <w:t xml:space="preserve"> to have</w:t>
      </w:r>
      <w:r>
        <w:t>,</w:t>
      </w:r>
      <w:r w:rsidR="00D35147">
        <w:t xml:space="preserve"> in our view,</w:t>
      </w:r>
      <w:r>
        <w:t xml:space="preserve"> little or no status </w:t>
      </w:r>
      <w:r w:rsidR="00DD784D">
        <w:t>across</w:t>
      </w:r>
      <w:r>
        <w:t xml:space="preserve"> much of the State </w:t>
      </w:r>
      <w:r w:rsidR="008A3B8F">
        <w:t>Government</w:t>
      </w:r>
      <w:r>
        <w:t>. There are likely several reasons for this</w:t>
      </w:r>
      <w:r w:rsidR="00D35147">
        <w:t>,</w:t>
      </w:r>
      <w:r>
        <w:t xml:space="preserve"> including</w:t>
      </w:r>
      <w:r w:rsidR="00D35147">
        <w:t>:</w:t>
      </w:r>
    </w:p>
    <w:p w14:paraId="5CC34F8E" w14:textId="77777777" w:rsidR="00D35147" w:rsidRDefault="00F60A2F" w:rsidP="00D35147">
      <w:pPr>
        <w:pStyle w:val="ListParagraph"/>
        <w:numPr>
          <w:ilvl w:val="0"/>
          <w:numId w:val="8"/>
        </w:numPr>
      </w:pPr>
      <w:r>
        <w:lastRenderedPageBreak/>
        <w:t>lack of awareness (and lack of promotion) of the agreement</w:t>
      </w:r>
      <w:r w:rsidR="00D35147">
        <w:t xml:space="preserve"> outside of </w:t>
      </w:r>
      <w:r w:rsidR="00851680">
        <w:t>Local Government Victoria (</w:t>
      </w:r>
      <w:r w:rsidR="00D35147">
        <w:t>LGV</w:t>
      </w:r>
      <w:r w:rsidR="00851680">
        <w:t>)</w:t>
      </w:r>
    </w:p>
    <w:p w14:paraId="5CC34F8F" w14:textId="77777777" w:rsidR="00F60A2F" w:rsidRDefault="00D35147" w:rsidP="00D35147">
      <w:pPr>
        <w:pStyle w:val="ListParagraph"/>
        <w:numPr>
          <w:ilvl w:val="0"/>
          <w:numId w:val="8"/>
        </w:numPr>
      </w:pPr>
      <w:r>
        <w:t>the perception that the agreement is full of motherhood statements and irrelevant to operational and strategic decision making; and</w:t>
      </w:r>
    </w:p>
    <w:p w14:paraId="5CC34F90" w14:textId="77777777" w:rsidR="00D35147" w:rsidRDefault="00D35147" w:rsidP="00D35147">
      <w:pPr>
        <w:pStyle w:val="ListParagraph"/>
        <w:numPr>
          <w:ilvl w:val="0"/>
          <w:numId w:val="8"/>
        </w:numPr>
      </w:pPr>
      <w:r>
        <w:t>the lack of consequen</w:t>
      </w:r>
      <w:r w:rsidR="00DD784D">
        <w:t>ces if and when</w:t>
      </w:r>
      <w:r>
        <w:t xml:space="preserve"> the agreement is ignored.</w:t>
      </w:r>
    </w:p>
    <w:p w14:paraId="5CC34F91" w14:textId="77777777" w:rsidR="00D35147" w:rsidRDefault="00D35147" w:rsidP="00D35147"/>
    <w:p w14:paraId="5CC34F92" w14:textId="77777777" w:rsidR="00F60A2F" w:rsidRDefault="00DD784D">
      <w:r>
        <w:t xml:space="preserve">We urge the State to modify the agreement further </w:t>
      </w:r>
      <w:r w:rsidR="008A3B8F">
        <w:t>as outlined above and to have the Premier be the State’s signatory to make clear it has the highest level of support within the State Government.</w:t>
      </w:r>
    </w:p>
    <w:p w14:paraId="5CC34F93" w14:textId="77777777" w:rsidR="00A84A33" w:rsidRDefault="00A84A33"/>
    <w:p w14:paraId="5CC34F94" w14:textId="77777777" w:rsidR="00A84A33" w:rsidRDefault="00A84A33"/>
    <w:p w14:paraId="5CC34F95" w14:textId="77777777" w:rsidR="00A84A33" w:rsidRDefault="00A84A33"/>
    <w:sectPr w:rsidR="00A84A33" w:rsidSect="002606F5">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34F9C" w14:textId="77777777" w:rsidR="00D55257" w:rsidRDefault="00D55257" w:rsidP="00094AFF">
      <w:r>
        <w:separator/>
      </w:r>
    </w:p>
  </w:endnote>
  <w:endnote w:type="continuationSeparator" w:id="0">
    <w:p w14:paraId="5CC34F9D" w14:textId="77777777" w:rsidR="00D55257" w:rsidRDefault="00D55257" w:rsidP="000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Md BT">
    <w:panose1 w:val="020B0602020204020303"/>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34FA1" w14:textId="77777777" w:rsidR="0057751B" w:rsidRDefault="0057751B">
    <w:pPr>
      <w:pStyle w:val="Footer"/>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34FA2" w14:textId="77777777" w:rsidR="0057751B" w:rsidRDefault="0057751B">
    <w:pPr>
      <w:pStyle w:val="Footer"/>
      <w:rPr>
        <w:color w:val="FFFFFF"/>
      </w:rPr>
    </w:pPr>
    <w:r>
      <w:rPr>
        <w:rStyle w:val="PageNumber"/>
        <w:color w:val="FFFFFF"/>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637874"/>
      <w:docPartObj>
        <w:docPartGallery w:val="Page Numbers (Bottom of Page)"/>
        <w:docPartUnique/>
      </w:docPartObj>
    </w:sdtPr>
    <w:sdtEndPr>
      <w:rPr>
        <w:noProof/>
      </w:rPr>
    </w:sdtEndPr>
    <w:sdtContent>
      <w:p w14:paraId="5CC34FA4" w14:textId="77777777" w:rsidR="001D6170" w:rsidRDefault="001D6170">
        <w:pPr>
          <w:pStyle w:val="Footer"/>
        </w:pPr>
        <w:r>
          <w:t xml:space="preserve">Page | </w:t>
        </w:r>
        <w:r>
          <w:fldChar w:fldCharType="begin"/>
        </w:r>
        <w:r>
          <w:instrText xml:space="preserve"> PAGE   \* MERGEFORMAT </w:instrText>
        </w:r>
        <w:r>
          <w:fldChar w:fldCharType="separate"/>
        </w:r>
        <w:r w:rsidR="00BF3A4C">
          <w:rPr>
            <w:noProof/>
          </w:rPr>
          <w:t>2</w:t>
        </w:r>
        <w:r>
          <w:rPr>
            <w:noProof/>
          </w:rPr>
          <w:fldChar w:fldCharType="end"/>
        </w:r>
      </w:p>
    </w:sdtContent>
  </w:sdt>
  <w:p w14:paraId="5CC34FA5" w14:textId="77777777" w:rsidR="00094AFF" w:rsidRDefault="00094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34F9A" w14:textId="77777777" w:rsidR="00D55257" w:rsidRDefault="00D55257" w:rsidP="00094AFF">
      <w:r>
        <w:separator/>
      </w:r>
    </w:p>
  </w:footnote>
  <w:footnote w:type="continuationSeparator" w:id="0">
    <w:p w14:paraId="5CC34F9B" w14:textId="77777777" w:rsidR="00D55257" w:rsidRDefault="00D55257" w:rsidP="00094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34F9E" w14:textId="77777777" w:rsidR="0057751B" w:rsidRDefault="0057751B"/>
  <w:p w14:paraId="5CC34F9F" w14:textId="77777777" w:rsidR="0057751B" w:rsidRDefault="005775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34FA0" w14:textId="77777777" w:rsidR="0057751B" w:rsidRDefault="0057751B" w:rsidP="0024096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34FA3" w14:textId="77777777" w:rsidR="00094AFF" w:rsidRDefault="00094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7336"/>
    <w:multiLevelType w:val="hybridMultilevel"/>
    <w:tmpl w:val="41188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E7889"/>
    <w:multiLevelType w:val="hybridMultilevel"/>
    <w:tmpl w:val="F418F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37666F"/>
    <w:multiLevelType w:val="hybridMultilevel"/>
    <w:tmpl w:val="DF2C1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4A773C"/>
    <w:multiLevelType w:val="hybridMultilevel"/>
    <w:tmpl w:val="249E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1378A0"/>
    <w:multiLevelType w:val="hybridMultilevel"/>
    <w:tmpl w:val="D2B28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572DF0"/>
    <w:multiLevelType w:val="hybridMultilevel"/>
    <w:tmpl w:val="2B1E9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C57B27"/>
    <w:multiLevelType w:val="hybridMultilevel"/>
    <w:tmpl w:val="CCCA1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85454F"/>
    <w:multiLevelType w:val="hybridMultilevel"/>
    <w:tmpl w:val="51EA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AE770D"/>
    <w:multiLevelType w:val="hybridMultilevel"/>
    <w:tmpl w:val="E182F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273AC7"/>
    <w:multiLevelType w:val="hybridMultilevel"/>
    <w:tmpl w:val="5554D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C720D92"/>
    <w:multiLevelType w:val="hybridMultilevel"/>
    <w:tmpl w:val="09766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F69610C"/>
    <w:multiLevelType w:val="hybridMultilevel"/>
    <w:tmpl w:val="BFDC049C"/>
    <w:lvl w:ilvl="0" w:tplc="1DBADB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B240B4"/>
    <w:multiLevelType w:val="hybridMultilevel"/>
    <w:tmpl w:val="523670DC"/>
    <w:lvl w:ilvl="0" w:tplc="E0C0DB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11"/>
  </w:num>
  <w:num w:numId="5">
    <w:abstractNumId w:val="12"/>
  </w:num>
  <w:num w:numId="6">
    <w:abstractNumId w:val="6"/>
  </w:num>
  <w:num w:numId="7">
    <w:abstractNumId w:val="7"/>
  </w:num>
  <w:num w:numId="8">
    <w:abstractNumId w:val="1"/>
  </w:num>
  <w:num w:numId="9">
    <w:abstractNumId w:val="4"/>
  </w:num>
  <w:num w:numId="10">
    <w:abstractNumId w:val="0"/>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7F"/>
    <w:rsid w:val="0000187D"/>
    <w:rsid w:val="000152FC"/>
    <w:rsid w:val="0009009F"/>
    <w:rsid w:val="00094AFF"/>
    <w:rsid w:val="000D3F50"/>
    <w:rsid w:val="000D543D"/>
    <w:rsid w:val="00123FF8"/>
    <w:rsid w:val="001742DD"/>
    <w:rsid w:val="001863EB"/>
    <w:rsid w:val="00192A69"/>
    <w:rsid w:val="001B608E"/>
    <w:rsid w:val="001D6170"/>
    <w:rsid w:val="00211354"/>
    <w:rsid w:val="002579FE"/>
    <w:rsid w:val="002606F5"/>
    <w:rsid w:val="002D7A40"/>
    <w:rsid w:val="002E1221"/>
    <w:rsid w:val="00316D13"/>
    <w:rsid w:val="003726AD"/>
    <w:rsid w:val="003956F4"/>
    <w:rsid w:val="003D1183"/>
    <w:rsid w:val="003D41AE"/>
    <w:rsid w:val="003E7FCE"/>
    <w:rsid w:val="003F7253"/>
    <w:rsid w:val="00413778"/>
    <w:rsid w:val="00455AA0"/>
    <w:rsid w:val="00463AAA"/>
    <w:rsid w:val="00475D39"/>
    <w:rsid w:val="00480A16"/>
    <w:rsid w:val="00496A26"/>
    <w:rsid w:val="004A4E20"/>
    <w:rsid w:val="004B0C54"/>
    <w:rsid w:val="005329F0"/>
    <w:rsid w:val="00550757"/>
    <w:rsid w:val="0057751B"/>
    <w:rsid w:val="0058206A"/>
    <w:rsid w:val="0058326D"/>
    <w:rsid w:val="005A6350"/>
    <w:rsid w:val="005C3C5C"/>
    <w:rsid w:val="005C77CC"/>
    <w:rsid w:val="0061391C"/>
    <w:rsid w:val="00673E9A"/>
    <w:rsid w:val="00695784"/>
    <w:rsid w:val="006B2FB7"/>
    <w:rsid w:val="007871E6"/>
    <w:rsid w:val="0079605D"/>
    <w:rsid w:val="007A6D36"/>
    <w:rsid w:val="00805489"/>
    <w:rsid w:val="00805C57"/>
    <w:rsid w:val="008126E4"/>
    <w:rsid w:val="00851680"/>
    <w:rsid w:val="008606AE"/>
    <w:rsid w:val="008609FD"/>
    <w:rsid w:val="00872F38"/>
    <w:rsid w:val="008770A6"/>
    <w:rsid w:val="008A3B8F"/>
    <w:rsid w:val="008E19D4"/>
    <w:rsid w:val="008F6411"/>
    <w:rsid w:val="00923D48"/>
    <w:rsid w:val="009452AF"/>
    <w:rsid w:val="0099564E"/>
    <w:rsid w:val="009A46BF"/>
    <w:rsid w:val="009C7168"/>
    <w:rsid w:val="00A34F58"/>
    <w:rsid w:val="00A746E7"/>
    <w:rsid w:val="00A84A33"/>
    <w:rsid w:val="00AF3C81"/>
    <w:rsid w:val="00AF4AF2"/>
    <w:rsid w:val="00B00C41"/>
    <w:rsid w:val="00B02BFE"/>
    <w:rsid w:val="00B14554"/>
    <w:rsid w:val="00BB2EC8"/>
    <w:rsid w:val="00BF3A4C"/>
    <w:rsid w:val="00BF483A"/>
    <w:rsid w:val="00C0787F"/>
    <w:rsid w:val="00C32A76"/>
    <w:rsid w:val="00C668A2"/>
    <w:rsid w:val="00C92084"/>
    <w:rsid w:val="00CF3787"/>
    <w:rsid w:val="00D1253F"/>
    <w:rsid w:val="00D160EE"/>
    <w:rsid w:val="00D27AA5"/>
    <w:rsid w:val="00D35147"/>
    <w:rsid w:val="00D51138"/>
    <w:rsid w:val="00D55257"/>
    <w:rsid w:val="00D87F24"/>
    <w:rsid w:val="00DC231A"/>
    <w:rsid w:val="00DD784D"/>
    <w:rsid w:val="00DE3684"/>
    <w:rsid w:val="00E41BC2"/>
    <w:rsid w:val="00E54248"/>
    <w:rsid w:val="00E54990"/>
    <w:rsid w:val="00E91C17"/>
    <w:rsid w:val="00E94482"/>
    <w:rsid w:val="00EA0FD5"/>
    <w:rsid w:val="00EB0122"/>
    <w:rsid w:val="00EB6834"/>
    <w:rsid w:val="00EB6F08"/>
    <w:rsid w:val="00EE2D4D"/>
    <w:rsid w:val="00EE699B"/>
    <w:rsid w:val="00F416D2"/>
    <w:rsid w:val="00F54145"/>
    <w:rsid w:val="00F60213"/>
    <w:rsid w:val="00F60A2F"/>
    <w:rsid w:val="00F643E6"/>
    <w:rsid w:val="00F810EB"/>
    <w:rsid w:val="00F9329B"/>
    <w:rsid w:val="00FE6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C34ECE"/>
  <w15:docId w15:val="{CA20B12E-E316-4FB4-B355-7805E1BC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13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10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10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7F"/>
    <w:pPr>
      <w:ind w:left="720"/>
      <w:contextualSpacing/>
    </w:pPr>
    <w:rPr>
      <w:rFonts w:eastAsia="Arial" w:cs="Arial"/>
      <w:lang w:val="en-US"/>
    </w:rPr>
  </w:style>
  <w:style w:type="character" w:customStyle="1" w:styleId="Heading1Char">
    <w:name w:val="Heading 1 Char"/>
    <w:basedOn w:val="DefaultParagraphFont"/>
    <w:link w:val="Heading1"/>
    <w:uiPriority w:val="9"/>
    <w:rsid w:val="0021135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11354"/>
    <w:rPr>
      <w:color w:val="0000FF" w:themeColor="hyperlink"/>
      <w:u w:val="single"/>
    </w:rPr>
  </w:style>
  <w:style w:type="paragraph" w:styleId="NormalWeb">
    <w:name w:val="Normal (Web)"/>
    <w:basedOn w:val="Normal"/>
    <w:uiPriority w:val="99"/>
    <w:unhideWhenUsed/>
    <w:rsid w:val="00CF3787"/>
    <w:pPr>
      <w:spacing w:before="150" w:after="150"/>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F810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10E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726AD"/>
    <w:rPr>
      <w:rFonts w:ascii="Tahoma" w:hAnsi="Tahoma" w:cs="Tahoma"/>
      <w:sz w:val="16"/>
      <w:szCs w:val="16"/>
    </w:rPr>
  </w:style>
  <w:style w:type="character" w:customStyle="1" w:styleId="BalloonTextChar">
    <w:name w:val="Balloon Text Char"/>
    <w:basedOn w:val="DefaultParagraphFont"/>
    <w:link w:val="BalloonText"/>
    <w:uiPriority w:val="99"/>
    <w:semiHidden/>
    <w:rsid w:val="003726AD"/>
    <w:rPr>
      <w:rFonts w:ascii="Tahoma" w:hAnsi="Tahoma" w:cs="Tahoma"/>
      <w:sz w:val="16"/>
      <w:szCs w:val="16"/>
    </w:rPr>
  </w:style>
  <w:style w:type="character" w:styleId="FollowedHyperlink">
    <w:name w:val="FollowedHyperlink"/>
    <w:basedOn w:val="DefaultParagraphFont"/>
    <w:uiPriority w:val="99"/>
    <w:semiHidden/>
    <w:unhideWhenUsed/>
    <w:rsid w:val="001B608E"/>
    <w:rPr>
      <w:color w:val="800080" w:themeColor="followedHyperlink"/>
      <w:u w:val="single"/>
    </w:rPr>
  </w:style>
  <w:style w:type="paragraph" w:styleId="NoSpacing">
    <w:name w:val="No Spacing"/>
    <w:uiPriority w:val="1"/>
    <w:qFormat/>
    <w:rsid w:val="00F643E6"/>
  </w:style>
  <w:style w:type="paragraph" w:styleId="Header">
    <w:name w:val="header"/>
    <w:basedOn w:val="Normal"/>
    <w:link w:val="HeaderChar"/>
    <w:unhideWhenUsed/>
    <w:rsid w:val="00094AFF"/>
    <w:pPr>
      <w:tabs>
        <w:tab w:val="center" w:pos="4513"/>
        <w:tab w:val="right" w:pos="9026"/>
      </w:tabs>
    </w:pPr>
  </w:style>
  <w:style w:type="character" w:customStyle="1" w:styleId="HeaderChar">
    <w:name w:val="Header Char"/>
    <w:basedOn w:val="DefaultParagraphFont"/>
    <w:link w:val="Header"/>
    <w:rsid w:val="00094AFF"/>
  </w:style>
  <w:style w:type="paragraph" w:styleId="Footer">
    <w:name w:val="footer"/>
    <w:basedOn w:val="Normal"/>
    <w:link w:val="FooterChar"/>
    <w:unhideWhenUsed/>
    <w:rsid w:val="00094AFF"/>
    <w:pPr>
      <w:tabs>
        <w:tab w:val="center" w:pos="4513"/>
        <w:tab w:val="right" w:pos="9026"/>
      </w:tabs>
    </w:pPr>
  </w:style>
  <w:style w:type="character" w:customStyle="1" w:styleId="FooterChar">
    <w:name w:val="Footer Char"/>
    <w:basedOn w:val="DefaultParagraphFont"/>
    <w:link w:val="Footer"/>
    <w:rsid w:val="00094AFF"/>
  </w:style>
  <w:style w:type="character" w:styleId="PageNumber">
    <w:name w:val="page number"/>
    <w:basedOn w:val="DefaultParagraphFont"/>
    <w:rsid w:val="0057751B"/>
  </w:style>
  <w:style w:type="paragraph" w:styleId="TOC1">
    <w:name w:val="toc 1"/>
    <w:basedOn w:val="Normal"/>
    <w:next w:val="Normal"/>
    <w:autoRedefine/>
    <w:semiHidden/>
    <w:rsid w:val="0057751B"/>
    <w:pPr>
      <w:tabs>
        <w:tab w:val="left" w:pos="400"/>
        <w:tab w:val="right" w:leader="dot" w:pos="8636"/>
      </w:tabs>
      <w:spacing w:before="120"/>
    </w:pPr>
    <w:rPr>
      <w:rFonts w:eastAsia="Times New Roman" w:cs="Times New Roman"/>
      <w:bCs/>
      <w:i/>
      <w:iCs/>
      <w:szCs w:val="28"/>
    </w:rPr>
  </w:style>
  <w:style w:type="paragraph" w:customStyle="1" w:styleId="Disclaimer">
    <w:name w:val="Disclaimer"/>
    <w:basedOn w:val="Normal"/>
    <w:rsid w:val="0057751B"/>
    <w:pPr>
      <w:autoSpaceDE w:val="0"/>
      <w:autoSpaceDN w:val="0"/>
      <w:adjustRightInd w:val="0"/>
      <w:ind w:left="720"/>
    </w:pPr>
    <w:rPr>
      <w:rFonts w:eastAsia="Times New Roman" w:cs="Arial"/>
      <w:i/>
      <w:iCs/>
      <w:color w:val="000000"/>
      <w:sz w:val="20"/>
      <w:szCs w:val="20"/>
    </w:rPr>
  </w:style>
  <w:style w:type="paragraph" w:customStyle="1" w:styleId="DisclaimerBold">
    <w:name w:val="Disclaimer Bold"/>
    <w:basedOn w:val="Disclaimer"/>
    <w:rsid w:val="005775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88286">
      <w:bodyDiv w:val="1"/>
      <w:marLeft w:val="0"/>
      <w:marRight w:val="0"/>
      <w:marTop w:val="0"/>
      <w:marBottom w:val="0"/>
      <w:divBdr>
        <w:top w:val="none" w:sz="0" w:space="0" w:color="auto"/>
        <w:left w:val="none" w:sz="0" w:space="0" w:color="auto"/>
        <w:bottom w:val="none" w:sz="0" w:space="0" w:color="auto"/>
        <w:right w:val="none" w:sz="0" w:space="0" w:color="auto"/>
      </w:divBdr>
    </w:div>
    <w:div w:id="1436904531">
      <w:bodyDiv w:val="1"/>
      <w:marLeft w:val="0"/>
      <w:marRight w:val="0"/>
      <w:marTop w:val="0"/>
      <w:marBottom w:val="0"/>
      <w:divBdr>
        <w:top w:val="none" w:sz="0" w:space="0" w:color="auto"/>
        <w:left w:val="none" w:sz="0" w:space="0" w:color="auto"/>
        <w:bottom w:val="none" w:sz="0" w:space="0" w:color="auto"/>
        <w:right w:val="none" w:sz="0" w:space="0" w:color="auto"/>
      </w:divBdr>
    </w:div>
    <w:div w:id="1483618844">
      <w:bodyDiv w:val="1"/>
      <w:marLeft w:val="0"/>
      <w:marRight w:val="0"/>
      <w:marTop w:val="0"/>
      <w:marBottom w:val="0"/>
      <w:divBdr>
        <w:top w:val="none" w:sz="0" w:space="0" w:color="auto"/>
        <w:left w:val="none" w:sz="0" w:space="0" w:color="auto"/>
        <w:bottom w:val="none" w:sz="0" w:space="0" w:color="auto"/>
        <w:right w:val="none" w:sz="0" w:space="0" w:color="auto"/>
      </w:divBdr>
    </w:div>
    <w:div w:id="14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dunn@mav.asn.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2D7CA537341C4ABAE9591A70C4D9C4" ma:contentTypeVersion="3" ma:contentTypeDescription="Create a new document." ma:contentTypeScope="" ma:versionID="6bf84bb1923e2abbdcb33e6f751b901f">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4fa5f0e84da6a56c51ef811dddef7a36"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0e4874b3-69ac-4c13-81e9-b8a0b00ab165</TermId>
        </TermInfo>
      </Terms>
    </AGLSSubjectHTField0>
    <TaxCatchAll xmlns="b2999bd9-dba0-46e4-8521-1f182c80fbb9">
      <Value>10</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E7F5-F5D9-4DAD-A686-CF9DCDA56BDF}">
  <ds:schemaRefs>
    <ds:schemaRef ds:uri="http://schemas.microsoft.com/sharepoint/v3/contenttype/forms"/>
  </ds:schemaRefs>
</ds:datastoreItem>
</file>

<file path=customXml/itemProps2.xml><?xml version="1.0" encoding="utf-8"?>
<ds:datastoreItem xmlns:ds="http://schemas.openxmlformats.org/officeDocument/2006/customXml" ds:itemID="{1F94DF13-93B6-4A6B-8784-8EE157C70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92403-EF44-442C-B92B-23C1F7FB3E8F}">
  <ds:schemaRef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2999bd9-dba0-46e4-8521-1f182c80fbb9"/>
    <ds:schemaRef ds:uri="http://www.w3.org/XML/1998/namespace"/>
    <ds:schemaRef ds:uri="http://purl.org/dc/dcmitype/"/>
  </ds:schemaRefs>
</ds:datastoreItem>
</file>

<file path=customXml/itemProps4.xml><?xml version="1.0" encoding="utf-8"?>
<ds:datastoreItem xmlns:ds="http://schemas.openxmlformats.org/officeDocument/2006/customXml" ds:itemID="{F1BD022F-70B5-4475-8EE1-79160697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1928</Words>
  <Characters>10994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VSLGA position paper, Mar 2014</vt:lpstr>
    </vt:vector>
  </TitlesOfParts>
  <Company/>
  <LinksUpToDate>false</LinksUpToDate>
  <CharactersWithSpaces>12897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VSLGA position paper, Mar 2014</dc:title>
  <dc:creator>Claire Dunn</dc:creator>
  <cp:lastModifiedBy>Zachary Tangey</cp:lastModifiedBy>
  <cp:revision>2</cp:revision>
  <cp:lastPrinted>2014-03-06T04:19:00Z</cp:lastPrinted>
  <dcterms:created xsi:type="dcterms:W3CDTF">2018-03-07T01:57:00Z</dcterms:created>
  <dcterms:modified xsi:type="dcterms:W3CDTF">2018-03-07T01:57:00Z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0x010100A52D7CA537341C4ABAE9591A70C4D9C4</vt:lpwstr>
  </property>
  <property fmtid="{D5CDD505-2E9C-101B-9397-08002B2CF9AE}" pid="3" name="AGLSSubject">
    <vt:lpwstr>10;#Governance|0e4874b3-69ac-4c13-81e9-b8a0b00ab165</vt:lpwstr>
  </property>
</Properties>
</file>