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A5" w:rsidRDefault="00D045A5" w:rsidP="00D045A5">
      <w:pPr>
        <w:pStyle w:val="Heading1"/>
        <w:spacing w:before="240" w:after="240"/>
        <w:jc w:val="right"/>
        <w:rPr>
          <w:sz w:val="32"/>
          <w:szCs w:val="32"/>
        </w:rPr>
      </w:pPr>
      <w:bookmarkStart w:id="0" w:name="_GoBack"/>
      <w:bookmarkEnd w:id="0"/>
      <w:r>
        <w:rPr>
          <w:b w:val="0"/>
          <w:noProof/>
          <w:lang w:eastAsia="en-AU"/>
        </w:rPr>
        <w:drawing>
          <wp:inline distT="0" distB="0" distL="0" distR="0">
            <wp:extent cx="944880" cy="1264920"/>
            <wp:effectExtent l="19050" t="0" r="7620" b="0"/>
            <wp:docPr id="4" name="Picture 1" descr="NIEIR_Logo_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IR_Logo_with text.jpg"/>
                    <pic:cNvPicPr/>
                  </pic:nvPicPr>
                  <pic:blipFill>
                    <a:blip r:embed="rId12"/>
                    <a:stretch>
                      <a:fillRect/>
                    </a:stretch>
                  </pic:blipFill>
                  <pic:spPr>
                    <a:xfrm>
                      <a:off x="0" y="0"/>
                      <a:ext cx="944880" cy="1264920"/>
                    </a:xfrm>
                    <a:prstGeom prst="rect">
                      <a:avLst/>
                    </a:prstGeom>
                  </pic:spPr>
                </pic:pic>
              </a:graphicData>
            </a:graphic>
          </wp:inline>
        </w:drawing>
      </w:r>
    </w:p>
    <w:p w:rsidR="00D045A5" w:rsidRDefault="00D045A5" w:rsidP="00D045A5">
      <w:pPr>
        <w:rPr>
          <w:rFonts w:cs="Times New Roman"/>
          <w:b/>
          <w:sz w:val="48"/>
          <w:szCs w:val="48"/>
        </w:rPr>
      </w:pPr>
    </w:p>
    <w:p w:rsidR="00D045A5" w:rsidRDefault="00D045A5" w:rsidP="00D045A5">
      <w:pPr>
        <w:rPr>
          <w:rFonts w:cs="Times New Roman"/>
          <w:b/>
          <w:sz w:val="48"/>
          <w:szCs w:val="48"/>
        </w:rPr>
      </w:pPr>
    </w:p>
    <w:p w:rsidR="00D045A5" w:rsidRDefault="00D045A5" w:rsidP="00D045A5">
      <w:pPr>
        <w:rPr>
          <w:rFonts w:cs="Times New Roman"/>
          <w:b/>
          <w:sz w:val="48"/>
          <w:szCs w:val="48"/>
        </w:rPr>
      </w:pPr>
    </w:p>
    <w:p w:rsidR="00D045A5" w:rsidRDefault="00D045A5" w:rsidP="00D045A5">
      <w:pPr>
        <w:rPr>
          <w:rFonts w:cs="Times New Roman"/>
          <w:b/>
          <w:sz w:val="48"/>
          <w:szCs w:val="48"/>
        </w:rPr>
      </w:pPr>
    </w:p>
    <w:p w:rsidR="00056520" w:rsidRPr="00D045A5" w:rsidRDefault="00056520" w:rsidP="00D045A5">
      <w:pPr>
        <w:rPr>
          <w:rFonts w:eastAsia="Times New Roman" w:cs="Times New Roman"/>
          <w:b/>
          <w:snapToGrid w:val="0"/>
          <w:w w:val="0"/>
          <w:sz w:val="48"/>
          <w:szCs w:val="48"/>
          <w:u w:color="000000"/>
          <w:bdr w:val="none" w:sz="0" w:space="0" w:color="000000"/>
          <w:shd w:val="clear" w:color="000000" w:fill="000000"/>
        </w:rPr>
      </w:pPr>
      <w:r w:rsidRPr="00D045A5">
        <w:rPr>
          <w:rFonts w:cs="Times New Roman"/>
          <w:b/>
          <w:sz w:val="48"/>
          <w:szCs w:val="48"/>
        </w:rPr>
        <w:t>Making the Most of our Opportunities</w:t>
      </w:r>
      <w:r w:rsidR="00DB65D8" w:rsidRPr="00D045A5">
        <w:rPr>
          <w:rFonts w:eastAsia="Times New Roman" w:cs="Times New Roman"/>
          <w:b/>
          <w:snapToGrid w:val="0"/>
          <w:w w:val="0"/>
          <w:sz w:val="48"/>
          <w:szCs w:val="48"/>
          <w:u w:color="000000"/>
          <w:bdr w:val="none" w:sz="0" w:space="0" w:color="000000"/>
          <w:shd w:val="clear" w:color="000000" w:fill="000000"/>
        </w:rPr>
        <w:t xml:space="preserve"> </w:t>
      </w:r>
    </w:p>
    <w:p w:rsidR="00D045A5" w:rsidRPr="00D045A5" w:rsidRDefault="00D045A5" w:rsidP="00D045A5">
      <w:pPr>
        <w:rPr>
          <w:rFonts w:cs="Times New Roman"/>
          <w:b/>
          <w:sz w:val="40"/>
          <w:szCs w:val="40"/>
        </w:rPr>
      </w:pPr>
    </w:p>
    <w:p w:rsidR="006A05F4" w:rsidRPr="00D045A5" w:rsidRDefault="006A05F4" w:rsidP="003266EE">
      <w:pPr>
        <w:jc w:val="left"/>
        <w:rPr>
          <w:b/>
          <w:sz w:val="32"/>
          <w:szCs w:val="32"/>
        </w:rPr>
      </w:pPr>
      <w:r w:rsidRPr="00D045A5">
        <w:rPr>
          <w:b/>
          <w:sz w:val="32"/>
          <w:szCs w:val="32"/>
        </w:rPr>
        <w:t xml:space="preserve">Summary </w:t>
      </w:r>
      <w:r w:rsidR="005440D3" w:rsidRPr="00D045A5">
        <w:rPr>
          <w:b/>
          <w:sz w:val="32"/>
          <w:szCs w:val="32"/>
        </w:rPr>
        <w:t xml:space="preserve">of a </w:t>
      </w:r>
      <w:r w:rsidRPr="00D045A5">
        <w:rPr>
          <w:b/>
          <w:sz w:val="32"/>
          <w:szCs w:val="32"/>
        </w:rPr>
        <w:t>Report to the Municipal Association of Victoria</w:t>
      </w:r>
      <w:r w:rsidR="00D045A5">
        <w:rPr>
          <w:b/>
          <w:sz w:val="32"/>
          <w:szCs w:val="32"/>
        </w:rPr>
        <w:t>, prepared</w:t>
      </w:r>
      <w:r w:rsidRPr="00D045A5">
        <w:rPr>
          <w:b/>
          <w:sz w:val="32"/>
          <w:szCs w:val="32"/>
        </w:rPr>
        <w:t xml:space="preserve"> by </w:t>
      </w:r>
      <w:r w:rsidR="00293264" w:rsidRPr="00D045A5">
        <w:rPr>
          <w:b/>
          <w:sz w:val="32"/>
          <w:szCs w:val="32"/>
        </w:rPr>
        <w:t>Dr Peter Brain (</w:t>
      </w:r>
      <w:r w:rsidRPr="00D045A5">
        <w:rPr>
          <w:b/>
          <w:sz w:val="32"/>
          <w:szCs w:val="32"/>
        </w:rPr>
        <w:t>National Institute of Economic and Industry Research</w:t>
      </w:r>
      <w:r w:rsidR="00293264" w:rsidRPr="00D045A5">
        <w:rPr>
          <w:b/>
          <w:sz w:val="32"/>
          <w:szCs w:val="32"/>
        </w:rPr>
        <w:t>), Professor John Stanley and Assoc. Professor Janet Stanley (</w:t>
      </w:r>
      <w:r w:rsidRPr="00D045A5">
        <w:rPr>
          <w:b/>
          <w:sz w:val="32"/>
          <w:szCs w:val="32"/>
        </w:rPr>
        <w:t>Stanley &amp; Co</w:t>
      </w:r>
      <w:r w:rsidR="00293264" w:rsidRPr="00D045A5">
        <w:rPr>
          <w:b/>
          <w:sz w:val="32"/>
          <w:szCs w:val="32"/>
        </w:rPr>
        <w:t>)</w:t>
      </w:r>
      <w:r w:rsidRPr="00D045A5">
        <w:rPr>
          <w:b/>
          <w:sz w:val="32"/>
          <w:szCs w:val="32"/>
        </w:rPr>
        <w:t>.</w:t>
      </w:r>
    </w:p>
    <w:p w:rsidR="00D045A5" w:rsidRDefault="00D045A5" w:rsidP="003266EE">
      <w:pPr>
        <w:jc w:val="left"/>
        <w:rPr>
          <w:b/>
        </w:rPr>
      </w:pPr>
    </w:p>
    <w:p w:rsidR="00D045A5" w:rsidRDefault="00D045A5" w:rsidP="003266EE">
      <w:pPr>
        <w:jc w:val="left"/>
        <w:rPr>
          <w:b/>
        </w:rPr>
      </w:pPr>
    </w:p>
    <w:p w:rsidR="00D045A5" w:rsidRDefault="00D045A5" w:rsidP="003266EE">
      <w:pPr>
        <w:jc w:val="left"/>
        <w:rPr>
          <w:b/>
        </w:rPr>
      </w:pPr>
    </w:p>
    <w:p w:rsidR="00D045A5" w:rsidRDefault="00D045A5" w:rsidP="003266EE">
      <w:pPr>
        <w:jc w:val="left"/>
        <w:rPr>
          <w:b/>
        </w:rPr>
      </w:pPr>
    </w:p>
    <w:p w:rsidR="00D045A5" w:rsidRDefault="00D045A5" w:rsidP="003266EE">
      <w:pPr>
        <w:jc w:val="left"/>
        <w:rPr>
          <w:b/>
        </w:rPr>
      </w:pPr>
    </w:p>
    <w:p w:rsidR="00D045A5" w:rsidRDefault="00D045A5" w:rsidP="003266EE">
      <w:pPr>
        <w:jc w:val="left"/>
        <w:rPr>
          <w:b/>
        </w:rPr>
      </w:pPr>
    </w:p>
    <w:p w:rsidR="00D045A5" w:rsidRDefault="00D045A5" w:rsidP="003266EE">
      <w:pPr>
        <w:jc w:val="left"/>
        <w:rPr>
          <w:b/>
        </w:rPr>
      </w:pPr>
    </w:p>
    <w:p w:rsidR="00D045A5" w:rsidRDefault="00D045A5" w:rsidP="003266EE">
      <w:pPr>
        <w:jc w:val="left"/>
        <w:rPr>
          <w:b/>
        </w:rPr>
      </w:pPr>
    </w:p>
    <w:p w:rsidR="00D045A5" w:rsidRDefault="00D045A5" w:rsidP="003266EE">
      <w:pPr>
        <w:jc w:val="left"/>
        <w:rPr>
          <w:b/>
        </w:rPr>
      </w:pPr>
    </w:p>
    <w:p w:rsidR="006A05F4" w:rsidRPr="003266EE" w:rsidRDefault="003266EE" w:rsidP="003266EE">
      <w:pPr>
        <w:jc w:val="left"/>
        <w:rPr>
          <w:b/>
        </w:rPr>
      </w:pPr>
      <w:r w:rsidRPr="003266EE">
        <w:rPr>
          <w:b/>
        </w:rPr>
        <w:t>December 2018</w:t>
      </w:r>
    </w:p>
    <w:p w:rsidR="00D045A5" w:rsidRDefault="00D045A5">
      <w:pPr>
        <w:spacing w:before="240" w:after="240"/>
        <w:jc w:val="left"/>
        <w:rPr>
          <w:rFonts w:asciiTheme="majorHAnsi" w:eastAsiaTheme="majorEastAsia" w:hAnsiTheme="majorHAnsi" w:cstheme="majorBidi"/>
          <w:b/>
          <w:bCs/>
          <w:color w:val="365F91" w:themeColor="accent1" w:themeShade="BF"/>
          <w:sz w:val="28"/>
          <w:szCs w:val="28"/>
        </w:rPr>
      </w:pPr>
      <w:r>
        <w:br w:type="page"/>
      </w:r>
    </w:p>
    <w:p w:rsidR="00D045A5" w:rsidRDefault="00D045A5">
      <w:pPr>
        <w:spacing w:before="240" w:after="240"/>
        <w:jc w:val="left"/>
        <w:rPr>
          <w:b/>
        </w:rPr>
      </w:pPr>
      <w:r w:rsidRPr="00D045A5">
        <w:rPr>
          <w:b/>
        </w:rPr>
        <w:lastRenderedPageBreak/>
        <w:t>Contents</w:t>
      </w:r>
    </w:p>
    <w:p w:rsidR="008559F5" w:rsidRDefault="008559F5">
      <w:pPr>
        <w:pStyle w:val="TOC1"/>
        <w:tabs>
          <w:tab w:val="left" w:pos="440"/>
          <w:tab w:val="right" w:leader="dot" w:pos="9350"/>
        </w:tabs>
        <w:rPr>
          <w:rFonts w:asciiTheme="minorHAnsi" w:eastAsiaTheme="minorEastAsia" w:hAnsiTheme="minorHAnsi" w:cstheme="minorBidi"/>
          <w:noProof/>
          <w:color w:val="auto"/>
          <w:sz w:val="22"/>
          <w:lang w:val="en-US"/>
        </w:rPr>
      </w:pPr>
      <w:r>
        <w:rPr>
          <w:b/>
        </w:rPr>
        <w:fldChar w:fldCharType="begin"/>
      </w:r>
      <w:r>
        <w:rPr>
          <w:b/>
        </w:rPr>
        <w:instrText xml:space="preserve"> TOC \o "1-3" \h \z \u </w:instrText>
      </w:r>
      <w:r>
        <w:rPr>
          <w:b/>
        </w:rPr>
        <w:fldChar w:fldCharType="separate"/>
      </w:r>
      <w:hyperlink w:anchor="_Toc532983529" w:history="1">
        <w:r w:rsidRPr="00D12927">
          <w:rPr>
            <w:rStyle w:val="Hyperlink"/>
            <w:noProof/>
          </w:rPr>
          <w:t>1.</w:t>
        </w:r>
        <w:r>
          <w:rPr>
            <w:rFonts w:asciiTheme="minorHAnsi" w:eastAsiaTheme="minorEastAsia" w:hAnsiTheme="minorHAnsi" w:cstheme="minorBidi"/>
            <w:noProof/>
            <w:color w:val="auto"/>
            <w:sz w:val="22"/>
            <w:lang w:val="en-US"/>
          </w:rPr>
          <w:tab/>
        </w:r>
        <w:r w:rsidRPr="00D12927">
          <w:rPr>
            <w:rStyle w:val="Hyperlink"/>
            <w:noProof/>
          </w:rPr>
          <w:t>Melbourne’s rapid population growth</w:t>
        </w:r>
        <w:r>
          <w:rPr>
            <w:noProof/>
            <w:webHidden/>
          </w:rPr>
          <w:tab/>
        </w:r>
        <w:r>
          <w:rPr>
            <w:noProof/>
            <w:webHidden/>
          </w:rPr>
          <w:fldChar w:fldCharType="begin"/>
        </w:r>
        <w:r>
          <w:rPr>
            <w:noProof/>
            <w:webHidden/>
          </w:rPr>
          <w:instrText xml:space="preserve"> PAGEREF _Toc532983529 \h </w:instrText>
        </w:r>
        <w:r>
          <w:rPr>
            <w:noProof/>
            <w:webHidden/>
          </w:rPr>
        </w:r>
        <w:r>
          <w:rPr>
            <w:noProof/>
            <w:webHidden/>
          </w:rPr>
          <w:fldChar w:fldCharType="separate"/>
        </w:r>
        <w:r>
          <w:rPr>
            <w:noProof/>
            <w:webHidden/>
          </w:rPr>
          <w:t>3</w:t>
        </w:r>
        <w:r>
          <w:rPr>
            <w:noProof/>
            <w:webHidden/>
          </w:rPr>
          <w:fldChar w:fldCharType="end"/>
        </w:r>
      </w:hyperlink>
    </w:p>
    <w:p w:rsidR="008559F5" w:rsidRDefault="00CD241E">
      <w:pPr>
        <w:pStyle w:val="TOC1"/>
        <w:tabs>
          <w:tab w:val="left" w:pos="440"/>
          <w:tab w:val="right" w:leader="dot" w:pos="9350"/>
        </w:tabs>
        <w:rPr>
          <w:rFonts w:asciiTheme="minorHAnsi" w:eastAsiaTheme="minorEastAsia" w:hAnsiTheme="minorHAnsi" w:cstheme="minorBidi"/>
          <w:noProof/>
          <w:color w:val="auto"/>
          <w:sz w:val="22"/>
          <w:lang w:val="en-US"/>
        </w:rPr>
      </w:pPr>
      <w:hyperlink w:anchor="_Toc532983530" w:history="1">
        <w:r w:rsidR="008559F5" w:rsidRPr="00D12927">
          <w:rPr>
            <w:rStyle w:val="Hyperlink"/>
            <w:noProof/>
          </w:rPr>
          <w:t>2.</w:t>
        </w:r>
        <w:r w:rsidR="008559F5">
          <w:rPr>
            <w:rFonts w:asciiTheme="minorHAnsi" w:eastAsiaTheme="minorEastAsia" w:hAnsiTheme="minorHAnsi" w:cstheme="minorBidi"/>
            <w:noProof/>
            <w:color w:val="auto"/>
            <w:sz w:val="22"/>
            <w:lang w:val="en-US"/>
          </w:rPr>
          <w:tab/>
        </w:r>
        <w:r w:rsidR="008559F5" w:rsidRPr="00D12927">
          <w:rPr>
            <w:rStyle w:val="Hyperlink"/>
            <w:noProof/>
          </w:rPr>
          <w:t>Growth pattern</w:t>
        </w:r>
        <w:r w:rsidR="008559F5">
          <w:rPr>
            <w:noProof/>
            <w:webHidden/>
          </w:rPr>
          <w:tab/>
        </w:r>
        <w:r w:rsidR="008559F5">
          <w:rPr>
            <w:noProof/>
            <w:webHidden/>
          </w:rPr>
          <w:fldChar w:fldCharType="begin"/>
        </w:r>
        <w:r w:rsidR="008559F5">
          <w:rPr>
            <w:noProof/>
            <w:webHidden/>
          </w:rPr>
          <w:instrText xml:space="preserve"> PAGEREF _Toc532983530 \h </w:instrText>
        </w:r>
        <w:r w:rsidR="008559F5">
          <w:rPr>
            <w:noProof/>
            <w:webHidden/>
          </w:rPr>
        </w:r>
        <w:r w:rsidR="008559F5">
          <w:rPr>
            <w:noProof/>
            <w:webHidden/>
          </w:rPr>
          <w:fldChar w:fldCharType="separate"/>
        </w:r>
        <w:r w:rsidR="008559F5">
          <w:rPr>
            <w:noProof/>
            <w:webHidden/>
          </w:rPr>
          <w:t>4</w:t>
        </w:r>
        <w:r w:rsidR="008559F5">
          <w:rPr>
            <w:noProof/>
            <w:webHidden/>
          </w:rPr>
          <w:fldChar w:fldCharType="end"/>
        </w:r>
      </w:hyperlink>
    </w:p>
    <w:p w:rsidR="008559F5" w:rsidRDefault="00CD241E">
      <w:pPr>
        <w:pStyle w:val="TOC1"/>
        <w:tabs>
          <w:tab w:val="left" w:pos="440"/>
          <w:tab w:val="right" w:leader="dot" w:pos="9350"/>
        </w:tabs>
        <w:rPr>
          <w:rFonts w:asciiTheme="minorHAnsi" w:eastAsiaTheme="minorEastAsia" w:hAnsiTheme="minorHAnsi" w:cstheme="minorBidi"/>
          <w:noProof/>
          <w:color w:val="auto"/>
          <w:sz w:val="22"/>
          <w:lang w:val="en-US"/>
        </w:rPr>
      </w:pPr>
      <w:hyperlink w:anchor="_Toc532983531" w:history="1">
        <w:r w:rsidR="008559F5" w:rsidRPr="00D12927">
          <w:rPr>
            <w:rStyle w:val="Hyperlink"/>
            <w:noProof/>
          </w:rPr>
          <w:t>3.</w:t>
        </w:r>
        <w:r w:rsidR="008559F5">
          <w:rPr>
            <w:rFonts w:asciiTheme="minorHAnsi" w:eastAsiaTheme="minorEastAsia" w:hAnsiTheme="minorHAnsi" w:cstheme="minorBidi"/>
            <w:noProof/>
            <w:color w:val="auto"/>
            <w:sz w:val="22"/>
            <w:lang w:val="en-US"/>
          </w:rPr>
          <w:tab/>
        </w:r>
        <w:r w:rsidR="008559F5" w:rsidRPr="00D12927">
          <w:rPr>
            <w:rStyle w:val="Hyperlink"/>
            <w:noProof/>
          </w:rPr>
          <w:t>Impact on productivity</w:t>
        </w:r>
        <w:r w:rsidR="008559F5">
          <w:rPr>
            <w:noProof/>
            <w:webHidden/>
          </w:rPr>
          <w:tab/>
        </w:r>
        <w:r w:rsidR="008559F5">
          <w:rPr>
            <w:noProof/>
            <w:webHidden/>
          </w:rPr>
          <w:fldChar w:fldCharType="begin"/>
        </w:r>
        <w:r w:rsidR="008559F5">
          <w:rPr>
            <w:noProof/>
            <w:webHidden/>
          </w:rPr>
          <w:instrText xml:space="preserve"> PAGEREF _Toc532983531 \h </w:instrText>
        </w:r>
        <w:r w:rsidR="008559F5">
          <w:rPr>
            <w:noProof/>
            <w:webHidden/>
          </w:rPr>
        </w:r>
        <w:r w:rsidR="008559F5">
          <w:rPr>
            <w:noProof/>
            <w:webHidden/>
          </w:rPr>
          <w:fldChar w:fldCharType="separate"/>
        </w:r>
        <w:r w:rsidR="008559F5">
          <w:rPr>
            <w:noProof/>
            <w:webHidden/>
          </w:rPr>
          <w:t>5</w:t>
        </w:r>
        <w:r w:rsidR="008559F5">
          <w:rPr>
            <w:noProof/>
            <w:webHidden/>
          </w:rPr>
          <w:fldChar w:fldCharType="end"/>
        </w:r>
      </w:hyperlink>
    </w:p>
    <w:p w:rsidR="008559F5" w:rsidRDefault="00CD241E">
      <w:pPr>
        <w:pStyle w:val="TOC1"/>
        <w:tabs>
          <w:tab w:val="left" w:pos="440"/>
          <w:tab w:val="right" w:leader="dot" w:pos="9350"/>
        </w:tabs>
        <w:rPr>
          <w:rFonts w:asciiTheme="minorHAnsi" w:eastAsiaTheme="minorEastAsia" w:hAnsiTheme="minorHAnsi" w:cstheme="minorBidi"/>
          <w:noProof/>
          <w:color w:val="auto"/>
          <w:sz w:val="22"/>
          <w:lang w:val="en-US"/>
        </w:rPr>
      </w:pPr>
      <w:hyperlink w:anchor="_Toc532983532" w:history="1">
        <w:r w:rsidR="008559F5" w:rsidRPr="00D12927">
          <w:rPr>
            <w:rStyle w:val="Hyperlink"/>
            <w:noProof/>
            <w:lang w:val="en-US"/>
          </w:rPr>
          <w:t>4.</w:t>
        </w:r>
        <w:r w:rsidR="008559F5">
          <w:rPr>
            <w:rFonts w:asciiTheme="minorHAnsi" w:eastAsiaTheme="minorEastAsia" w:hAnsiTheme="minorHAnsi" w:cstheme="minorBidi"/>
            <w:noProof/>
            <w:color w:val="auto"/>
            <w:sz w:val="22"/>
            <w:lang w:val="en-US"/>
          </w:rPr>
          <w:tab/>
        </w:r>
        <w:r w:rsidR="008559F5" w:rsidRPr="00D12927">
          <w:rPr>
            <w:rStyle w:val="Hyperlink"/>
            <w:noProof/>
            <w:lang w:val="en-US"/>
          </w:rPr>
          <w:t>What about social outcomes?</w:t>
        </w:r>
        <w:r w:rsidR="008559F5">
          <w:rPr>
            <w:noProof/>
            <w:webHidden/>
          </w:rPr>
          <w:tab/>
        </w:r>
        <w:r w:rsidR="008559F5">
          <w:rPr>
            <w:noProof/>
            <w:webHidden/>
          </w:rPr>
          <w:fldChar w:fldCharType="begin"/>
        </w:r>
        <w:r w:rsidR="008559F5">
          <w:rPr>
            <w:noProof/>
            <w:webHidden/>
          </w:rPr>
          <w:instrText xml:space="preserve"> PAGEREF _Toc532983532 \h </w:instrText>
        </w:r>
        <w:r w:rsidR="008559F5">
          <w:rPr>
            <w:noProof/>
            <w:webHidden/>
          </w:rPr>
        </w:r>
        <w:r w:rsidR="008559F5">
          <w:rPr>
            <w:noProof/>
            <w:webHidden/>
          </w:rPr>
          <w:fldChar w:fldCharType="separate"/>
        </w:r>
        <w:r w:rsidR="008559F5">
          <w:rPr>
            <w:noProof/>
            <w:webHidden/>
          </w:rPr>
          <w:t>8</w:t>
        </w:r>
        <w:r w:rsidR="008559F5">
          <w:rPr>
            <w:noProof/>
            <w:webHidden/>
          </w:rPr>
          <w:fldChar w:fldCharType="end"/>
        </w:r>
      </w:hyperlink>
    </w:p>
    <w:p w:rsidR="008559F5" w:rsidRDefault="00CD241E">
      <w:pPr>
        <w:pStyle w:val="TOC1"/>
        <w:tabs>
          <w:tab w:val="left" w:pos="440"/>
          <w:tab w:val="right" w:leader="dot" w:pos="9350"/>
        </w:tabs>
        <w:rPr>
          <w:rFonts w:asciiTheme="minorHAnsi" w:eastAsiaTheme="minorEastAsia" w:hAnsiTheme="minorHAnsi" w:cstheme="minorBidi"/>
          <w:noProof/>
          <w:color w:val="auto"/>
          <w:sz w:val="22"/>
          <w:lang w:val="en-US"/>
        </w:rPr>
      </w:pPr>
      <w:hyperlink w:anchor="_Toc532983533" w:history="1">
        <w:r w:rsidR="008559F5" w:rsidRPr="00D12927">
          <w:rPr>
            <w:rStyle w:val="Hyperlink"/>
            <w:noProof/>
            <w:lang w:val="en-US"/>
          </w:rPr>
          <w:t>5.</w:t>
        </w:r>
        <w:r w:rsidR="008559F5">
          <w:rPr>
            <w:rFonts w:asciiTheme="minorHAnsi" w:eastAsiaTheme="minorEastAsia" w:hAnsiTheme="minorHAnsi" w:cstheme="minorBidi"/>
            <w:noProof/>
            <w:color w:val="auto"/>
            <w:sz w:val="22"/>
            <w:lang w:val="en-US"/>
          </w:rPr>
          <w:tab/>
        </w:r>
        <w:r w:rsidR="008559F5" w:rsidRPr="00D12927">
          <w:rPr>
            <w:rStyle w:val="Hyperlink"/>
            <w:noProof/>
            <w:lang w:val="en-US"/>
          </w:rPr>
          <w:t>Infrastructure backlog</w:t>
        </w:r>
        <w:r w:rsidR="008559F5">
          <w:rPr>
            <w:noProof/>
            <w:webHidden/>
          </w:rPr>
          <w:tab/>
        </w:r>
        <w:r w:rsidR="008559F5">
          <w:rPr>
            <w:noProof/>
            <w:webHidden/>
          </w:rPr>
          <w:fldChar w:fldCharType="begin"/>
        </w:r>
        <w:r w:rsidR="008559F5">
          <w:rPr>
            <w:noProof/>
            <w:webHidden/>
          </w:rPr>
          <w:instrText xml:space="preserve"> PAGEREF _Toc532983533 \h </w:instrText>
        </w:r>
        <w:r w:rsidR="008559F5">
          <w:rPr>
            <w:noProof/>
            <w:webHidden/>
          </w:rPr>
        </w:r>
        <w:r w:rsidR="008559F5">
          <w:rPr>
            <w:noProof/>
            <w:webHidden/>
          </w:rPr>
          <w:fldChar w:fldCharType="separate"/>
        </w:r>
        <w:r w:rsidR="008559F5">
          <w:rPr>
            <w:noProof/>
            <w:webHidden/>
          </w:rPr>
          <w:t>14</w:t>
        </w:r>
        <w:r w:rsidR="008559F5">
          <w:rPr>
            <w:noProof/>
            <w:webHidden/>
          </w:rPr>
          <w:fldChar w:fldCharType="end"/>
        </w:r>
      </w:hyperlink>
    </w:p>
    <w:p w:rsidR="008559F5" w:rsidRDefault="00CD241E">
      <w:pPr>
        <w:pStyle w:val="TOC1"/>
        <w:tabs>
          <w:tab w:val="left" w:pos="440"/>
          <w:tab w:val="right" w:leader="dot" w:pos="9350"/>
        </w:tabs>
        <w:rPr>
          <w:rFonts w:asciiTheme="minorHAnsi" w:eastAsiaTheme="minorEastAsia" w:hAnsiTheme="minorHAnsi" w:cstheme="minorBidi"/>
          <w:noProof/>
          <w:color w:val="auto"/>
          <w:sz w:val="22"/>
          <w:lang w:val="en-US"/>
        </w:rPr>
      </w:pPr>
      <w:hyperlink w:anchor="_Toc532983534" w:history="1">
        <w:r w:rsidR="008559F5" w:rsidRPr="00D12927">
          <w:rPr>
            <w:rStyle w:val="Hyperlink"/>
            <w:noProof/>
            <w:lang w:val="en-US"/>
          </w:rPr>
          <w:t>6.</w:t>
        </w:r>
        <w:r w:rsidR="008559F5">
          <w:rPr>
            <w:rFonts w:asciiTheme="minorHAnsi" w:eastAsiaTheme="minorEastAsia" w:hAnsiTheme="minorHAnsi" w:cstheme="minorBidi"/>
            <w:noProof/>
            <w:color w:val="auto"/>
            <w:sz w:val="22"/>
            <w:lang w:val="en-US"/>
          </w:rPr>
          <w:tab/>
        </w:r>
        <w:r w:rsidR="008559F5" w:rsidRPr="00D12927">
          <w:rPr>
            <w:rStyle w:val="Hyperlink"/>
            <w:noProof/>
            <w:lang w:val="en-US"/>
          </w:rPr>
          <w:t>Regional growth opportunity</w:t>
        </w:r>
        <w:r w:rsidR="008559F5">
          <w:rPr>
            <w:noProof/>
            <w:webHidden/>
          </w:rPr>
          <w:tab/>
        </w:r>
        <w:r w:rsidR="008559F5">
          <w:rPr>
            <w:noProof/>
            <w:webHidden/>
          </w:rPr>
          <w:fldChar w:fldCharType="begin"/>
        </w:r>
        <w:r w:rsidR="008559F5">
          <w:rPr>
            <w:noProof/>
            <w:webHidden/>
          </w:rPr>
          <w:instrText xml:space="preserve"> PAGEREF _Toc532983534 \h </w:instrText>
        </w:r>
        <w:r w:rsidR="008559F5">
          <w:rPr>
            <w:noProof/>
            <w:webHidden/>
          </w:rPr>
        </w:r>
        <w:r w:rsidR="008559F5">
          <w:rPr>
            <w:noProof/>
            <w:webHidden/>
          </w:rPr>
          <w:fldChar w:fldCharType="separate"/>
        </w:r>
        <w:r w:rsidR="008559F5">
          <w:rPr>
            <w:noProof/>
            <w:webHidden/>
          </w:rPr>
          <w:t>15</w:t>
        </w:r>
        <w:r w:rsidR="008559F5">
          <w:rPr>
            <w:noProof/>
            <w:webHidden/>
          </w:rPr>
          <w:fldChar w:fldCharType="end"/>
        </w:r>
      </w:hyperlink>
    </w:p>
    <w:p w:rsidR="008559F5" w:rsidRDefault="00CD241E">
      <w:pPr>
        <w:pStyle w:val="TOC1"/>
        <w:tabs>
          <w:tab w:val="left" w:pos="440"/>
          <w:tab w:val="right" w:leader="dot" w:pos="9350"/>
        </w:tabs>
        <w:rPr>
          <w:rFonts w:asciiTheme="minorHAnsi" w:eastAsiaTheme="minorEastAsia" w:hAnsiTheme="minorHAnsi" w:cstheme="minorBidi"/>
          <w:noProof/>
          <w:color w:val="auto"/>
          <w:sz w:val="22"/>
          <w:lang w:val="en-US"/>
        </w:rPr>
      </w:pPr>
      <w:hyperlink w:anchor="_Toc532983535" w:history="1">
        <w:r w:rsidR="008559F5" w:rsidRPr="00D12927">
          <w:rPr>
            <w:rStyle w:val="Hyperlink"/>
            <w:noProof/>
            <w:lang w:val="en-US"/>
          </w:rPr>
          <w:t>7.</w:t>
        </w:r>
        <w:r w:rsidR="008559F5">
          <w:rPr>
            <w:rFonts w:asciiTheme="minorHAnsi" w:eastAsiaTheme="minorEastAsia" w:hAnsiTheme="minorHAnsi" w:cstheme="minorBidi"/>
            <w:noProof/>
            <w:color w:val="auto"/>
            <w:sz w:val="22"/>
            <w:lang w:val="en-US"/>
          </w:rPr>
          <w:tab/>
        </w:r>
        <w:r w:rsidR="008559F5" w:rsidRPr="00D12927">
          <w:rPr>
            <w:rStyle w:val="Hyperlink"/>
            <w:noProof/>
            <w:lang w:val="en-US"/>
          </w:rPr>
          <w:t>Choices</w:t>
        </w:r>
        <w:r w:rsidR="008559F5">
          <w:rPr>
            <w:noProof/>
            <w:webHidden/>
          </w:rPr>
          <w:tab/>
        </w:r>
        <w:r w:rsidR="008559F5">
          <w:rPr>
            <w:noProof/>
            <w:webHidden/>
          </w:rPr>
          <w:fldChar w:fldCharType="begin"/>
        </w:r>
        <w:r w:rsidR="008559F5">
          <w:rPr>
            <w:noProof/>
            <w:webHidden/>
          </w:rPr>
          <w:instrText xml:space="preserve"> PAGEREF _Toc532983535 \h </w:instrText>
        </w:r>
        <w:r w:rsidR="008559F5">
          <w:rPr>
            <w:noProof/>
            <w:webHidden/>
          </w:rPr>
        </w:r>
        <w:r w:rsidR="008559F5">
          <w:rPr>
            <w:noProof/>
            <w:webHidden/>
          </w:rPr>
          <w:fldChar w:fldCharType="separate"/>
        </w:r>
        <w:r w:rsidR="008559F5">
          <w:rPr>
            <w:noProof/>
            <w:webHidden/>
          </w:rPr>
          <w:t>16</w:t>
        </w:r>
        <w:r w:rsidR="008559F5">
          <w:rPr>
            <w:noProof/>
            <w:webHidden/>
          </w:rPr>
          <w:fldChar w:fldCharType="end"/>
        </w:r>
      </w:hyperlink>
    </w:p>
    <w:p w:rsidR="008559F5" w:rsidRDefault="00CD241E">
      <w:pPr>
        <w:pStyle w:val="TOC1"/>
        <w:tabs>
          <w:tab w:val="right" w:leader="dot" w:pos="9350"/>
        </w:tabs>
        <w:rPr>
          <w:rFonts w:asciiTheme="minorHAnsi" w:eastAsiaTheme="minorEastAsia" w:hAnsiTheme="minorHAnsi" w:cstheme="minorBidi"/>
          <w:noProof/>
          <w:color w:val="auto"/>
          <w:sz w:val="22"/>
          <w:lang w:val="en-US"/>
        </w:rPr>
      </w:pPr>
      <w:hyperlink w:anchor="_Toc532983536" w:history="1">
        <w:r w:rsidR="008559F5" w:rsidRPr="00D12927">
          <w:rPr>
            <w:rStyle w:val="Hyperlink"/>
            <w:noProof/>
          </w:rPr>
          <w:t>References</w:t>
        </w:r>
        <w:r w:rsidR="008559F5">
          <w:rPr>
            <w:noProof/>
            <w:webHidden/>
          </w:rPr>
          <w:tab/>
        </w:r>
        <w:r w:rsidR="008559F5">
          <w:rPr>
            <w:noProof/>
            <w:webHidden/>
          </w:rPr>
          <w:fldChar w:fldCharType="begin"/>
        </w:r>
        <w:r w:rsidR="008559F5">
          <w:rPr>
            <w:noProof/>
            <w:webHidden/>
          </w:rPr>
          <w:instrText xml:space="preserve"> PAGEREF _Toc532983536 \h </w:instrText>
        </w:r>
        <w:r w:rsidR="008559F5">
          <w:rPr>
            <w:noProof/>
            <w:webHidden/>
          </w:rPr>
        </w:r>
        <w:r w:rsidR="008559F5">
          <w:rPr>
            <w:noProof/>
            <w:webHidden/>
          </w:rPr>
          <w:fldChar w:fldCharType="separate"/>
        </w:r>
        <w:r w:rsidR="008559F5">
          <w:rPr>
            <w:noProof/>
            <w:webHidden/>
          </w:rPr>
          <w:t>17</w:t>
        </w:r>
        <w:r w:rsidR="008559F5">
          <w:rPr>
            <w:noProof/>
            <w:webHidden/>
          </w:rPr>
          <w:fldChar w:fldCharType="end"/>
        </w:r>
      </w:hyperlink>
    </w:p>
    <w:p w:rsidR="00D045A5" w:rsidRPr="00D045A5" w:rsidRDefault="008559F5">
      <w:pPr>
        <w:spacing w:before="240" w:after="240"/>
        <w:jc w:val="left"/>
        <w:rPr>
          <w:b/>
        </w:rPr>
      </w:pPr>
      <w:r>
        <w:rPr>
          <w:b/>
        </w:rPr>
        <w:fldChar w:fldCharType="end"/>
      </w:r>
    </w:p>
    <w:p w:rsidR="00D045A5" w:rsidRDefault="00D045A5">
      <w:pPr>
        <w:spacing w:before="240" w:after="240"/>
        <w:jc w:val="left"/>
        <w:rPr>
          <w:rFonts w:asciiTheme="majorHAnsi" w:eastAsiaTheme="majorEastAsia" w:hAnsiTheme="majorHAnsi" w:cstheme="majorBidi"/>
          <w:b/>
          <w:bCs/>
          <w:color w:val="365F91" w:themeColor="accent1" w:themeShade="BF"/>
          <w:sz w:val="28"/>
          <w:szCs w:val="28"/>
        </w:rPr>
      </w:pPr>
      <w:r>
        <w:br w:type="page"/>
      </w:r>
    </w:p>
    <w:p w:rsidR="00CF7C9A" w:rsidRDefault="006A05F4" w:rsidP="00C54F1F">
      <w:pPr>
        <w:pStyle w:val="Heading1"/>
      </w:pPr>
      <w:bookmarkStart w:id="1" w:name="_Toc532983529"/>
      <w:r>
        <w:lastRenderedPageBreak/>
        <w:t>1.</w:t>
      </w:r>
      <w:r>
        <w:tab/>
      </w:r>
      <w:r w:rsidR="00CF7C9A">
        <w:t>Melbourne’s rapid population growth</w:t>
      </w:r>
      <w:bookmarkEnd w:id="1"/>
    </w:p>
    <w:p w:rsidR="00C16BF4" w:rsidRDefault="00C16BF4" w:rsidP="00C16BF4">
      <w:pPr>
        <w:jc w:val="left"/>
      </w:pPr>
      <w:r w:rsidRPr="00475CD0">
        <w:t>Melbourne is widely acknowledged as one of th</w:t>
      </w:r>
      <w:r>
        <w:t xml:space="preserve">e worlds’ most liveable cities, with (for example) its iconic laneways and parks, wide ranging cultural and sporting offerings and vibrant knowledge economy. </w:t>
      </w:r>
      <w:r w:rsidRPr="00475CD0">
        <w:t xml:space="preserve">Partly </w:t>
      </w:r>
      <w:r>
        <w:t>as a reflection of</w:t>
      </w:r>
      <w:r w:rsidRPr="00475CD0">
        <w:t xml:space="preserve"> this liveability, </w:t>
      </w:r>
      <w:r>
        <w:t>Greater Melbourne’s population is currently growing at around 2.7% p.a.</w:t>
      </w:r>
      <w:r w:rsidR="00F37746">
        <w:t xml:space="preserve"> T</w:t>
      </w:r>
      <w:r w:rsidR="009A4658">
        <w:t>he t</w:t>
      </w:r>
      <w:r>
        <w:t xml:space="preserve">otal population </w:t>
      </w:r>
      <w:r w:rsidR="009A4658">
        <w:t xml:space="preserve">of Greater Melbourne </w:t>
      </w:r>
      <w:r>
        <w:t>increas</w:t>
      </w:r>
      <w:r w:rsidR="00F37746">
        <w:t>ed</w:t>
      </w:r>
      <w:r w:rsidR="00CF7C9A">
        <w:t xml:space="preserve"> </w:t>
      </w:r>
      <w:r>
        <w:t xml:space="preserve">by a </w:t>
      </w:r>
      <w:r w:rsidR="00056520">
        <w:t>24.8% ove</w:t>
      </w:r>
      <w:r w:rsidRPr="00475CD0">
        <w:t>r the 2006-16 decade</w:t>
      </w:r>
      <w:r w:rsidR="00F37746">
        <w:t xml:space="preserve">, </w:t>
      </w:r>
      <w:r>
        <w:t>averag</w:t>
      </w:r>
      <w:r w:rsidR="009A4658">
        <w:t>ing</w:t>
      </w:r>
      <w:r>
        <w:t xml:space="preserve"> 2.3% annually</w:t>
      </w:r>
      <w:r w:rsidR="00F37746">
        <w:t xml:space="preserve"> between 2011 and 2016</w:t>
      </w:r>
      <w:r>
        <w:t xml:space="preserve">, but inner and outer Melbourne </w:t>
      </w:r>
      <w:r w:rsidR="00CF7C9A">
        <w:t xml:space="preserve">(as defined in section 2 below) </w:t>
      </w:r>
      <w:r>
        <w:t xml:space="preserve">were </w:t>
      </w:r>
      <w:r w:rsidR="00CF7C9A">
        <w:t xml:space="preserve">growing at </w:t>
      </w:r>
      <w:r>
        <w:t>around 3%</w:t>
      </w:r>
      <w:r w:rsidR="00CF7C9A">
        <w:t xml:space="preserve"> annually</w:t>
      </w:r>
      <w:r>
        <w:t>. Overseas migration is by far the largest contributor to this growth, greater than the sum of natural increase and interstate migration over the decade. Population g</w:t>
      </w:r>
      <w:r w:rsidRPr="00475CD0">
        <w:t>rowth rates of some individual municipalities in Melbourne are well a</w:t>
      </w:r>
      <w:r w:rsidR="00CF7C9A">
        <w:t>bove these rates, particularly o</w:t>
      </w:r>
      <w:r w:rsidRPr="00475CD0">
        <w:t>n the outer urban growth fringe (</w:t>
      </w:r>
      <w:r w:rsidR="005F26D5">
        <w:t>for example</w:t>
      </w:r>
      <w:r>
        <w:t>,</w:t>
      </w:r>
      <w:r w:rsidRPr="00475CD0">
        <w:t xml:space="preserve"> </w:t>
      </w:r>
      <w:r w:rsidR="00F37746">
        <w:t xml:space="preserve">Melton, </w:t>
      </w:r>
      <w:r w:rsidRPr="00475CD0">
        <w:t>Wyndham</w:t>
      </w:r>
      <w:r>
        <w:t>, Whittlesea</w:t>
      </w:r>
      <w:r w:rsidRPr="00475CD0">
        <w:t xml:space="preserve"> and Casey). </w:t>
      </w:r>
    </w:p>
    <w:p w:rsidR="00C16BF4" w:rsidRDefault="00C16BF4" w:rsidP="008000EC">
      <w:pPr>
        <w:jc w:val="left"/>
        <w:rPr>
          <w:rFonts w:eastAsia="Times New Roman" w:cs="Times New Roman"/>
          <w:color w:val="222222"/>
          <w:shd w:val="clear" w:color="auto" w:fill="FFFFFF"/>
        </w:rPr>
      </w:pPr>
      <w:r w:rsidRPr="000339A7">
        <w:lastRenderedPageBreak/>
        <w:t xml:space="preserve">Other international cities that are </w:t>
      </w:r>
      <w:r>
        <w:t xml:space="preserve">also </w:t>
      </w:r>
      <w:r w:rsidRPr="000339A7">
        <w:t>famed for their liveability are typically showing</w:t>
      </w:r>
      <w:r>
        <w:t xml:space="preserve"> lower</w:t>
      </w:r>
      <w:r w:rsidRPr="000339A7">
        <w:t xml:space="preserve"> </w:t>
      </w:r>
      <w:r>
        <w:t xml:space="preserve">population </w:t>
      </w:r>
      <w:r w:rsidRPr="000339A7">
        <w:t>grow</w:t>
      </w:r>
      <w:r>
        <w:t>th rates</w:t>
      </w:r>
      <w:r w:rsidR="00CF7C9A">
        <w:t xml:space="preserve"> than Melbourne</w:t>
      </w:r>
      <w:r w:rsidRPr="000339A7">
        <w:t xml:space="preserve">. For example, </w:t>
      </w:r>
      <w:r w:rsidRPr="000339A7">
        <w:rPr>
          <w:rFonts w:eastAsia="Times New Roman" w:cs="Times New Roman"/>
          <w:color w:val="222222"/>
          <w:shd w:val="clear" w:color="auto" w:fill="FFFFFF"/>
        </w:rPr>
        <w:t>Vienna</w:t>
      </w:r>
      <w:r>
        <w:rPr>
          <w:rFonts w:eastAsia="Times New Roman" w:cs="Times New Roman"/>
          <w:color w:val="222222"/>
          <w:shd w:val="clear" w:color="auto" w:fill="FFFFFF"/>
        </w:rPr>
        <w:t>,</w:t>
      </w:r>
      <w:r w:rsidRPr="000339A7">
        <w:rPr>
          <w:rFonts w:eastAsia="Times New Roman" w:cs="Times New Roman"/>
          <w:color w:val="222222"/>
          <w:shd w:val="clear" w:color="auto" w:fill="FFFFFF"/>
        </w:rPr>
        <w:t xml:space="preserve"> which beat Melbourne for The Economist Intelligence Unit’s </w:t>
      </w:r>
      <w:r>
        <w:rPr>
          <w:rFonts w:eastAsia="Times New Roman" w:cs="Times New Roman"/>
          <w:color w:val="222222"/>
          <w:shd w:val="clear" w:color="auto" w:fill="FFFFFF"/>
        </w:rPr>
        <w:t xml:space="preserve">2018 </w:t>
      </w:r>
      <w:r w:rsidRPr="000339A7">
        <w:rPr>
          <w:rFonts w:eastAsia="Times New Roman" w:cs="Times New Roman"/>
          <w:color w:val="222222"/>
          <w:shd w:val="clear" w:color="auto" w:fill="FFFFFF"/>
        </w:rPr>
        <w:t xml:space="preserve">title of most liveable city </w:t>
      </w:r>
      <w:r>
        <w:rPr>
          <w:rFonts w:eastAsia="Times New Roman" w:cs="Times New Roman"/>
          <w:color w:val="222222"/>
          <w:shd w:val="clear" w:color="auto" w:fill="FFFFFF"/>
        </w:rPr>
        <w:t>(on the EIU Global Liveability Ranking)</w:t>
      </w:r>
      <w:r w:rsidRPr="000339A7">
        <w:rPr>
          <w:rFonts w:eastAsia="Times New Roman" w:cs="Times New Roman"/>
          <w:color w:val="222222"/>
          <w:shd w:val="clear" w:color="auto" w:fill="FFFFFF"/>
        </w:rPr>
        <w:t xml:space="preserve">, </w:t>
      </w:r>
      <w:r>
        <w:rPr>
          <w:rFonts w:eastAsia="Times New Roman" w:cs="Times New Roman"/>
          <w:color w:val="222222"/>
          <w:shd w:val="clear" w:color="auto" w:fill="FFFFFF"/>
        </w:rPr>
        <w:t>had population growth of</w:t>
      </w:r>
      <w:r w:rsidRPr="000339A7">
        <w:rPr>
          <w:rFonts w:eastAsia="Times New Roman" w:cs="Times New Roman"/>
          <w:color w:val="222222"/>
          <w:shd w:val="clear" w:color="auto" w:fill="FFFFFF"/>
        </w:rPr>
        <w:t xml:space="preserve"> 12.4% over the decade to end-2016, about half as fast as Melbourne over that period</w:t>
      </w:r>
      <w:r>
        <w:rPr>
          <w:rFonts w:eastAsia="Times New Roman" w:cs="Times New Roman"/>
          <w:color w:val="222222"/>
          <w:shd w:val="clear" w:color="auto" w:fill="FFFFFF"/>
        </w:rPr>
        <w:t xml:space="preserve">. Melbourne’s other perennial competitor for this title, Greater Vancouver, grew by 16.4% from 2006-16, about one-third slower than Melbourne. Between 2011 and 2016, Greater Vancouver’s population growth rate was 1.3% p.a., one percentage point below Melbourne’s growth rate over the same period. Both Vienna and Vancouver are also much smaller cities than Melbourne in terms of population size, Vancouver having a little over half Melbourne’s </w:t>
      </w:r>
      <w:r w:rsidR="00CF7C9A">
        <w:rPr>
          <w:rFonts w:eastAsia="Times New Roman" w:cs="Times New Roman"/>
          <w:color w:val="222222"/>
          <w:shd w:val="clear" w:color="auto" w:fill="FFFFFF"/>
        </w:rPr>
        <w:t xml:space="preserve">population </w:t>
      </w:r>
      <w:r>
        <w:rPr>
          <w:rFonts w:eastAsia="Times New Roman" w:cs="Times New Roman"/>
          <w:color w:val="222222"/>
          <w:shd w:val="clear" w:color="auto" w:fill="FFFFFF"/>
        </w:rPr>
        <w:t>number and Vienna less than half.</w:t>
      </w:r>
      <w:r w:rsidRPr="000339A7">
        <w:rPr>
          <w:rFonts w:eastAsia="Times New Roman" w:cs="Times New Roman"/>
          <w:color w:val="222222"/>
          <w:shd w:val="clear" w:color="auto" w:fill="FFFFFF"/>
        </w:rPr>
        <w:t xml:space="preserve"> </w:t>
      </w:r>
    </w:p>
    <w:p w:rsidR="00C16BF4" w:rsidRDefault="00C16BF4" w:rsidP="008000EC">
      <w:pPr>
        <w:jc w:val="left"/>
        <w:rPr>
          <w:rFonts w:eastAsia="Times New Roman" w:cs="Times New Roman"/>
          <w:color w:val="222222"/>
          <w:shd w:val="clear" w:color="auto" w:fill="FFFFFF"/>
        </w:rPr>
      </w:pPr>
      <w:r>
        <w:rPr>
          <w:rFonts w:eastAsia="Times New Roman" w:cs="Times New Roman"/>
          <w:color w:val="222222"/>
          <w:shd w:val="clear" w:color="auto" w:fill="FFFFFF"/>
        </w:rPr>
        <w:t xml:space="preserve">Melbourne’s growth rate is also </w:t>
      </w:r>
      <w:r w:rsidR="00CF7C9A">
        <w:rPr>
          <w:rFonts w:eastAsia="Times New Roman" w:cs="Times New Roman"/>
          <w:color w:val="222222"/>
          <w:shd w:val="clear" w:color="auto" w:fill="FFFFFF"/>
        </w:rPr>
        <w:t xml:space="preserve">high by </w:t>
      </w:r>
      <w:r>
        <w:rPr>
          <w:rFonts w:eastAsia="Times New Roman" w:cs="Times New Roman"/>
          <w:color w:val="222222"/>
          <w:shd w:val="clear" w:color="auto" w:fill="FFFFFF"/>
        </w:rPr>
        <w:t>comparison with US cities of similar size.</w:t>
      </w:r>
      <w:r w:rsidR="00FC2C37">
        <w:rPr>
          <w:rFonts w:eastAsia="Times New Roman" w:cs="Times New Roman"/>
          <w:color w:val="222222"/>
          <w:shd w:val="clear" w:color="auto" w:fill="FFFFFF"/>
        </w:rPr>
        <w:t xml:space="preserve"> For example, w</w:t>
      </w:r>
      <w:r w:rsidR="00CF7C9A">
        <w:rPr>
          <w:rFonts w:eastAsia="Times New Roman" w:cs="Times New Roman"/>
          <w:color w:val="222222"/>
          <w:shd w:val="clear" w:color="auto" w:fill="FFFFFF"/>
        </w:rPr>
        <w:t>hile t</w:t>
      </w:r>
      <w:r>
        <w:rPr>
          <w:rFonts w:eastAsia="Times New Roman" w:cs="Times New Roman"/>
          <w:color w:val="222222"/>
          <w:shd w:val="clear" w:color="auto" w:fill="FFFFFF"/>
        </w:rPr>
        <w:t>he City of Seattle’s population grew at a high 2.4% p.a., on average, between April 2010 and July 2017</w:t>
      </w:r>
      <w:r w:rsidR="00E43D6A">
        <w:rPr>
          <w:rFonts w:eastAsia="Times New Roman" w:cs="Times New Roman"/>
          <w:color w:val="222222"/>
          <w:shd w:val="clear" w:color="auto" w:fill="FFFFFF"/>
        </w:rPr>
        <w:t xml:space="preserve">, reaching 725 </w:t>
      </w:r>
      <w:r w:rsidR="00CF7C9A">
        <w:rPr>
          <w:rFonts w:eastAsia="Times New Roman" w:cs="Times New Roman"/>
          <w:color w:val="222222"/>
          <w:shd w:val="clear" w:color="auto" w:fill="FFFFFF"/>
        </w:rPr>
        <w:t>000 in July 2017</w:t>
      </w:r>
      <w:r w:rsidR="00FC2C37">
        <w:rPr>
          <w:rFonts w:eastAsia="Times New Roman" w:cs="Times New Roman"/>
          <w:color w:val="222222"/>
          <w:shd w:val="clear" w:color="auto" w:fill="FFFFFF"/>
        </w:rPr>
        <w:t>,</w:t>
      </w:r>
      <w:r>
        <w:rPr>
          <w:rFonts w:eastAsia="Times New Roman" w:cs="Times New Roman"/>
          <w:color w:val="222222"/>
          <w:shd w:val="clear" w:color="auto" w:fill="FFFFFF"/>
        </w:rPr>
        <w:t xml:space="preserve"> the wider Three Coun</w:t>
      </w:r>
      <w:r>
        <w:rPr>
          <w:rFonts w:eastAsia="Times New Roman" w:cs="Times New Roman"/>
          <w:color w:val="222222"/>
          <w:shd w:val="clear" w:color="auto" w:fill="FFFFFF"/>
        </w:rPr>
        <w:lastRenderedPageBreak/>
        <w:t>ties (King, Snohomish and Pierce</w:t>
      </w:r>
      <w:r w:rsidR="00F37746">
        <w:rPr>
          <w:rFonts w:eastAsia="Times New Roman" w:cs="Times New Roman"/>
          <w:color w:val="222222"/>
          <w:shd w:val="clear" w:color="auto" w:fill="FFFFFF"/>
        </w:rPr>
        <w:t>)</w:t>
      </w:r>
      <w:r>
        <w:rPr>
          <w:rFonts w:eastAsia="Times New Roman" w:cs="Times New Roman"/>
          <w:color w:val="222222"/>
          <w:shd w:val="clear" w:color="auto" w:fill="FFFFFF"/>
        </w:rPr>
        <w:t xml:space="preserve">, </w:t>
      </w:r>
      <w:r w:rsidR="00FC2C37">
        <w:rPr>
          <w:rFonts w:eastAsia="Times New Roman" w:cs="Times New Roman"/>
          <w:color w:val="222222"/>
          <w:shd w:val="clear" w:color="auto" w:fill="FFFFFF"/>
        </w:rPr>
        <w:t xml:space="preserve">of which the City is a part, with a </w:t>
      </w:r>
      <w:r>
        <w:rPr>
          <w:rFonts w:eastAsia="Times New Roman" w:cs="Times New Roman"/>
          <w:color w:val="222222"/>
          <w:shd w:val="clear" w:color="auto" w:fill="FFFFFF"/>
        </w:rPr>
        <w:t xml:space="preserve">population </w:t>
      </w:r>
      <w:r w:rsidR="00FC2C37">
        <w:rPr>
          <w:rFonts w:eastAsia="Times New Roman" w:cs="Times New Roman"/>
          <w:color w:val="222222"/>
          <w:shd w:val="clear" w:color="auto" w:fill="FFFFFF"/>
        </w:rPr>
        <w:t>of almost 4 million</w:t>
      </w:r>
      <w:r>
        <w:rPr>
          <w:rFonts w:eastAsia="Times New Roman" w:cs="Times New Roman"/>
          <w:color w:val="222222"/>
          <w:shd w:val="clear" w:color="auto" w:fill="FFFFFF"/>
        </w:rPr>
        <w:t>, grew at only 1.6% p.a. over this period</w:t>
      </w:r>
      <w:r w:rsidR="00FC2C37">
        <w:rPr>
          <w:rFonts w:eastAsia="Times New Roman" w:cs="Times New Roman"/>
          <w:color w:val="222222"/>
          <w:shd w:val="clear" w:color="auto" w:fill="FFFFFF"/>
        </w:rPr>
        <w:t>. This is</w:t>
      </w:r>
      <w:r>
        <w:rPr>
          <w:rFonts w:eastAsia="Times New Roman" w:cs="Times New Roman"/>
          <w:color w:val="222222"/>
          <w:shd w:val="clear" w:color="auto" w:fill="FFFFFF"/>
        </w:rPr>
        <w:t xml:space="preserve"> high but still well below Melbourne’s growth rate. Metro Atlanta’s </w:t>
      </w:r>
      <w:r w:rsidR="00FC2C37">
        <w:rPr>
          <w:rFonts w:eastAsia="Times New Roman" w:cs="Times New Roman"/>
          <w:color w:val="222222"/>
          <w:shd w:val="clear" w:color="auto" w:fill="FFFFFF"/>
        </w:rPr>
        <w:t>p</w:t>
      </w:r>
      <w:r>
        <w:rPr>
          <w:rFonts w:eastAsia="Times New Roman" w:cs="Times New Roman"/>
          <w:color w:val="222222"/>
          <w:shd w:val="clear" w:color="auto" w:fill="FFFFFF"/>
        </w:rPr>
        <w:t xml:space="preserve">opulation growth </w:t>
      </w:r>
      <w:r w:rsidR="00FC2C37">
        <w:rPr>
          <w:rFonts w:eastAsia="Times New Roman" w:cs="Times New Roman"/>
          <w:color w:val="222222"/>
          <w:shd w:val="clear" w:color="auto" w:fill="FFFFFF"/>
        </w:rPr>
        <w:t xml:space="preserve">rate </w:t>
      </w:r>
      <w:r>
        <w:rPr>
          <w:rFonts w:eastAsia="Times New Roman" w:cs="Times New Roman"/>
          <w:color w:val="222222"/>
          <w:shd w:val="clear" w:color="auto" w:fill="FFFFFF"/>
        </w:rPr>
        <w:t xml:space="preserve">over this period was 2.2% p.a., </w:t>
      </w:r>
      <w:r w:rsidR="00FC2C37">
        <w:rPr>
          <w:rFonts w:eastAsia="Times New Roman" w:cs="Times New Roman"/>
          <w:color w:val="222222"/>
          <w:shd w:val="clear" w:color="auto" w:fill="FFFFFF"/>
        </w:rPr>
        <w:t>broadly similar to</w:t>
      </w:r>
      <w:r>
        <w:rPr>
          <w:rFonts w:eastAsia="Times New Roman" w:cs="Times New Roman"/>
          <w:color w:val="222222"/>
          <w:shd w:val="clear" w:color="auto" w:fill="FFFFFF"/>
        </w:rPr>
        <w:t xml:space="preserve"> Melbourne’s</w:t>
      </w:r>
      <w:r w:rsidR="00FC2C37">
        <w:rPr>
          <w:rFonts w:eastAsia="Times New Roman" w:cs="Times New Roman"/>
          <w:color w:val="222222"/>
          <w:shd w:val="clear" w:color="auto" w:fill="FFFFFF"/>
        </w:rPr>
        <w:t>, reaching almost 6 million total population in July 2017</w:t>
      </w:r>
      <w:r>
        <w:rPr>
          <w:rFonts w:eastAsia="Times New Roman" w:cs="Times New Roman"/>
          <w:color w:val="222222"/>
          <w:shd w:val="clear" w:color="auto" w:fill="FFFFFF"/>
        </w:rPr>
        <w:t xml:space="preserve">. Austin-Round Rock, with just over 2 million people, grew at almost 3% p.a. over the April 2010-July 17 period, one (the only?) major US city that seems to have grown faster than Greater Melbourne over multiple years. In short, Melbourne’s population growth is at the top end of the range in terms of large, low density cities in highly developed countries. </w:t>
      </w:r>
    </w:p>
    <w:p w:rsidR="00CF7C9A" w:rsidRDefault="00CF7C9A" w:rsidP="008000EC">
      <w:pPr>
        <w:jc w:val="left"/>
        <w:rPr>
          <w:rFonts w:eastAsia="Times New Roman" w:cs="Times New Roman"/>
          <w:color w:val="222222"/>
          <w:shd w:val="clear" w:color="auto" w:fill="FFFFFF"/>
        </w:rPr>
      </w:pPr>
      <w:r>
        <w:rPr>
          <w:rFonts w:eastAsia="Times New Roman" w:cs="Times New Roman"/>
          <w:color w:val="222222"/>
          <w:shd w:val="clear" w:color="auto" w:fill="FFFFFF"/>
        </w:rPr>
        <w:t xml:space="preserve">This paper examines some of the implications of Melbourne’s current high population growth rate, to help inform policy consideration of population and settlement futures. Section 2 </w:t>
      </w:r>
      <w:r w:rsidR="00FC2C37">
        <w:rPr>
          <w:rFonts w:eastAsia="Times New Roman" w:cs="Times New Roman"/>
          <w:color w:val="222222"/>
          <w:shd w:val="clear" w:color="auto" w:fill="FFFFFF"/>
        </w:rPr>
        <w:t xml:space="preserve">looks at the broad distribution of population growth, noting how it could be better aligned with the distribution of employment opportunities. Section 3 shows how the fastest growing Local Government Areas </w:t>
      </w:r>
      <w:r w:rsidR="009A4658">
        <w:rPr>
          <w:rFonts w:eastAsia="Times New Roman" w:cs="Times New Roman"/>
          <w:color w:val="222222"/>
          <w:shd w:val="clear" w:color="auto" w:fill="FFFFFF"/>
        </w:rPr>
        <w:t xml:space="preserve">(LGA) </w:t>
      </w:r>
      <w:r w:rsidR="00F37746">
        <w:rPr>
          <w:rFonts w:eastAsia="Times New Roman" w:cs="Times New Roman"/>
          <w:color w:val="222222"/>
          <w:shd w:val="clear" w:color="auto" w:fill="FFFFFF"/>
        </w:rPr>
        <w:t>have all gone</w:t>
      </w:r>
      <w:r w:rsidR="00FC2C37">
        <w:rPr>
          <w:rFonts w:eastAsia="Times New Roman" w:cs="Times New Roman"/>
          <w:color w:val="222222"/>
          <w:shd w:val="clear" w:color="auto" w:fill="FFFFFF"/>
        </w:rPr>
        <w:t xml:space="preserve"> backwards, relative to the state as a whole, in their capacity to capture income per working age adult. Section 4 </w:t>
      </w:r>
      <w:r w:rsidR="00FC2C37">
        <w:rPr>
          <w:rFonts w:eastAsia="Times New Roman" w:cs="Times New Roman"/>
          <w:color w:val="222222"/>
          <w:shd w:val="clear" w:color="auto" w:fill="FFFFFF"/>
        </w:rPr>
        <w:lastRenderedPageBreak/>
        <w:t xml:space="preserve">examines how population growth impacts a number of social outcomes. Section 5 sets out a broad estimate of the infrastructure backlog that has accumulated during the period of high population growth in Melbourne and how it might grow in coming years under a business-as-usual set of assumptions. The current infrastructure boom suggests that the future will not be business-as-usual but is this infrastructure boom sufficient to tackle accumulating challenges?  Section </w:t>
      </w:r>
      <w:r w:rsidR="001F10F2">
        <w:rPr>
          <w:rFonts w:eastAsia="Times New Roman" w:cs="Times New Roman"/>
          <w:color w:val="222222"/>
          <w:shd w:val="clear" w:color="auto" w:fill="FFFFFF"/>
        </w:rPr>
        <w:t>6</w:t>
      </w:r>
      <w:r w:rsidR="00FC2C37">
        <w:rPr>
          <w:rFonts w:eastAsia="Times New Roman" w:cs="Times New Roman"/>
          <w:color w:val="222222"/>
          <w:shd w:val="clear" w:color="auto" w:fill="FFFFFF"/>
        </w:rPr>
        <w:t xml:space="preserve"> looks at the constraint which poor non-farm productivity levels pose for regional Victoria playing a bigger role in easing Melbourne’s growth pressures. Section </w:t>
      </w:r>
      <w:r w:rsidR="001F10F2">
        <w:rPr>
          <w:rFonts w:eastAsia="Times New Roman" w:cs="Times New Roman"/>
          <w:color w:val="222222"/>
          <w:shd w:val="clear" w:color="auto" w:fill="FFFFFF"/>
        </w:rPr>
        <w:t>7</w:t>
      </w:r>
      <w:r w:rsidR="00FC2C37">
        <w:rPr>
          <w:rFonts w:eastAsia="Times New Roman" w:cs="Times New Roman"/>
          <w:color w:val="222222"/>
          <w:shd w:val="clear" w:color="auto" w:fill="FFFFFF"/>
        </w:rPr>
        <w:t xml:space="preserve"> presents the paper’s conclusions.  </w:t>
      </w:r>
    </w:p>
    <w:p w:rsidR="00FC2C37" w:rsidRPr="000339A7" w:rsidRDefault="00FC2C37" w:rsidP="008000EC">
      <w:pPr>
        <w:jc w:val="left"/>
        <w:rPr>
          <w:rFonts w:eastAsia="Times New Roman" w:cs="Times New Roman"/>
          <w:color w:val="222222"/>
          <w:shd w:val="clear" w:color="auto" w:fill="FFFFFF"/>
        </w:rPr>
      </w:pPr>
      <w:r>
        <w:rPr>
          <w:rFonts w:eastAsia="Times New Roman" w:cs="Times New Roman"/>
          <w:color w:val="222222"/>
          <w:shd w:val="clear" w:color="auto" w:fill="FFFFFF"/>
        </w:rPr>
        <w:t xml:space="preserve">This work has been undertaken as </w:t>
      </w:r>
      <w:r w:rsidR="001F4FCD">
        <w:rPr>
          <w:rFonts w:eastAsia="Times New Roman" w:cs="Times New Roman"/>
          <w:color w:val="222222"/>
          <w:shd w:val="clear" w:color="auto" w:fill="FFFFFF"/>
        </w:rPr>
        <w:t xml:space="preserve">part of </w:t>
      </w:r>
      <w:r>
        <w:rPr>
          <w:rFonts w:eastAsia="Times New Roman" w:cs="Times New Roman"/>
          <w:color w:val="222222"/>
          <w:shd w:val="clear" w:color="auto" w:fill="FFFFFF"/>
        </w:rPr>
        <w:t xml:space="preserve">a research project </w:t>
      </w:r>
      <w:r w:rsidR="001F4FCD">
        <w:rPr>
          <w:rFonts w:eastAsia="Times New Roman" w:cs="Times New Roman"/>
          <w:color w:val="222222"/>
          <w:shd w:val="clear" w:color="auto" w:fill="FFFFFF"/>
        </w:rPr>
        <w:t xml:space="preserve">by the authors </w:t>
      </w:r>
      <w:r>
        <w:rPr>
          <w:rFonts w:eastAsia="Times New Roman" w:cs="Times New Roman"/>
          <w:color w:val="222222"/>
          <w:shd w:val="clear" w:color="auto" w:fill="FFFFFF"/>
        </w:rPr>
        <w:t>for the Municipal Association of Victoria. The analysis and conclusions are entirely those of the authors and are not necessarily endorsed by the MAV.</w:t>
      </w:r>
    </w:p>
    <w:p w:rsidR="00CF7C9A" w:rsidRPr="00CF7C9A" w:rsidRDefault="00CF7C9A" w:rsidP="00D045A5">
      <w:pPr>
        <w:pStyle w:val="Heading1"/>
      </w:pPr>
      <w:bookmarkStart w:id="2" w:name="_Toc532983530"/>
      <w:r>
        <w:lastRenderedPageBreak/>
        <w:t>2.</w:t>
      </w:r>
      <w:r>
        <w:tab/>
        <w:t>Growth pattern</w:t>
      </w:r>
      <w:bookmarkEnd w:id="2"/>
    </w:p>
    <w:p w:rsidR="00DB3E42" w:rsidRPr="00475CD0" w:rsidRDefault="00DB3E42" w:rsidP="002E5DBA">
      <w:pPr>
        <w:jc w:val="left"/>
      </w:pPr>
      <w:r w:rsidRPr="00475CD0">
        <w:t xml:space="preserve">To gain a quick overview of </w:t>
      </w:r>
      <w:r w:rsidR="001F4FCD">
        <w:t xml:space="preserve">the pattern of </w:t>
      </w:r>
      <w:r w:rsidRPr="00475CD0">
        <w:t xml:space="preserve">Melbourne’s </w:t>
      </w:r>
      <w:r w:rsidR="007C3C65">
        <w:t xml:space="preserve">population </w:t>
      </w:r>
      <w:r w:rsidRPr="00475CD0">
        <w:t>growth, L</w:t>
      </w:r>
      <w:r w:rsidR="000B6342">
        <w:t xml:space="preserve">ocal </w:t>
      </w:r>
      <w:r w:rsidRPr="00475CD0">
        <w:t>G</w:t>
      </w:r>
      <w:r w:rsidR="000B6342">
        <w:t xml:space="preserve">overnment </w:t>
      </w:r>
      <w:r w:rsidRPr="00475CD0">
        <w:t>A</w:t>
      </w:r>
      <w:r w:rsidR="000B6342">
        <w:t>rea</w:t>
      </w:r>
      <w:r w:rsidRPr="00475CD0">
        <w:t>s</w:t>
      </w:r>
      <w:r w:rsidR="000B6342">
        <w:t xml:space="preserve"> </w:t>
      </w:r>
      <w:r w:rsidRPr="00475CD0">
        <w:t xml:space="preserve">were aggregated into inner, middle and outer groupings, </w:t>
      </w:r>
      <w:r w:rsidR="007C3C65">
        <w:t xml:space="preserve">defined </w:t>
      </w:r>
      <w:r w:rsidRPr="00475CD0">
        <w:t>as follows:</w:t>
      </w:r>
    </w:p>
    <w:p w:rsidR="00DB3E42" w:rsidRPr="00475CD0" w:rsidRDefault="00DB3E42" w:rsidP="002E5DBA">
      <w:pPr>
        <w:pStyle w:val="ListParagraph"/>
        <w:numPr>
          <w:ilvl w:val="0"/>
          <w:numId w:val="2"/>
        </w:numPr>
        <w:ind w:left="567" w:hanging="567"/>
        <w:contextualSpacing w:val="0"/>
        <w:jc w:val="left"/>
      </w:pPr>
      <w:r w:rsidRPr="00475CD0">
        <w:t>Inner = Glen Eira, Maribyrnong, Melbourne, Port Phillip, Stonnington, Yarra;</w:t>
      </w:r>
    </w:p>
    <w:p w:rsidR="00DB3E42" w:rsidRPr="00475CD0" w:rsidRDefault="00DB3E42" w:rsidP="002E5DBA">
      <w:pPr>
        <w:pStyle w:val="ListParagraph"/>
        <w:numPr>
          <w:ilvl w:val="0"/>
          <w:numId w:val="2"/>
        </w:numPr>
        <w:ind w:left="567" w:hanging="567"/>
        <w:contextualSpacing w:val="0"/>
        <w:jc w:val="left"/>
      </w:pPr>
      <w:r w:rsidRPr="00475CD0">
        <w:t>Middle = Banyule, Bayside, Boroondara, Brimbank, Darebin, Hobsons Bay, Kingston, Manningham, Monash</w:t>
      </w:r>
      <w:r w:rsidR="00B22B2D">
        <w:t>,</w:t>
      </w:r>
      <w:r w:rsidRPr="00475CD0">
        <w:t xml:space="preserve"> Moonee Valley, Moreland, Whitehorse; and</w:t>
      </w:r>
    </w:p>
    <w:p w:rsidR="00DB3E42" w:rsidRPr="00475CD0" w:rsidRDefault="00DB3E42" w:rsidP="002E5DBA">
      <w:pPr>
        <w:pStyle w:val="ListParagraph"/>
        <w:numPr>
          <w:ilvl w:val="0"/>
          <w:numId w:val="2"/>
        </w:numPr>
        <w:ind w:left="567" w:hanging="567"/>
        <w:contextualSpacing w:val="0"/>
        <w:jc w:val="left"/>
      </w:pPr>
      <w:r w:rsidRPr="00475CD0">
        <w:t>Outer = Cardinia, Casey, Frankston, Greater Dandenong, Hume, Knox, Maroondah, Melton, Mornington Peninsula, Nillumbik, Whittlesea, Wyndham, Yarra Ranges.</w:t>
      </w:r>
    </w:p>
    <w:p w:rsidR="00414D24" w:rsidRDefault="00414D24" w:rsidP="00DF3F5B">
      <w:pPr>
        <w:spacing w:after="240"/>
        <w:jc w:val="left"/>
      </w:pPr>
      <w:r>
        <w:t>These groupings are shown in the accompanying map.</w:t>
      </w:r>
    </w:p>
    <w:p w:rsidR="00414D24" w:rsidRPr="00414D24" w:rsidRDefault="00414D24" w:rsidP="00DF3F5B">
      <w:pPr>
        <w:spacing w:after="240"/>
        <w:jc w:val="left"/>
        <w:rPr>
          <w:b/>
        </w:rPr>
      </w:pPr>
      <w:r w:rsidRPr="00414D24">
        <w:rPr>
          <w:b/>
        </w:rPr>
        <w:t>Map 1: Greater Melbourne divided into inner, middle and outer urban segments</w:t>
      </w:r>
    </w:p>
    <w:p w:rsidR="008559F5" w:rsidRDefault="008559F5" w:rsidP="00DF3F5B">
      <w:pPr>
        <w:spacing w:after="240"/>
        <w:jc w:val="left"/>
      </w:pPr>
      <w:r w:rsidRPr="008559F5">
        <w:rPr>
          <w:lang w:val="en-US"/>
        </w:rPr>
        <w:object w:dxaOrig="9594" w:dyaOrig="5396" w14:anchorId="61350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3pt" o:ole="">
            <v:imagedata r:id="rId13" o:title=""/>
          </v:shape>
          <o:OLEObject Type="Embed" ProgID="PowerPoint.Slide.12" ShapeID="_x0000_i1025" DrawAspect="Content" ObjectID="_1612862075" r:id="rId14"/>
        </w:object>
      </w:r>
    </w:p>
    <w:p w:rsidR="008559F5" w:rsidRDefault="00DF3F5B" w:rsidP="00DF3F5B">
      <w:pPr>
        <w:spacing w:after="240"/>
        <w:jc w:val="left"/>
      </w:pPr>
      <w:r>
        <w:t>Defining Melbourne in this way has the advantage that each of the three sectors contain</w:t>
      </w:r>
      <w:r w:rsidR="00F37746">
        <w:t>ed</w:t>
      </w:r>
      <w:r>
        <w:t xml:space="preserve"> roughly one-third of the city’s total jobs</w:t>
      </w:r>
      <w:r w:rsidR="00F37746">
        <w:t xml:space="preserve"> in 2016</w:t>
      </w:r>
      <w:r>
        <w:t>. Table 1 shows summary population</w:t>
      </w:r>
      <w:r w:rsidR="001F4FCD">
        <w:t>, population growth</w:t>
      </w:r>
      <w:r>
        <w:t xml:space="preserve"> and jobs data for each of these three sectors.</w:t>
      </w:r>
    </w:p>
    <w:p w:rsidR="008559F5" w:rsidRDefault="008559F5">
      <w:pPr>
        <w:spacing w:before="240" w:after="240"/>
        <w:jc w:val="left"/>
      </w:pPr>
      <w:r>
        <w:br w:type="page"/>
      </w:r>
    </w:p>
    <w:tbl>
      <w:tblPr>
        <w:tblStyle w:val="TableGrid"/>
        <w:tblW w:w="0" w:type="auto"/>
        <w:tblLook w:val="04A0" w:firstRow="1" w:lastRow="0" w:firstColumn="1" w:lastColumn="0" w:noHBand="0" w:noVBand="1"/>
      </w:tblPr>
      <w:tblGrid>
        <w:gridCol w:w="1294"/>
        <w:gridCol w:w="1294"/>
        <w:gridCol w:w="1294"/>
        <w:gridCol w:w="1294"/>
        <w:gridCol w:w="1294"/>
        <w:gridCol w:w="1295"/>
        <w:gridCol w:w="1295"/>
      </w:tblGrid>
      <w:tr w:rsidR="00DF3F5B" w:rsidRPr="00475CD0" w:rsidTr="00DF3F5B">
        <w:tc>
          <w:tcPr>
            <w:tcW w:w="9060" w:type="dxa"/>
            <w:gridSpan w:val="7"/>
            <w:shd w:val="clear" w:color="auto" w:fill="244061" w:themeFill="accent1" w:themeFillShade="80"/>
          </w:tcPr>
          <w:p w:rsidR="00DF3F5B" w:rsidRPr="00475CD0" w:rsidRDefault="00DF3F5B" w:rsidP="00DF3F5B">
            <w:pPr>
              <w:spacing w:before="60" w:after="60"/>
              <w:ind w:left="1447" w:hanging="1447"/>
              <w:jc w:val="left"/>
              <w:rPr>
                <w:b/>
                <w:color w:val="FFFFFF" w:themeColor="background1"/>
                <w:sz w:val="20"/>
                <w:szCs w:val="20"/>
              </w:rPr>
            </w:pPr>
            <w:r>
              <w:rPr>
                <w:b/>
                <w:color w:val="FFFFFF" w:themeColor="background1"/>
                <w:sz w:val="20"/>
                <w:szCs w:val="20"/>
              </w:rPr>
              <w:lastRenderedPageBreak/>
              <w:t xml:space="preserve">Table </w:t>
            </w:r>
            <w:r w:rsidRPr="00475CD0">
              <w:rPr>
                <w:b/>
                <w:color w:val="FFFFFF" w:themeColor="background1"/>
                <w:sz w:val="20"/>
                <w:szCs w:val="20"/>
              </w:rPr>
              <w:t>1</w:t>
            </w:r>
            <w:r w:rsidRPr="00475CD0">
              <w:rPr>
                <w:b/>
                <w:color w:val="FFFFFF" w:themeColor="background1"/>
                <w:sz w:val="20"/>
                <w:szCs w:val="20"/>
              </w:rPr>
              <w:tab/>
              <w:t>Population, population growth and jobs in Melbourne</w:t>
            </w:r>
          </w:p>
        </w:tc>
      </w:tr>
      <w:tr w:rsidR="00DF3F5B" w:rsidRPr="00475CD0" w:rsidTr="00DF3F5B">
        <w:tc>
          <w:tcPr>
            <w:tcW w:w="1294" w:type="dxa"/>
            <w:shd w:val="clear" w:color="auto" w:fill="DBE5F1" w:themeFill="accent1" w:themeFillTint="33"/>
            <w:vAlign w:val="bottom"/>
          </w:tcPr>
          <w:p w:rsidR="00DF3F5B" w:rsidRPr="00475CD0" w:rsidRDefault="00DF3F5B" w:rsidP="00DF3F5B">
            <w:pPr>
              <w:spacing w:before="20" w:after="20"/>
              <w:rPr>
                <w:b/>
                <w:sz w:val="20"/>
                <w:szCs w:val="20"/>
              </w:rPr>
            </w:pPr>
            <w:r w:rsidRPr="00475CD0">
              <w:rPr>
                <w:b/>
                <w:sz w:val="20"/>
                <w:szCs w:val="20"/>
              </w:rPr>
              <w:t>Area</w:t>
            </w:r>
          </w:p>
        </w:tc>
        <w:tc>
          <w:tcPr>
            <w:tcW w:w="1294" w:type="dxa"/>
            <w:shd w:val="clear" w:color="auto" w:fill="DBE5F1" w:themeFill="accent1" w:themeFillTint="33"/>
            <w:vAlign w:val="bottom"/>
          </w:tcPr>
          <w:p w:rsidR="00DF3F5B" w:rsidRPr="00475CD0" w:rsidRDefault="00DF3F5B" w:rsidP="00DF3F5B">
            <w:pPr>
              <w:spacing w:before="20" w:after="20"/>
              <w:jc w:val="right"/>
              <w:rPr>
                <w:b/>
                <w:sz w:val="20"/>
                <w:szCs w:val="20"/>
              </w:rPr>
            </w:pPr>
            <w:r w:rsidRPr="00475CD0">
              <w:rPr>
                <w:b/>
                <w:sz w:val="20"/>
                <w:szCs w:val="20"/>
              </w:rPr>
              <w:t>Census population in 2016</w:t>
            </w:r>
          </w:p>
        </w:tc>
        <w:tc>
          <w:tcPr>
            <w:tcW w:w="1294" w:type="dxa"/>
            <w:shd w:val="clear" w:color="auto" w:fill="DBE5F1" w:themeFill="accent1" w:themeFillTint="33"/>
            <w:vAlign w:val="bottom"/>
          </w:tcPr>
          <w:p w:rsidR="00DF3F5B" w:rsidRPr="00475CD0" w:rsidRDefault="00DF3F5B" w:rsidP="00DF3F5B">
            <w:pPr>
              <w:spacing w:before="20" w:after="20"/>
              <w:jc w:val="right"/>
              <w:rPr>
                <w:b/>
                <w:sz w:val="20"/>
                <w:szCs w:val="20"/>
              </w:rPr>
            </w:pPr>
            <w:r w:rsidRPr="00475CD0">
              <w:rPr>
                <w:b/>
                <w:sz w:val="20"/>
                <w:szCs w:val="20"/>
              </w:rPr>
              <w:t>Share of 2016 population (%)</w:t>
            </w:r>
          </w:p>
        </w:tc>
        <w:tc>
          <w:tcPr>
            <w:tcW w:w="1294" w:type="dxa"/>
            <w:shd w:val="clear" w:color="auto" w:fill="DBE5F1" w:themeFill="accent1" w:themeFillTint="33"/>
            <w:vAlign w:val="bottom"/>
          </w:tcPr>
          <w:p w:rsidR="00DF3F5B" w:rsidRPr="00475CD0" w:rsidRDefault="00DF3F5B" w:rsidP="00DF3F5B">
            <w:pPr>
              <w:spacing w:before="20" w:after="20"/>
              <w:jc w:val="right"/>
              <w:rPr>
                <w:b/>
                <w:sz w:val="20"/>
                <w:szCs w:val="20"/>
              </w:rPr>
            </w:pPr>
            <w:r w:rsidRPr="00475CD0">
              <w:rPr>
                <w:b/>
                <w:sz w:val="20"/>
                <w:szCs w:val="20"/>
              </w:rPr>
              <w:t>Population growth 2011-16</w:t>
            </w:r>
          </w:p>
        </w:tc>
        <w:tc>
          <w:tcPr>
            <w:tcW w:w="1294" w:type="dxa"/>
            <w:shd w:val="clear" w:color="auto" w:fill="DBE5F1" w:themeFill="accent1" w:themeFillTint="33"/>
            <w:vAlign w:val="bottom"/>
          </w:tcPr>
          <w:p w:rsidR="00DF3F5B" w:rsidRPr="00475CD0" w:rsidRDefault="00DF3F5B" w:rsidP="00DF3F5B">
            <w:pPr>
              <w:spacing w:before="20" w:after="20"/>
              <w:jc w:val="right"/>
              <w:rPr>
                <w:b/>
                <w:sz w:val="20"/>
                <w:szCs w:val="20"/>
              </w:rPr>
            </w:pPr>
            <w:r w:rsidRPr="00475CD0">
              <w:rPr>
                <w:b/>
                <w:sz w:val="20"/>
                <w:szCs w:val="20"/>
              </w:rPr>
              <w:t>Share of population growth 2011-16 (%)</w:t>
            </w:r>
          </w:p>
        </w:tc>
        <w:tc>
          <w:tcPr>
            <w:tcW w:w="1295" w:type="dxa"/>
            <w:shd w:val="clear" w:color="auto" w:fill="DBE5F1" w:themeFill="accent1" w:themeFillTint="33"/>
            <w:vAlign w:val="bottom"/>
          </w:tcPr>
          <w:p w:rsidR="00DF3F5B" w:rsidRPr="00475CD0" w:rsidRDefault="00DF3F5B" w:rsidP="00DF3F5B">
            <w:pPr>
              <w:spacing w:before="20" w:after="20"/>
              <w:jc w:val="right"/>
              <w:rPr>
                <w:b/>
                <w:sz w:val="20"/>
                <w:szCs w:val="20"/>
              </w:rPr>
            </w:pPr>
            <w:r w:rsidRPr="00475CD0">
              <w:rPr>
                <w:b/>
                <w:sz w:val="20"/>
                <w:szCs w:val="20"/>
              </w:rPr>
              <w:t>Share of jobs (%)</w:t>
            </w:r>
          </w:p>
        </w:tc>
        <w:tc>
          <w:tcPr>
            <w:tcW w:w="1295" w:type="dxa"/>
            <w:shd w:val="clear" w:color="auto" w:fill="DBE5F1" w:themeFill="accent1" w:themeFillTint="33"/>
            <w:vAlign w:val="bottom"/>
          </w:tcPr>
          <w:p w:rsidR="00DF3F5B" w:rsidRPr="00475CD0" w:rsidRDefault="00DF3F5B" w:rsidP="00DF3F5B">
            <w:pPr>
              <w:spacing w:before="20" w:after="20"/>
              <w:jc w:val="right"/>
              <w:rPr>
                <w:b/>
                <w:sz w:val="20"/>
                <w:szCs w:val="20"/>
              </w:rPr>
            </w:pPr>
            <w:r w:rsidRPr="00475CD0">
              <w:rPr>
                <w:b/>
                <w:sz w:val="20"/>
                <w:szCs w:val="20"/>
              </w:rPr>
              <w:t>Jobs/1,000 resident population</w:t>
            </w:r>
          </w:p>
        </w:tc>
      </w:tr>
      <w:tr w:rsidR="00DF3F5B" w:rsidRPr="00475CD0" w:rsidTr="00DF3F5B">
        <w:tc>
          <w:tcPr>
            <w:tcW w:w="1294" w:type="dxa"/>
          </w:tcPr>
          <w:p w:rsidR="00DF3F5B" w:rsidRPr="00475CD0" w:rsidRDefault="00DF3F5B" w:rsidP="00DF3F5B">
            <w:pPr>
              <w:spacing w:before="20" w:after="20"/>
              <w:rPr>
                <w:sz w:val="20"/>
                <w:szCs w:val="20"/>
              </w:rPr>
            </w:pPr>
            <w:r w:rsidRPr="00475CD0">
              <w:rPr>
                <w:sz w:val="20"/>
                <w:szCs w:val="20"/>
              </w:rPr>
              <w:t>Inner</w:t>
            </w:r>
          </w:p>
        </w:tc>
        <w:tc>
          <w:tcPr>
            <w:tcW w:w="1294" w:type="dxa"/>
          </w:tcPr>
          <w:p w:rsidR="00DF3F5B" w:rsidRPr="00475CD0" w:rsidRDefault="00DF3F5B" w:rsidP="00DF3F5B">
            <w:pPr>
              <w:spacing w:before="20" w:after="20"/>
              <w:jc w:val="right"/>
              <w:rPr>
                <w:sz w:val="20"/>
                <w:szCs w:val="20"/>
              </w:rPr>
            </w:pPr>
            <w:r w:rsidRPr="00475CD0">
              <w:rPr>
                <w:sz w:val="20"/>
                <w:szCs w:val="20"/>
              </w:rPr>
              <w:t>650524</w:t>
            </w:r>
          </w:p>
        </w:tc>
        <w:tc>
          <w:tcPr>
            <w:tcW w:w="1294" w:type="dxa"/>
          </w:tcPr>
          <w:p w:rsidR="00DF3F5B" w:rsidRPr="00475CD0" w:rsidRDefault="00DF3F5B" w:rsidP="00DF3F5B">
            <w:pPr>
              <w:spacing w:before="20" w:after="20"/>
              <w:jc w:val="right"/>
              <w:rPr>
                <w:sz w:val="20"/>
                <w:szCs w:val="20"/>
              </w:rPr>
            </w:pPr>
            <w:r w:rsidRPr="00475CD0">
              <w:rPr>
                <w:sz w:val="20"/>
                <w:szCs w:val="20"/>
              </w:rPr>
              <w:t>14.7</w:t>
            </w:r>
          </w:p>
        </w:tc>
        <w:tc>
          <w:tcPr>
            <w:tcW w:w="1294" w:type="dxa"/>
          </w:tcPr>
          <w:p w:rsidR="00DF3F5B" w:rsidRPr="00475CD0" w:rsidRDefault="00DF3F5B" w:rsidP="00DF3F5B">
            <w:pPr>
              <w:spacing w:before="20" w:after="20"/>
              <w:jc w:val="right"/>
              <w:rPr>
                <w:sz w:val="20"/>
                <w:szCs w:val="20"/>
              </w:rPr>
            </w:pPr>
            <w:r w:rsidRPr="00475CD0">
              <w:rPr>
                <w:sz w:val="20"/>
                <w:szCs w:val="20"/>
              </w:rPr>
              <w:t>95652</w:t>
            </w:r>
          </w:p>
        </w:tc>
        <w:tc>
          <w:tcPr>
            <w:tcW w:w="1294" w:type="dxa"/>
          </w:tcPr>
          <w:p w:rsidR="00DF3F5B" w:rsidRPr="00475CD0" w:rsidRDefault="00DF3F5B" w:rsidP="00DF3F5B">
            <w:pPr>
              <w:spacing w:before="20" w:after="20"/>
              <w:jc w:val="right"/>
              <w:rPr>
                <w:sz w:val="20"/>
                <w:szCs w:val="20"/>
              </w:rPr>
            </w:pPr>
            <w:r w:rsidRPr="00475CD0">
              <w:rPr>
                <w:sz w:val="20"/>
                <w:szCs w:val="20"/>
              </w:rPr>
              <w:t>20.2</w:t>
            </w:r>
          </w:p>
        </w:tc>
        <w:tc>
          <w:tcPr>
            <w:tcW w:w="1295" w:type="dxa"/>
          </w:tcPr>
          <w:p w:rsidR="00DF3F5B" w:rsidRPr="00475CD0" w:rsidRDefault="00DF3F5B" w:rsidP="00DF3F5B">
            <w:pPr>
              <w:spacing w:before="20" w:after="20"/>
              <w:jc w:val="right"/>
              <w:rPr>
                <w:sz w:val="20"/>
                <w:szCs w:val="20"/>
              </w:rPr>
            </w:pPr>
            <w:r w:rsidRPr="00475CD0">
              <w:rPr>
                <w:sz w:val="20"/>
                <w:szCs w:val="20"/>
              </w:rPr>
              <w:t>34.8</w:t>
            </w:r>
          </w:p>
        </w:tc>
        <w:tc>
          <w:tcPr>
            <w:tcW w:w="1295" w:type="dxa"/>
          </w:tcPr>
          <w:p w:rsidR="00DF3F5B" w:rsidRPr="00475CD0" w:rsidRDefault="00DF3F5B" w:rsidP="00DF3F5B">
            <w:pPr>
              <w:spacing w:before="20" w:after="20"/>
              <w:jc w:val="right"/>
              <w:rPr>
                <w:sz w:val="20"/>
                <w:szCs w:val="20"/>
              </w:rPr>
            </w:pPr>
            <w:r w:rsidRPr="00475CD0">
              <w:rPr>
                <w:sz w:val="20"/>
                <w:szCs w:val="20"/>
              </w:rPr>
              <w:t>1229</w:t>
            </w:r>
          </w:p>
        </w:tc>
      </w:tr>
      <w:tr w:rsidR="00DF3F5B" w:rsidRPr="00475CD0" w:rsidTr="00DF3F5B">
        <w:tc>
          <w:tcPr>
            <w:tcW w:w="1294" w:type="dxa"/>
          </w:tcPr>
          <w:p w:rsidR="00DF3F5B" w:rsidRPr="00475CD0" w:rsidRDefault="00DF3F5B" w:rsidP="00DF3F5B">
            <w:pPr>
              <w:spacing w:before="20" w:after="20"/>
              <w:rPr>
                <w:sz w:val="20"/>
                <w:szCs w:val="20"/>
              </w:rPr>
            </w:pPr>
            <w:r w:rsidRPr="00475CD0">
              <w:rPr>
                <w:sz w:val="20"/>
                <w:szCs w:val="20"/>
              </w:rPr>
              <w:t>Middle</w:t>
            </w:r>
          </w:p>
        </w:tc>
        <w:tc>
          <w:tcPr>
            <w:tcW w:w="1294" w:type="dxa"/>
          </w:tcPr>
          <w:p w:rsidR="00DF3F5B" w:rsidRPr="00475CD0" w:rsidRDefault="00DF3F5B" w:rsidP="00DF3F5B">
            <w:pPr>
              <w:spacing w:before="20" w:after="20"/>
              <w:jc w:val="right"/>
              <w:rPr>
                <w:sz w:val="20"/>
                <w:szCs w:val="20"/>
              </w:rPr>
            </w:pPr>
            <w:r w:rsidRPr="00475CD0">
              <w:rPr>
                <w:sz w:val="20"/>
                <w:szCs w:val="20"/>
              </w:rPr>
              <w:t>1707568</w:t>
            </w:r>
          </w:p>
        </w:tc>
        <w:tc>
          <w:tcPr>
            <w:tcW w:w="1294" w:type="dxa"/>
          </w:tcPr>
          <w:p w:rsidR="00DF3F5B" w:rsidRPr="00475CD0" w:rsidRDefault="00DF3F5B" w:rsidP="00DF3F5B">
            <w:pPr>
              <w:spacing w:before="20" w:after="20"/>
              <w:jc w:val="right"/>
              <w:rPr>
                <w:sz w:val="20"/>
                <w:szCs w:val="20"/>
              </w:rPr>
            </w:pPr>
            <w:r w:rsidRPr="00475CD0">
              <w:rPr>
                <w:sz w:val="20"/>
                <w:szCs w:val="20"/>
              </w:rPr>
              <w:t>38.7</w:t>
            </w:r>
          </w:p>
        </w:tc>
        <w:tc>
          <w:tcPr>
            <w:tcW w:w="1294" w:type="dxa"/>
          </w:tcPr>
          <w:p w:rsidR="00DF3F5B" w:rsidRPr="00475CD0" w:rsidRDefault="00DF3F5B" w:rsidP="00DF3F5B">
            <w:pPr>
              <w:spacing w:before="20" w:after="20"/>
              <w:jc w:val="right"/>
              <w:rPr>
                <w:sz w:val="20"/>
                <w:szCs w:val="20"/>
              </w:rPr>
            </w:pPr>
            <w:r w:rsidRPr="00475CD0">
              <w:rPr>
                <w:sz w:val="20"/>
                <w:szCs w:val="20"/>
              </w:rPr>
              <w:t>106169</w:t>
            </w:r>
          </w:p>
        </w:tc>
        <w:tc>
          <w:tcPr>
            <w:tcW w:w="1294" w:type="dxa"/>
          </w:tcPr>
          <w:p w:rsidR="00DF3F5B" w:rsidRPr="00475CD0" w:rsidRDefault="00DF3F5B" w:rsidP="00DF3F5B">
            <w:pPr>
              <w:spacing w:before="20" w:after="20"/>
              <w:jc w:val="right"/>
              <w:rPr>
                <w:sz w:val="20"/>
                <w:szCs w:val="20"/>
              </w:rPr>
            </w:pPr>
            <w:r w:rsidRPr="00475CD0">
              <w:rPr>
                <w:sz w:val="20"/>
                <w:szCs w:val="20"/>
              </w:rPr>
              <w:t>22.4</w:t>
            </w:r>
          </w:p>
        </w:tc>
        <w:tc>
          <w:tcPr>
            <w:tcW w:w="1295" w:type="dxa"/>
          </w:tcPr>
          <w:p w:rsidR="00DF3F5B" w:rsidRPr="00475CD0" w:rsidRDefault="00DF3F5B" w:rsidP="00DF3F5B">
            <w:pPr>
              <w:spacing w:before="20" w:after="20"/>
              <w:jc w:val="right"/>
              <w:rPr>
                <w:sz w:val="20"/>
                <w:szCs w:val="20"/>
              </w:rPr>
            </w:pPr>
            <w:r w:rsidRPr="00475CD0">
              <w:rPr>
                <w:sz w:val="20"/>
                <w:szCs w:val="20"/>
              </w:rPr>
              <w:t>30.9</w:t>
            </w:r>
          </w:p>
        </w:tc>
        <w:tc>
          <w:tcPr>
            <w:tcW w:w="1295" w:type="dxa"/>
          </w:tcPr>
          <w:p w:rsidR="00DF3F5B" w:rsidRPr="00475CD0" w:rsidRDefault="00DF3F5B" w:rsidP="00DF3F5B">
            <w:pPr>
              <w:spacing w:before="20" w:after="20"/>
              <w:jc w:val="right"/>
              <w:rPr>
                <w:sz w:val="20"/>
                <w:szCs w:val="20"/>
              </w:rPr>
            </w:pPr>
            <w:r w:rsidRPr="00475CD0">
              <w:rPr>
                <w:sz w:val="20"/>
                <w:szCs w:val="20"/>
              </w:rPr>
              <w:t>424</w:t>
            </w:r>
          </w:p>
        </w:tc>
      </w:tr>
      <w:tr w:rsidR="00DF3F5B" w:rsidRPr="00475CD0" w:rsidTr="00DF3F5B">
        <w:tc>
          <w:tcPr>
            <w:tcW w:w="1294" w:type="dxa"/>
          </w:tcPr>
          <w:p w:rsidR="00DF3F5B" w:rsidRPr="00475CD0" w:rsidRDefault="00DF3F5B" w:rsidP="00DF3F5B">
            <w:pPr>
              <w:spacing w:before="20" w:after="20"/>
              <w:rPr>
                <w:sz w:val="20"/>
                <w:szCs w:val="20"/>
              </w:rPr>
            </w:pPr>
            <w:r w:rsidRPr="00475CD0">
              <w:rPr>
                <w:sz w:val="20"/>
                <w:szCs w:val="20"/>
              </w:rPr>
              <w:t>Outer</w:t>
            </w:r>
          </w:p>
        </w:tc>
        <w:tc>
          <w:tcPr>
            <w:tcW w:w="1294" w:type="dxa"/>
          </w:tcPr>
          <w:p w:rsidR="00DF3F5B" w:rsidRPr="00475CD0" w:rsidRDefault="00DF3F5B" w:rsidP="00DF3F5B">
            <w:pPr>
              <w:spacing w:before="20" w:after="20"/>
              <w:jc w:val="right"/>
              <w:rPr>
                <w:sz w:val="20"/>
                <w:szCs w:val="20"/>
              </w:rPr>
            </w:pPr>
            <w:r w:rsidRPr="00475CD0">
              <w:rPr>
                <w:sz w:val="20"/>
                <w:szCs w:val="20"/>
              </w:rPr>
              <w:t>2057349</w:t>
            </w:r>
          </w:p>
        </w:tc>
        <w:tc>
          <w:tcPr>
            <w:tcW w:w="1294" w:type="dxa"/>
          </w:tcPr>
          <w:p w:rsidR="00DF3F5B" w:rsidRPr="00475CD0" w:rsidRDefault="00DF3F5B" w:rsidP="00DF3F5B">
            <w:pPr>
              <w:spacing w:before="20" w:after="20"/>
              <w:jc w:val="right"/>
              <w:rPr>
                <w:sz w:val="20"/>
                <w:szCs w:val="20"/>
              </w:rPr>
            </w:pPr>
            <w:r w:rsidRPr="00475CD0">
              <w:rPr>
                <w:sz w:val="20"/>
                <w:szCs w:val="20"/>
              </w:rPr>
              <w:t>46.6</w:t>
            </w:r>
          </w:p>
        </w:tc>
        <w:tc>
          <w:tcPr>
            <w:tcW w:w="1294" w:type="dxa"/>
          </w:tcPr>
          <w:p w:rsidR="00DF3F5B" w:rsidRPr="00475CD0" w:rsidRDefault="00DF3F5B" w:rsidP="00DF3F5B">
            <w:pPr>
              <w:spacing w:before="20" w:after="20"/>
              <w:jc w:val="right"/>
              <w:rPr>
                <w:sz w:val="20"/>
                <w:szCs w:val="20"/>
              </w:rPr>
            </w:pPr>
            <w:r w:rsidRPr="00475CD0">
              <w:rPr>
                <w:sz w:val="20"/>
                <w:szCs w:val="20"/>
              </w:rPr>
              <w:t>272822</w:t>
            </w:r>
          </w:p>
        </w:tc>
        <w:tc>
          <w:tcPr>
            <w:tcW w:w="1294" w:type="dxa"/>
          </w:tcPr>
          <w:p w:rsidR="00DF3F5B" w:rsidRPr="00475CD0" w:rsidRDefault="00DF3F5B" w:rsidP="00DF3F5B">
            <w:pPr>
              <w:spacing w:before="20" w:after="20"/>
              <w:jc w:val="right"/>
              <w:rPr>
                <w:sz w:val="20"/>
                <w:szCs w:val="20"/>
              </w:rPr>
            </w:pPr>
            <w:r w:rsidRPr="00475CD0">
              <w:rPr>
                <w:sz w:val="20"/>
                <w:szCs w:val="20"/>
              </w:rPr>
              <w:t>57.5</w:t>
            </w:r>
          </w:p>
        </w:tc>
        <w:tc>
          <w:tcPr>
            <w:tcW w:w="1295" w:type="dxa"/>
          </w:tcPr>
          <w:p w:rsidR="00DF3F5B" w:rsidRPr="00475CD0" w:rsidRDefault="00DF3F5B" w:rsidP="00DF3F5B">
            <w:pPr>
              <w:spacing w:before="20" w:after="20"/>
              <w:jc w:val="right"/>
              <w:rPr>
                <w:sz w:val="20"/>
                <w:szCs w:val="20"/>
              </w:rPr>
            </w:pPr>
            <w:r w:rsidRPr="00475CD0">
              <w:rPr>
                <w:sz w:val="20"/>
                <w:szCs w:val="20"/>
              </w:rPr>
              <w:t>34.3</w:t>
            </w:r>
          </w:p>
        </w:tc>
        <w:tc>
          <w:tcPr>
            <w:tcW w:w="1295" w:type="dxa"/>
          </w:tcPr>
          <w:p w:rsidR="00DF3F5B" w:rsidRPr="00475CD0" w:rsidRDefault="00DF3F5B" w:rsidP="00DF3F5B">
            <w:pPr>
              <w:spacing w:before="20" w:after="20"/>
              <w:jc w:val="right"/>
              <w:rPr>
                <w:sz w:val="20"/>
                <w:szCs w:val="20"/>
              </w:rPr>
            </w:pPr>
            <w:r w:rsidRPr="00475CD0">
              <w:rPr>
                <w:sz w:val="20"/>
                <w:szCs w:val="20"/>
              </w:rPr>
              <w:t>389</w:t>
            </w:r>
          </w:p>
        </w:tc>
      </w:tr>
      <w:tr w:rsidR="00DF3F5B" w:rsidRPr="00475CD0" w:rsidTr="00DF3F5B">
        <w:tc>
          <w:tcPr>
            <w:tcW w:w="1294" w:type="dxa"/>
            <w:shd w:val="clear" w:color="auto" w:fill="DBE5F1" w:themeFill="accent1" w:themeFillTint="33"/>
          </w:tcPr>
          <w:p w:rsidR="00DF3F5B" w:rsidRPr="00475CD0" w:rsidRDefault="00DF3F5B" w:rsidP="00DF3F5B">
            <w:pPr>
              <w:spacing w:before="20" w:after="20"/>
              <w:rPr>
                <w:b/>
                <w:sz w:val="20"/>
                <w:szCs w:val="20"/>
              </w:rPr>
            </w:pPr>
            <w:r w:rsidRPr="00475CD0">
              <w:rPr>
                <w:b/>
                <w:sz w:val="20"/>
                <w:szCs w:val="20"/>
              </w:rPr>
              <w:t>Total</w:t>
            </w:r>
          </w:p>
        </w:tc>
        <w:tc>
          <w:tcPr>
            <w:tcW w:w="1294" w:type="dxa"/>
            <w:shd w:val="clear" w:color="auto" w:fill="DBE5F1" w:themeFill="accent1" w:themeFillTint="33"/>
          </w:tcPr>
          <w:p w:rsidR="00DF3F5B" w:rsidRPr="00475CD0" w:rsidRDefault="00DF3F5B" w:rsidP="00DF3F5B">
            <w:pPr>
              <w:spacing w:before="20" w:after="20"/>
              <w:jc w:val="right"/>
              <w:rPr>
                <w:b/>
                <w:sz w:val="20"/>
                <w:szCs w:val="20"/>
              </w:rPr>
            </w:pPr>
            <w:r w:rsidRPr="00475CD0">
              <w:rPr>
                <w:b/>
                <w:sz w:val="20"/>
                <w:szCs w:val="20"/>
              </w:rPr>
              <w:t>4415441</w:t>
            </w:r>
          </w:p>
        </w:tc>
        <w:tc>
          <w:tcPr>
            <w:tcW w:w="1294" w:type="dxa"/>
            <w:shd w:val="clear" w:color="auto" w:fill="DBE5F1" w:themeFill="accent1" w:themeFillTint="33"/>
          </w:tcPr>
          <w:p w:rsidR="00DF3F5B" w:rsidRPr="00475CD0" w:rsidRDefault="00DF3F5B" w:rsidP="00DF3F5B">
            <w:pPr>
              <w:spacing w:before="20" w:after="20"/>
              <w:jc w:val="right"/>
              <w:rPr>
                <w:b/>
                <w:sz w:val="20"/>
                <w:szCs w:val="20"/>
              </w:rPr>
            </w:pPr>
            <w:r w:rsidRPr="00475CD0">
              <w:rPr>
                <w:b/>
                <w:sz w:val="20"/>
                <w:szCs w:val="20"/>
              </w:rPr>
              <w:t>100.0</w:t>
            </w:r>
          </w:p>
        </w:tc>
        <w:tc>
          <w:tcPr>
            <w:tcW w:w="1294" w:type="dxa"/>
            <w:shd w:val="clear" w:color="auto" w:fill="DBE5F1" w:themeFill="accent1" w:themeFillTint="33"/>
          </w:tcPr>
          <w:p w:rsidR="00DF3F5B" w:rsidRPr="00475CD0" w:rsidRDefault="00DF3F5B" w:rsidP="00DF3F5B">
            <w:pPr>
              <w:spacing w:before="20" w:after="20"/>
              <w:jc w:val="right"/>
              <w:rPr>
                <w:b/>
                <w:sz w:val="20"/>
                <w:szCs w:val="20"/>
              </w:rPr>
            </w:pPr>
            <w:r w:rsidRPr="00475CD0">
              <w:rPr>
                <w:b/>
                <w:sz w:val="20"/>
                <w:szCs w:val="20"/>
              </w:rPr>
              <w:t>474643</w:t>
            </w:r>
          </w:p>
        </w:tc>
        <w:tc>
          <w:tcPr>
            <w:tcW w:w="1294" w:type="dxa"/>
            <w:shd w:val="clear" w:color="auto" w:fill="DBE5F1" w:themeFill="accent1" w:themeFillTint="33"/>
          </w:tcPr>
          <w:p w:rsidR="00DF3F5B" w:rsidRPr="00475CD0" w:rsidRDefault="00DF3F5B" w:rsidP="00DF3F5B">
            <w:pPr>
              <w:spacing w:before="20" w:after="20"/>
              <w:jc w:val="right"/>
              <w:rPr>
                <w:b/>
                <w:sz w:val="20"/>
                <w:szCs w:val="20"/>
              </w:rPr>
            </w:pPr>
            <w:r w:rsidRPr="00475CD0">
              <w:rPr>
                <w:b/>
                <w:sz w:val="20"/>
                <w:szCs w:val="20"/>
              </w:rPr>
              <w:t>100.0</w:t>
            </w:r>
          </w:p>
        </w:tc>
        <w:tc>
          <w:tcPr>
            <w:tcW w:w="1295" w:type="dxa"/>
            <w:shd w:val="clear" w:color="auto" w:fill="DBE5F1" w:themeFill="accent1" w:themeFillTint="33"/>
          </w:tcPr>
          <w:p w:rsidR="00DF3F5B" w:rsidRPr="00475CD0" w:rsidRDefault="00DF3F5B" w:rsidP="00DF3F5B">
            <w:pPr>
              <w:spacing w:before="20" w:after="20"/>
              <w:jc w:val="right"/>
              <w:rPr>
                <w:b/>
                <w:sz w:val="20"/>
                <w:szCs w:val="20"/>
              </w:rPr>
            </w:pPr>
            <w:r w:rsidRPr="00475CD0">
              <w:rPr>
                <w:b/>
                <w:sz w:val="20"/>
                <w:szCs w:val="20"/>
              </w:rPr>
              <w:t>100.0</w:t>
            </w:r>
          </w:p>
        </w:tc>
        <w:tc>
          <w:tcPr>
            <w:tcW w:w="1295" w:type="dxa"/>
            <w:shd w:val="clear" w:color="auto" w:fill="DBE5F1" w:themeFill="accent1" w:themeFillTint="33"/>
          </w:tcPr>
          <w:p w:rsidR="00DF3F5B" w:rsidRPr="00475CD0" w:rsidRDefault="00DF3F5B" w:rsidP="00DF3F5B">
            <w:pPr>
              <w:spacing w:before="20" w:after="20"/>
              <w:jc w:val="right"/>
              <w:rPr>
                <w:b/>
                <w:sz w:val="20"/>
                <w:szCs w:val="20"/>
              </w:rPr>
            </w:pPr>
            <w:r w:rsidRPr="00475CD0">
              <w:rPr>
                <w:b/>
                <w:sz w:val="20"/>
                <w:szCs w:val="20"/>
              </w:rPr>
              <w:t>528</w:t>
            </w:r>
          </w:p>
        </w:tc>
      </w:tr>
    </w:tbl>
    <w:p w:rsidR="00DF3F5B" w:rsidRPr="001F4FCD" w:rsidRDefault="00DF3F5B" w:rsidP="00BD0079">
      <w:pPr>
        <w:spacing w:after="240"/>
        <w:jc w:val="left"/>
        <w:rPr>
          <w:color w:val="auto"/>
          <w:sz w:val="20"/>
          <w:szCs w:val="20"/>
        </w:rPr>
      </w:pPr>
      <w:r w:rsidRPr="001F4FCD">
        <w:rPr>
          <w:sz w:val="20"/>
          <w:szCs w:val="20"/>
        </w:rPr>
        <w:t xml:space="preserve">Source: From </w:t>
      </w:r>
      <w:r w:rsidRPr="001F4FCD">
        <w:rPr>
          <w:color w:val="auto"/>
          <w:sz w:val="20"/>
          <w:szCs w:val="20"/>
        </w:rPr>
        <w:t xml:space="preserve">Australian Bureau of Statistics (n.d.), Quickstats, Available at </w:t>
      </w:r>
      <w:hyperlink r:id="rId15" w:history="1">
        <w:r w:rsidRPr="001F4FCD">
          <w:rPr>
            <w:rStyle w:val="Hyperlink"/>
            <w:rFonts w:eastAsia="Times New Roman" w:cs="Times New Roman"/>
            <w:color w:val="auto"/>
            <w:sz w:val="20"/>
            <w:szCs w:val="20"/>
          </w:rPr>
          <w:t>http://www.abs.gov.au/websitedbs/D3310114.nsf/ Home/2016%20QuickStats</w:t>
        </w:r>
      </w:hyperlink>
      <w:r w:rsidRPr="001F4FCD">
        <w:rPr>
          <w:color w:val="auto"/>
          <w:sz w:val="20"/>
          <w:szCs w:val="20"/>
        </w:rPr>
        <w:t>.</w:t>
      </w:r>
    </w:p>
    <w:p w:rsidR="00DB3E42" w:rsidRPr="00475CD0" w:rsidRDefault="00DB3E42" w:rsidP="002E5DBA">
      <w:pPr>
        <w:jc w:val="left"/>
      </w:pPr>
      <w:r w:rsidRPr="00475CD0">
        <w:t xml:space="preserve">Inner Melbourne </w:t>
      </w:r>
      <w:r w:rsidR="007C3C65">
        <w:t xml:space="preserve">(as defined) </w:t>
      </w:r>
      <w:r w:rsidRPr="00475CD0">
        <w:t>had less than 15</w:t>
      </w:r>
      <w:r w:rsidR="002E083D">
        <w:t xml:space="preserve">% </w:t>
      </w:r>
      <w:r w:rsidRPr="00475CD0">
        <w:t xml:space="preserve">of Greater Melbourne’s total resident population in 2016 but accounted for one fifth of population growth over the 2011-16 period, evident in the rapid expansion of </w:t>
      </w:r>
      <w:r w:rsidR="000B6342">
        <w:t xml:space="preserve">inner </w:t>
      </w:r>
      <w:r w:rsidR="00DF3F5B">
        <w:t xml:space="preserve">urban </w:t>
      </w:r>
      <w:r w:rsidRPr="00475CD0">
        <w:t xml:space="preserve">apartment </w:t>
      </w:r>
      <w:r w:rsidR="00DF3F5B">
        <w:t>building</w:t>
      </w:r>
      <w:r w:rsidRPr="00475CD0">
        <w:t>. However, a much higher proportion of jobs</w:t>
      </w:r>
      <w:r w:rsidR="00DF3F5B">
        <w:t xml:space="preserve"> (nearly 35%)</w:t>
      </w:r>
      <w:r w:rsidRPr="00475CD0">
        <w:t xml:space="preserve"> are located in this part of Melbourne and the ratio of jobs per </w:t>
      </w:r>
      <w:r w:rsidR="00276E51">
        <w:t xml:space="preserve">1000 resident population </w:t>
      </w:r>
      <w:r w:rsidRPr="00475CD0">
        <w:t>in inner Melbourne</w:t>
      </w:r>
      <w:r w:rsidR="00276E51">
        <w:t>, at 1</w:t>
      </w:r>
      <w:r w:rsidR="00B22B2D">
        <w:t>,</w:t>
      </w:r>
      <w:r w:rsidR="00276E51">
        <w:t>229,</w:t>
      </w:r>
      <w:r w:rsidRPr="00475CD0">
        <w:t xml:space="preserve"> is well over twice the average for the city as a whole (528</w:t>
      </w:r>
      <w:r w:rsidR="001F4FCD">
        <w:t xml:space="preserve"> in 2016</w:t>
      </w:r>
      <w:r w:rsidRPr="00475CD0">
        <w:t>). Th</w:t>
      </w:r>
      <w:r>
        <w:t>is</w:t>
      </w:r>
      <w:r w:rsidRPr="00475CD0">
        <w:t xml:space="preserve"> high job density of the inner area is a strong argument supporting population </w:t>
      </w:r>
      <w:r w:rsidR="00DF3F5B">
        <w:t>growth in this part of the city. However,</w:t>
      </w:r>
      <w:r w:rsidRPr="00475CD0">
        <w:t xml:space="preserve"> the gap </w:t>
      </w:r>
      <w:r w:rsidRPr="00475CD0">
        <w:lastRenderedPageBreak/>
        <w:t xml:space="preserve">between jobs and residents means a huge </w:t>
      </w:r>
      <w:r w:rsidR="00C33850">
        <w:t xml:space="preserve">daily </w:t>
      </w:r>
      <w:r w:rsidRPr="00475CD0">
        <w:t xml:space="preserve">tidal flow of workers, with associated </w:t>
      </w:r>
      <w:r w:rsidR="007C3C65">
        <w:t xml:space="preserve">road and public transport </w:t>
      </w:r>
      <w:r w:rsidRPr="00475CD0">
        <w:t>congestion challenges.</w:t>
      </w:r>
    </w:p>
    <w:p w:rsidR="00DB3E42" w:rsidRPr="00475CD0" w:rsidRDefault="00DB3E42" w:rsidP="002E5DBA">
      <w:pPr>
        <w:jc w:val="left"/>
      </w:pPr>
      <w:r w:rsidRPr="00475CD0">
        <w:t>Middle Melbourne is more balanced in terms of population and jobs</w:t>
      </w:r>
      <w:r>
        <w:t>. It had</w:t>
      </w:r>
      <w:r w:rsidRPr="00475CD0">
        <w:t xml:space="preserve"> 38.7</w:t>
      </w:r>
      <w:r>
        <w:t>%</w:t>
      </w:r>
      <w:r w:rsidRPr="00475CD0">
        <w:t xml:space="preserve"> of resident population and 30.9</w:t>
      </w:r>
      <w:r>
        <w:t>%</w:t>
      </w:r>
      <w:r w:rsidRPr="00475CD0">
        <w:t xml:space="preserve"> of jobs</w:t>
      </w:r>
      <w:r>
        <w:t xml:space="preserve"> in 2016</w:t>
      </w:r>
      <w:r w:rsidR="00DF3F5B">
        <w:t>, b</w:t>
      </w:r>
      <w:r w:rsidRPr="00475CD0">
        <w:t>ut could still do with deeper job penetration, as illustrated by a jobs/1000 resident population ratio that is about 100 below the ratio for the city as a wh</w:t>
      </w:r>
      <w:r w:rsidR="009A4658">
        <w:t>o</w:t>
      </w:r>
      <w:r w:rsidRPr="00475CD0">
        <w:t xml:space="preserve">le. One of the purposes of the National Employment and Innovation Clusters in </w:t>
      </w:r>
      <w:r w:rsidRPr="00DB3E42">
        <w:rPr>
          <w:i/>
        </w:rPr>
        <w:t>Plan Melbourne 2017-2050</w:t>
      </w:r>
      <w:r w:rsidRPr="00475CD0">
        <w:t xml:space="preserve"> is to help increase relative job penetration in middle Melbourne</w:t>
      </w:r>
      <w:r w:rsidR="007C3C65">
        <w:t xml:space="preserve">, </w:t>
      </w:r>
      <w:r w:rsidR="00C33850">
        <w:t xml:space="preserve">needing to be </w:t>
      </w:r>
      <w:r w:rsidR="007C3C65">
        <w:t>accompanied by</w:t>
      </w:r>
      <w:r w:rsidRPr="00475CD0">
        <w:t xml:space="preserve"> improve</w:t>
      </w:r>
      <w:r w:rsidR="007C3C65">
        <w:t>d</w:t>
      </w:r>
      <w:r w:rsidRPr="00475CD0">
        <w:t xml:space="preserve"> accessibility </w:t>
      </w:r>
      <w:r w:rsidR="00C33850">
        <w:t>opportunities</w:t>
      </w:r>
      <w:r w:rsidR="001F4FCD">
        <w:t xml:space="preserve"> to/from the clusters. This should be planned</w:t>
      </w:r>
      <w:r w:rsidR="00F37746">
        <w:t>, among other things,</w:t>
      </w:r>
      <w:r w:rsidR="001F4FCD">
        <w:t xml:space="preserve"> to ensure better access to high income jobs for residents from</w:t>
      </w:r>
      <w:r w:rsidR="00C33850">
        <w:t xml:space="preserve"> </w:t>
      </w:r>
      <w:r w:rsidR="001F4FCD">
        <w:t xml:space="preserve">the fast growing </w:t>
      </w:r>
      <w:r w:rsidRPr="00475CD0">
        <w:t xml:space="preserve">outer urban </w:t>
      </w:r>
      <w:r w:rsidR="001F4FCD">
        <w:t>areas</w:t>
      </w:r>
      <w:r w:rsidRPr="00475CD0">
        <w:t>.</w:t>
      </w:r>
    </w:p>
    <w:p w:rsidR="00C33850" w:rsidRDefault="00DB3E42" w:rsidP="002E5DBA">
      <w:pPr>
        <w:jc w:val="left"/>
      </w:pPr>
      <w:r w:rsidRPr="00475CD0">
        <w:t>Outer Melbourne</w:t>
      </w:r>
      <w:r>
        <w:t>, as defined,</w:t>
      </w:r>
      <w:r w:rsidRPr="00475CD0">
        <w:t xml:space="preserve"> housed 46.6</w:t>
      </w:r>
      <w:r>
        <w:t xml:space="preserve">% </w:t>
      </w:r>
      <w:r w:rsidRPr="00475CD0">
        <w:t xml:space="preserve">of Greater Melbourne’s total resident population </w:t>
      </w:r>
      <w:r>
        <w:t>in 2016 but</w:t>
      </w:r>
      <w:r w:rsidRPr="00475CD0">
        <w:t xml:space="preserve"> accounted for an even higher share of population growth between 2011 and 2016, at 57.5</w:t>
      </w:r>
      <w:r>
        <w:t>%</w:t>
      </w:r>
      <w:r w:rsidRPr="00475CD0">
        <w:t xml:space="preserve">. This indicates that the outer suburbs are becoming increasingly important in relative terms for housing the city’s </w:t>
      </w:r>
      <w:r w:rsidR="00DF3F5B">
        <w:t xml:space="preserve">rapidly </w:t>
      </w:r>
      <w:r w:rsidRPr="00475CD0">
        <w:t xml:space="preserve">growing population. However, only </w:t>
      </w:r>
      <w:r w:rsidR="00DF3F5B">
        <w:t xml:space="preserve">34.3% of </w:t>
      </w:r>
      <w:r w:rsidRPr="00475CD0">
        <w:t xml:space="preserve">jobs </w:t>
      </w:r>
      <w:r w:rsidR="00F37746">
        <w:t>were</w:t>
      </w:r>
      <w:r w:rsidRPr="00475CD0">
        <w:t xml:space="preserve"> located in outer Melbourne and the jobs per 1</w:t>
      </w:r>
      <w:r w:rsidR="009A4658">
        <w:t>,</w:t>
      </w:r>
      <w:r w:rsidRPr="00475CD0">
        <w:t xml:space="preserve">000 resident ratio </w:t>
      </w:r>
      <w:r w:rsidR="00F37746">
        <w:lastRenderedPageBreak/>
        <w:t>wa</w:t>
      </w:r>
      <w:r w:rsidRPr="00475CD0">
        <w:t>s only 389</w:t>
      </w:r>
      <w:r w:rsidR="00F37746">
        <w:t xml:space="preserve"> in 2016</w:t>
      </w:r>
      <w:r w:rsidRPr="00475CD0">
        <w:t xml:space="preserve">, indicating large numbers of </w:t>
      </w:r>
      <w:r w:rsidR="00DF3F5B">
        <w:t xml:space="preserve">outer urban residents need </w:t>
      </w:r>
      <w:r w:rsidRPr="00475CD0">
        <w:t>to regularly travel c</w:t>
      </w:r>
      <w:r w:rsidR="007C3C65">
        <w:t>onsiderable distances for work</w:t>
      </w:r>
      <w:r w:rsidR="001F4FCD">
        <w:t>. B</w:t>
      </w:r>
      <w:r w:rsidR="007C3C65">
        <w:t>etween one in four and one in six residents in the fast growing outer suburb</w:t>
      </w:r>
      <w:r w:rsidR="00C33850">
        <w:t>an LGAs</w:t>
      </w:r>
      <w:r w:rsidR="007C3C65">
        <w:t xml:space="preserve"> typically </w:t>
      </w:r>
      <w:r w:rsidR="001F4FCD">
        <w:t xml:space="preserve">now </w:t>
      </w:r>
      <w:r w:rsidR="007C3C65">
        <w:t xml:space="preserve">spend over </w:t>
      </w:r>
      <w:r w:rsidR="00B22B2D">
        <w:t>two</w:t>
      </w:r>
      <w:r w:rsidR="007C3C65">
        <w:t xml:space="preserve"> hours on their </w:t>
      </w:r>
      <w:r w:rsidR="00C33850">
        <w:t xml:space="preserve">daily </w:t>
      </w:r>
      <w:r w:rsidR="007C3C65">
        <w:t xml:space="preserve">commute. </w:t>
      </w:r>
    </w:p>
    <w:p w:rsidR="00DB3E42" w:rsidRDefault="00DB3E42" w:rsidP="002E5DBA">
      <w:pPr>
        <w:jc w:val="left"/>
      </w:pPr>
      <w:r w:rsidRPr="00475CD0">
        <w:t xml:space="preserve">The intention in both </w:t>
      </w:r>
      <w:r w:rsidRPr="00DB3E42">
        <w:rPr>
          <w:i/>
        </w:rPr>
        <w:t xml:space="preserve">Plan Melbourne </w:t>
      </w:r>
      <w:r w:rsidRPr="00475CD0">
        <w:t xml:space="preserve">and </w:t>
      </w:r>
      <w:r w:rsidRPr="00DB3E42">
        <w:rPr>
          <w:i/>
        </w:rPr>
        <w:t xml:space="preserve">Plan Melbourne 2017-2050 </w:t>
      </w:r>
      <w:r w:rsidRPr="00475CD0">
        <w:t>was to see Melbourne becoming relatively more compact. Notwithstanding high population growth in inner Melbourne, under the high populat</w:t>
      </w:r>
      <w:r w:rsidR="00276E51">
        <w:t xml:space="preserve">ion growth rate that the city </w:t>
      </w:r>
      <w:r w:rsidR="00B22B2D">
        <w:t>is</w:t>
      </w:r>
      <w:r w:rsidRPr="00475CD0">
        <w:t xml:space="preserve"> experiencing, a more compact settlement pattern is clearly not </w:t>
      </w:r>
      <w:r w:rsidR="00276E51">
        <w:t>eventuating</w:t>
      </w:r>
      <w:r w:rsidR="00C33850">
        <w:t xml:space="preserve"> at present</w:t>
      </w:r>
      <w:r w:rsidRPr="00475CD0">
        <w:t>.</w:t>
      </w:r>
    </w:p>
    <w:p w:rsidR="00CF7C9A" w:rsidRPr="00475CD0" w:rsidRDefault="00CF7C9A" w:rsidP="00D045A5">
      <w:pPr>
        <w:pStyle w:val="Heading1"/>
      </w:pPr>
      <w:bookmarkStart w:id="3" w:name="_Toc532983531"/>
      <w:r>
        <w:t>3.</w:t>
      </w:r>
      <w:r>
        <w:tab/>
        <w:t>Impact on productivity</w:t>
      </w:r>
      <w:bookmarkEnd w:id="3"/>
      <w:r>
        <w:t xml:space="preserve"> </w:t>
      </w:r>
    </w:p>
    <w:p w:rsidR="00BD0079" w:rsidRPr="008000EC" w:rsidRDefault="00C33850" w:rsidP="00BD0079">
      <w:pPr>
        <w:jc w:val="left"/>
        <w:rPr>
          <w:rFonts w:cs="Times New Roman"/>
          <w:szCs w:val="24"/>
        </w:rPr>
      </w:pPr>
      <w:r w:rsidRPr="008000EC">
        <w:rPr>
          <w:rFonts w:cs="Times New Roman"/>
          <w:szCs w:val="24"/>
        </w:rPr>
        <w:t xml:space="preserve">It is often argued that </w:t>
      </w:r>
      <w:r w:rsidR="00276E51" w:rsidRPr="008000EC">
        <w:rPr>
          <w:rFonts w:cs="Times New Roman"/>
          <w:szCs w:val="24"/>
        </w:rPr>
        <w:t xml:space="preserve">a bigger city will increase </w:t>
      </w:r>
      <w:r w:rsidRPr="008000EC">
        <w:rPr>
          <w:rFonts w:cs="Times New Roman"/>
          <w:szCs w:val="24"/>
        </w:rPr>
        <w:t>overall productivity levels and there is evidence to support this argument</w:t>
      </w:r>
      <w:r w:rsidR="00DF3F5B" w:rsidRPr="008000EC">
        <w:rPr>
          <w:rFonts w:cs="Times New Roman"/>
          <w:szCs w:val="24"/>
        </w:rPr>
        <w:t xml:space="preserve"> (</w:t>
      </w:r>
      <w:r w:rsidR="00C16BF4" w:rsidRPr="008000EC">
        <w:rPr>
          <w:rFonts w:cs="Times New Roman"/>
          <w:szCs w:val="24"/>
        </w:rPr>
        <w:t>see, for example, Rosenthal and Strange 2003, Behrens et al. 2014 and Abel et al. 2012)</w:t>
      </w:r>
      <w:r w:rsidRPr="008000EC">
        <w:rPr>
          <w:rFonts w:cs="Times New Roman"/>
          <w:szCs w:val="24"/>
        </w:rPr>
        <w:t xml:space="preserve">. However, there is also strong evidence </w:t>
      </w:r>
      <w:r w:rsidR="001F4FCD" w:rsidRPr="008000EC">
        <w:rPr>
          <w:rFonts w:cs="Times New Roman"/>
          <w:szCs w:val="24"/>
        </w:rPr>
        <w:t xml:space="preserve">from the current study </w:t>
      </w:r>
      <w:r w:rsidRPr="008000EC">
        <w:rPr>
          <w:rFonts w:cs="Times New Roman"/>
          <w:szCs w:val="24"/>
        </w:rPr>
        <w:t xml:space="preserve">that residents of the fast growing outer suburbs are not sharing in these potential benefits. </w:t>
      </w:r>
    </w:p>
    <w:p w:rsidR="001F4FCD" w:rsidRPr="008000EC" w:rsidRDefault="00C33850" w:rsidP="002E5DBA">
      <w:pPr>
        <w:jc w:val="left"/>
        <w:rPr>
          <w:rFonts w:cs="Times New Roman"/>
          <w:szCs w:val="24"/>
        </w:rPr>
      </w:pPr>
      <w:r w:rsidRPr="008000EC">
        <w:rPr>
          <w:rFonts w:cs="Times New Roman"/>
          <w:szCs w:val="24"/>
        </w:rPr>
        <w:lastRenderedPageBreak/>
        <w:t>The National Institute of Economic and Industry Research (NIEIR), wh</w:t>
      </w:r>
      <w:r w:rsidR="003F4A40" w:rsidRPr="008000EC">
        <w:rPr>
          <w:rFonts w:cs="Times New Roman"/>
          <w:szCs w:val="24"/>
        </w:rPr>
        <w:t xml:space="preserve">ose research </w:t>
      </w:r>
      <w:r w:rsidRPr="008000EC">
        <w:rPr>
          <w:rFonts w:cs="Times New Roman"/>
          <w:szCs w:val="24"/>
        </w:rPr>
        <w:t xml:space="preserve">was instrumental in </w:t>
      </w:r>
      <w:r w:rsidR="00DF3F5B" w:rsidRPr="008000EC">
        <w:rPr>
          <w:rFonts w:cs="Times New Roman"/>
          <w:szCs w:val="24"/>
        </w:rPr>
        <w:t xml:space="preserve">making the economic case for </w:t>
      </w:r>
      <w:r w:rsidRPr="008000EC">
        <w:rPr>
          <w:rFonts w:cs="Times New Roman"/>
          <w:szCs w:val="24"/>
        </w:rPr>
        <w:t>Melbourne’s National Economic and Innovation Clusters</w:t>
      </w:r>
      <w:r w:rsidR="003F4A40" w:rsidRPr="008000EC">
        <w:rPr>
          <w:rFonts w:cs="Times New Roman"/>
          <w:szCs w:val="24"/>
        </w:rPr>
        <w:t>, has analysed the extent to which residents of Melbourne’s LGAs are able to capture</w:t>
      </w:r>
      <w:r w:rsidRPr="008000EC">
        <w:rPr>
          <w:rFonts w:cs="Times New Roman"/>
          <w:szCs w:val="24"/>
        </w:rPr>
        <w:t xml:space="preserve"> income from economic activity</w:t>
      </w:r>
      <w:r w:rsidR="00BD0079" w:rsidRPr="008000EC">
        <w:rPr>
          <w:rFonts w:cs="Times New Roman"/>
          <w:szCs w:val="24"/>
        </w:rPr>
        <w:t xml:space="preserve">, comprising: </w:t>
      </w:r>
    </w:p>
    <w:p w:rsidR="001F4FCD" w:rsidRPr="008000EC" w:rsidRDefault="00BD0079" w:rsidP="001F4FCD">
      <w:pPr>
        <w:pStyle w:val="NoSpacing"/>
        <w:numPr>
          <w:ilvl w:val="0"/>
          <w:numId w:val="9"/>
        </w:numPr>
        <w:rPr>
          <w:rFonts w:ascii="Times New Roman" w:hAnsi="Times New Roman" w:cs="Times New Roman"/>
          <w:sz w:val="24"/>
          <w:szCs w:val="24"/>
        </w:rPr>
      </w:pPr>
      <w:r w:rsidRPr="008000EC">
        <w:rPr>
          <w:rFonts w:ascii="Times New Roman" w:hAnsi="Times New Roman" w:cs="Times New Roman"/>
          <w:sz w:val="24"/>
          <w:szCs w:val="24"/>
        </w:rPr>
        <w:t>total wage and salary income received by residents</w:t>
      </w:r>
      <w:r w:rsidR="00F37746">
        <w:rPr>
          <w:rFonts w:ascii="Times New Roman" w:hAnsi="Times New Roman" w:cs="Times New Roman"/>
          <w:sz w:val="24"/>
          <w:szCs w:val="24"/>
        </w:rPr>
        <w:t>,</w:t>
      </w:r>
      <w:r w:rsidRPr="008000EC">
        <w:rPr>
          <w:rFonts w:ascii="Times New Roman" w:hAnsi="Times New Roman" w:cs="Times New Roman"/>
          <w:sz w:val="24"/>
          <w:szCs w:val="24"/>
        </w:rPr>
        <w:t xml:space="preserve"> no matter from what region the work effort takes place </w:t>
      </w:r>
    </w:p>
    <w:p w:rsidR="001F4FCD" w:rsidRPr="008000EC" w:rsidRDefault="00BD0079" w:rsidP="001F4FCD">
      <w:pPr>
        <w:pStyle w:val="NoSpacing"/>
        <w:numPr>
          <w:ilvl w:val="0"/>
          <w:numId w:val="9"/>
        </w:numPr>
        <w:rPr>
          <w:rFonts w:ascii="Times New Roman" w:hAnsi="Times New Roman" w:cs="Times New Roman"/>
          <w:sz w:val="24"/>
          <w:szCs w:val="24"/>
        </w:rPr>
      </w:pPr>
      <w:r w:rsidRPr="008000EC">
        <w:rPr>
          <w:rFonts w:ascii="Times New Roman" w:hAnsi="Times New Roman" w:cs="Times New Roman"/>
          <w:sz w:val="24"/>
          <w:szCs w:val="24"/>
        </w:rPr>
        <w:t xml:space="preserve">mixed income from businesses </w:t>
      </w:r>
    </w:p>
    <w:p w:rsidR="001F4FCD" w:rsidRPr="008000EC" w:rsidRDefault="00BD0079" w:rsidP="001F4FCD">
      <w:pPr>
        <w:pStyle w:val="NoSpacing"/>
        <w:numPr>
          <w:ilvl w:val="0"/>
          <w:numId w:val="9"/>
        </w:numPr>
        <w:rPr>
          <w:rFonts w:ascii="Times New Roman" w:hAnsi="Times New Roman" w:cs="Times New Roman"/>
          <w:sz w:val="24"/>
          <w:szCs w:val="24"/>
        </w:rPr>
      </w:pPr>
      <w:r w:rsidRPr="008000EC">
        <w:rPr>
          <w:rFonts w:ascii="Times New Roman" w:hAnsi="Times New Roman" w:cs="Times New Roman"/>
          <w:sz w:val="24"/>
          <w:szCs w:val="24"/>
        </w:rPr>
        <w:t xml:space="preserve">distribution from value added in the form of interest and dividends received by residents irrespective of the jurisdiction that the value added is generated and </w:t>
      </w:r>
    </w:p>
    <w:p w:rsidR="001F4FCD" w:rsidRPr="008000EC" w:rsidRDefault="00BD0079" w:rsidP="001F4FCD">
      <w:pPr>
        <w:pStyle w:val="NoSpacing"/>
        <w:numPr>
          <w:ilvl w:val="0"/>
          <w:numId w:val="9"/>
        </w:numPr>
        <w:rPr>
          <w:rFonts w:ascii="Times New Roman" w:hAnsi="Times New Roman" w:cs="Times New Roman"/>
          <w:sz w:val="24"/>
          <w:szCs w:val="24"/>
        </w:rPr>
      </w:pPr>
      <w:r w:rsidRPr="008000EC">
        <w:rPr>
          <w:rFonts w:ascii="Times New Roman" w:hAnsi="Times New Roman" w:cs="Times New Roman"/>
          <w:sz w:val="24"/>
          <w:szCs w:val="24"/>
        </w:rPr>
        <w:t>imputed rental income</w:t>
      </w:r>
      <w:r w:rsidR="00F600CA" w:rsidRPr="008000EC">
        <w:rPr>
          <w:rFonts w:ascii="Times New Roman" w:hAnsi="Times New Roman" w:cs="Times New Roman"/>
          <w:sz w:val="24"/>
          <w:szCs w:val="24"/>
        </w:rPr>
        <w:t xml:space="preserve">. </w:t>
      </w:r>
    </w:p>
    <w:p w:rsidR="003F4A40" w:rsidRDefault="00F600CA" w:rsidP="002E5DBA">
      <w:pPr>
        <w:jc w:val="left"/>
        <w:rPr>
          <w:iCs/>
          <w:lang w:val="en-US"/>
        </w:rPr>
      </w:pPr>
      <w:r>
        <w:t>This is</w:t>
      </w:r>
      <w:r w:rsidR="00DF3F5B">
        <w:t xml:space="preserve"> measured by the NIEIR</w:t>
      </w:r>
      <w:r w:rsidR="003F4A40">
        <w:t xml:space="preserve"> estimate of LGA </w:t>
      </w:r>
      <w:r w:rsidR="00C33850">
        <w:t xml:space="preserve">resident </w:t>
      </w:r>
      <w:r w:rsidR="001C397C">
        <w:t>G</w:t>
      </w:r>
      <w:r w:rsidR="00C33850">
        <w:t xml:space="preserve">ross </w:t>
      </w:r>
      <w:r w:rsidR="001C397C">
        <w:t>R</w:t>
      </w:r>
      <w:r w:rsidR="00C33850">
        <w:t xml:space="preserve">egional </w:t>
      </w:r>
      <w:r w:rsidR="001C397C">
        <w:t>P</w:t>
      </w:r>
      <w:r w:rsidR="00C33850">
        <w:t>roduct</w:t>
      </w:r>
      <w:r w:rsidR="003F4A40">
        <w:t xml:space="preserve"> (GRP)</w:t>
      </w:r>
      <w:r w:rsidR="00DF3F5B">
        <w:t xml:space="preserve"> per capita of working age population</w:t>
      </w:r>
      <w:r w:rsidR="00C33850">
        <w:t xml:space="preserve">.  </w:t>
      </w:r>
      <w:r w:rsidR="003F4A40">
        <w:t>Figure 1</w:t>
      </w:r>
      <w:r w:rsidR="0069540A">
        <w:t>a</w:t>
      </w:r>
      <w:r w:rsidR="003F4A40">
        <w:t xml:space="preserve"> shows a striking result: GRP per </w:t>
      </w:r>
      <w:r w:rsidR="00735809">
        <w:t>capita of working age population</w:t>
      </w:r>
      <w:r w:rsidR="003F4A40">
        <w:t xml:space="preserve"> grew more slowly than for Victoria as a whole in every </w:t>
      </w:r>
      <w:r w:rsidR="0069540A">
        <w:t xml:space="preserve">Greater </w:t>
      </w:r>
      <w:r w:rsidR="003F4A40">
        <w:t>Melbourne LGA whose working age popu</w:t>
      </w:r>
      <w:r w:rsidR="00735809">
        <w:t xml:space="preserve">lation increased faster than about 2% </w:t>
      </w:r>
      <w:r w:rsidR="003F4A40">
        <w:lastRenderedPageBreak/>
        <w:t xml:space="preserve">annually, </w:t>
      </w:r>
      <w:r w:rsidR="00735809">
        <w:t xml:space="preserve">on average, </w:t>
      </w:r>
      <w:r w:rsidR="003F4A40">
        <w:t>over the 199</w:t>
      </w:r>
      <w:r w:rsidR="00F37746">
        <w:t>2</w:t>
      </w:r>
      <w:r w:rsidR="003F4A40">
        <w:t>-2017 period. The six fast growing outer suburbs of Cardinia, Casey, Hume, Melton, Whittlesea and Wyndham are all in this group</w:t>
      </w:r>
      <w:r w:rsidR="00C6286A">
        <w:t>,</w:t>
      </w:r>
      <w:r w:rsidR="003F4A40">
        <w:t xml:space="preserve"> whose residents went backwards relative to the state as a whole</w:t>
      </w:r>
      <w:r w:rsidR="00276E51">
        <w:t xml:space="preserve"> in terms of capturing income from economic activity</w:t>
      </w:r>
      <w:r w:rsidR="003F4A40">
        <w:t>. The other LGA in this group is Melbourne, which can be exclude</w:t>
      </w:r>
      <w:r w:rsidR="00735809">
        <w:t xml:space="preserve">d </w:t>
      </w:r>
      <w:r>
        <w:t xml:space="preserve">from this analysis </w:t>
      </w:r>
      <w:r w:rsidR="00735809">
        <w:t xml:space="preserve">because of its high numbers of resident </w:t>
      </w:r>
      <w:r w:rsidR="003F4A40">
        <w:t>student</w:t>
      </w:r>
      <w:r w:rsidR="00735809">
        <w:t>s</w:t>
      </w:r>
      <w:r w:rsidR="00276E51">
        <w:t xml:space="preserve"> of working age</w:t>
      </w:r>
      <w:r w:rsidR="003F4A40">
        <w:t>.</w:t>
      </w:r>
    </w:p>
    <w:p w:rsidR="005440D3" w:rsidRPr="00D045A5" w:rsidRDefault="005440D3" w:rsidP="005440D3">
      <w:pPr>
        <w:jc w:val="left"/>
        <w:rPr>
          <w:iCs/>
          <w:color w:val="1F497D" w:themeColor="text2"/>
          <w:lang w:val="en-US"/>
        </w:rPr>
      </w:pPr>
      <w:r w:rsidRPr="00D045A5">
        <w:rPr>
          <w:b/>
          <w:color w:val="1F497D" w:themeColor="text2"/>
          <w:szCs w:val="24"/>
        </w:rPr>
        <w:t>Figure 1a: Metropolitan Melbourne: Growth in resident gross product per capita of working age population, relative to Victoria as a whole, and average annual working age population growth (1992-2017)</w:t>
      </w:r>
    </w:p>
    <w:p w:rsidR="005440D3" w:rsidRDefault="004F7BAA" w:rsidP="005440D3">
      <w:pPr>
        <w:jc w:val="left"/>
        <w:rPr>
          <w:lang w:val="en-US"/>
        </w:rPr>
      </w:pPr>
      <w:r w:rsidRPr="004F7BAA">
        <w:rPr>
          <w:noProof/>
          <w:lang w:eastAsia="en-AU"/>
        </w:rPr>
        <w:lastRenderedPageBreak/>
        <w:drawing>
          <wp:inline distT="0" distB="0" distL="0" distR="0">
            <wp:extent cx="6127139" cy="3476445"/>
            <wp:effectExtent l="19050" t="0" r="6961"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36033" cy="3481491"/>
                    </a:xfrm>
                    <a:prstGeom prst="rect">
                      <a:avLst/>
                    </a:prstGeom>
                  </pic:spPr>
                </pic:pic>
              </a:graphicData>
            </a:graphic>
          </wp:inline>
        </w:drawing>
      </w:r>
    </w:p>
    <w:p w:rsidR="005440D3" w:rsidRPr="00D045A5" w:rsidRDefault="005440D3" w:rsidP="005440D3">
      <w:pPr>
        <w:jc w:val="left"/>
        <w:rPr>
          <w:iCs/>
          <w:color w:val="1F497D" w:themeColor="text2"/>
          <w:lang w:val="en-US"/>
        </w:rPr>
      </w:pPr>
      <w:r w:rsidRPr="00D045A5">
        <w:rPr>
          <w:b/>
          <w:color w:val="1F497D" w:themeColor="text2"/>
          <w:szCs w:val="24"/>
        </w:rPr>
        <w:t>Figure 1b: Regional Victoria: Growth in resident gross product per capita of working age population, relative to Victoria as a whole, and average annual working age population growth (1992-2017)</w:t>
      </w:r>
    </w:p>
    <w:p w:rsidR="005440D3" w:rsidRDefault="005440D3" w:rsidP="005440D3">
      <w:pPr>
        <w:jc w:val="left"/>
        <w:rPr>
          <w:lang w:val="en-US"/>
        </w:rPr>
      </w:pPr>
      <w:r w:rsidRPr="0069540A">
        <w:rPr>
          <w:noProof/>
          <w:lang w:eastAsia="en-AU"/>
        </w:rPr>
        <w:lastRenderedPageBreak/>
        <w:drawing>
          <wp:inline distT="0" distB="0" distL="0" distR="0">
            <wp:extent cx="5857815" cy="3191773"/>
            <wp:effectExtent l="19050" t="0" r="0" b="0"/>
            <wp:docPr id="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66711" cy="3196620"/>
                    </a:xfrm>
                    <a:prstGeom prst="rect">
                      <a:avLst/>
                    </a:prstGeom>
                  </pic:spPr>
                </pic:pic>
              </a:graphicData>
            </a:graphic>
          </wp:inline>
        </w:drawing>
      </w:r>
    </w:p>
    <w:p w:rsidR="005440D3" w:rsidRPr="003266EE" w:rsidRDefault="005440D3" w:rsidP="005440D3">
      <w:pPr>
        <w:rPr>
          <w:sz w:val="20"/>
          <w:szCs w:val="20"/>
          <w:lang w:val="en-US"/>
        </w:rPr>
      </w:pPr>
      <w:r w:rsidRPr="003266EE">
        <w:rPr>
          <w:sz w:val="20"/>
          <w:szCs w:val="20"/>
          <w:lang w:val="en-US"/>
        </w:rPr>
        <w:t>Source: NIEIR</w:t>
      </w:r>
    </w:p>
    <w:p w:rsidR="00735809" w:rsidRDefault="00735809" w:rsidP="00735809">
      <w:pPr>
        <w:jc w:val="left"/>
        <w:rPr>
          <w:iCs/>
          <w:lang w:val="en-US"/>
        </w:rPr>
      </w:pPr>
      <w:r>
        <w:rPr>
          <w:iCs/>
          <w:lang w:val="en-US"/>
        </w:rPr>
        <w:t xml:space="preserve">This spatial evidence thus suggests that the </w:t>
      </w:r>
      <w:r w:rsidR="00F37746">
        <w:rPr>
          <w:iCs/>
          <w:lang w:val="en-US"/>
        </w:rPr>
        <w:t xml:space="preserve">income generating </w:t>
      </w:r>
      <w:r>
        <w:rPr>
          <w:iCs/>
          <w:lang w:val="en-US"/>
        </w:rPr>
        <w:t>benefits of fast population growth are not trickling down very well to residents in the fast growing LGAs. The location of the rapid population growth within the Greater Melbourne area</w:t>
      </w:r>
      <w:r w:rsidR="00BD0079">
        <w:rPr>
          <w:iCs/>
          <w:lang w:val="en-US"/>
        </w:rPr>
        <w:t>, with such a high share</w:t>
      </w:r>
      <w:r w:rsidR="001F4FCD">
        <w:rPr>
          <w:iCs/>
          <w:lang w:val="en-US"/>
        </w:rPr>
        <w:t xml:space="preserve"> </w:t>
      </w:r>
      <w:r w:rsidR="00BD0079">
        <w:rPr>
          <w:iCs/>
          <w:lang w:val="en-US"/>
        </w:rPr>
        <w:t>of growth being located in areas</w:t>
      </w:r>
      <w:r w:rsidR="001F4FCD">
        <w:rPr>
          <w:iCs/>
          <w:lang w:val="en-US"/>
        </w:rPr>
        <w:t xml:space="preserve"> </w:t>
      </w:r>
      <w:r w:rsidR="00BD0079">
        <w:rPr>
          <w:iCs/>
          <w:lang w:val="en-US"/>
        </w:rPr>
        <w:t xml:space="preserve">where productivity levels </w:t>
      </w:r>
      <w:r w:rsidR="00F37746">
        <w:rPr>
          <w:iCs/>
          <w:lang w:val="en-US"/>
        </w:rPr>
        <w:t xml:space="preserve">and local job availability </w:t>
      </w:r>
      <w:r w:rsidR="00BD0079">
        <w:rPr>
          <w:iCs/>
          <w:lang w:val="en-US"/>
        </w:rPr>
        <w:t>are rel</w:t>
      </w:r>
      <w:r w:rsidR="001F4FCD">
        <w:rPr>
          <w:iCs/>
          <w:lang w:val="en-US"/>
        </w:rPr>
        <w:t>a</w:t>
      </w:r>
      <w:r w:rsidR="00BD0079">
        <w:rPr>
          <w:iCs/>
          <w:lang w:val="en-US"/>
        </w:rPr>
        <w:t>tively low,</w:t>
      </w:r>
      <w:r>
        <w:rPr>
          <w:iCs/>
          <w:lang w:val="en-US"/>
        </w:rPr>
        <w:t xml:space="preserve"> </w:t>
      </w:r>
      <w:r w:rsidR="001F4FCD">
        <w:rPr>
          <w:iCs/>
          <w:lang w:val="en-US"/>
        </w:rPr>
        <w:t>is likely to be holding back productivity growth in the city as a whole.</w:t>
      </w:r>
      <w:r w:rsidRPr="001F4FCD">
        <w:rPr>
          <w:iCs/>
          <w:lang w:val="en-US"/>
        </w:rPr>
        <w:t xml:space="preserve"> </w:t>
      </w:r>
      <w:r w:rsidR="001F4FCD">
        <w:rPr>
          <w:iCs/>
          <w:lang w:val="en-US"/>
        </w:rPr>
        <w:lastRenderedPageBreak/>
        <w:t>This result</w:t>
      </w:r>
      <w:r>
        <w:rPr>
          <w:iCs/>
          <w:lang w:val="en-US"/>
        </w:rPr>
        <w:t xml:space="preserve"> also poses the question of whether a </w:t>
      </w:r>
      <w:r w:rsidR="00F37746">
        <w:rPr>
          <w:iCs/>
          <w:lang w:val="en-US"/>
        </w:rPr>
        <w:t>2-</w:t>
      </w:r>
      <w:r>
        <w:rPr>
          <w:iCs/>
          <w:lang w:val="en-US"/>
        </w:rPr>
        <w:t>3% p.a.</w:t>
      </w:r>
      <w:r w:rsidR="00BD0079">
        <w:rPr>
          <w:iCs/>
          <w:lang w:val="en-US"/>
        </w:rPr>
        <w:t>, or thereabouts,</w:t>
      </w:r>
      <w:r>
        <w:rPr>
          <w:iCs/>
          <w:lang w:val="en-US"/>
        </w:rPr>
        <w:t xml:space="preserve"> LGA population growth rate might be some kind of limiting upper growth rate, in terms of the opportunity for residents to capture income benefits from such </w:t>
      </w:r>
      <w:r w:rsidR="00F600CA">
        <w:rPr>
          <w:iCs/>
          <w:lang w:val="en-US"/>
        </w:rPr>
        <w:t xml:space="preserve">population </w:t>
      </w:r>
      <w:r>
        <w:rPr>
          <w:iCs/>
          <w:lang w:val="en-US"/>
        </w:rPr>
        <w:t>growth</w:t>
      </w:r>
      <w:r w:rsidR="004913C4">
        <w:rPr>
          <w:iCs/>
          <w:lang w:val="en-US"/>
        </w:rPr>
        <w:t xml:space="preserve">, </w:t>
      </w:r>
      <w:r w:rsidR="004913C4" w:rsidRPr="004913C4">
        <w:rPr>
          <w:iCs/>
          <w:lang w:val="en-US"/>
        </w:rPr>
        <w:t xml:space="preserve">especially </w:t>
      </w:r>
      <w:r w:rsidR="004913C4">
        <w:rPr>
          <w:iCs/>
          <w:lang w:val="en-US"/>
        </w:rPr>
        <w:t>where</w:t>
      </w:r>
      <w:r w:rsidR="004913C4" w:rsidRPr="004913C4">
        <w:rPr>
          <w:iCs/>
          <w:lang w:val="en-US"/>
        </w:rPr>
        <w:t xml:space="preserve"> the public authorities are unwilling to increase the capital stock that would enable the faster population growing regions to integrate into the city economy on the same basis as the middle and inner suburbs. The outcome for the regions in the top right hand quadrant of </w:t>
      </w:r>
      <w:r w:rsidR="004913C4">
        <w:rPr>
          <w:iCs/>
          <w:lang w:val="en-US"/>
        </w:rPr>
        <w:t>F</w:t>
      </w:r>
      <w:r w:rsidR="004913C4" w:rsidRPr="004913C4">
        <w:rPr>
          <w:iCs/>
          <w:lang w:val="en-US"/>
        </w:rPr>
        <w:t xml:space="preserve">igure </w:t>
      </w:r>
      <w:r w:rsidR="006E705C">
        <w:rPr>
          <w:iCs/>
          <w:lang w:val="en-US"/>
        </w:rPr>
        <w:t>1a</w:t>
      </w:r>
      <w:r w:rsidR="004913C4">
        <w:rPr>
          <w:iCs/>
          <w:lang w:val="en-US"/>
        </w:rPr>
        <w:t xml:space="preserve"> </w:t>
      </w:r>
      <w:r w:rsidR="004913C4" w:rsidRPr="004913C4">
        <w:rPr>
          <w:iCs/>
          <w:lang w:val="en-US"/>
        </w:rPr>
        <w:t>reflects the degree of relative integration. Inner regions and those middle to out</w:t>
      </w:r>
      <w:r w:rsidR="004913C4">
        <w:rPr>
          <w:iCs/>
          <w:lang w:val="en-US"/>
        </w:rPr>
        <w:t>er regions which are well inte</w:t>
      </w:r>
      <w:r w:rsidR="004913C4" w:rsidRPr="004913C4">
        <w:rPr>
          <w:iCs/>
          <w:lang w:val="en-US"/>
        </w:rPr>
        <w:t>grated with the central business district would be the ones which have a higher growth in relative per capita resident gross product.</w:t>
      </w:r>
    </w:p>
    <w:p w:rsidR="004913C4" w:rsidRPr="004913C4" w:rsidRDefault="004913C4" w:rsidP="004913C4">
      <w:pPr>
        <w:jc w:val="left"/>
        <w:rPr>
          <w:color w:val="auto"/>
          <w:szCs w:val="24"/>
        </w:rPr>
      </w:pPr>
      <w:r w:rsidRPr="004913C4">
        <w:rPr>
          <w:color w:val="auto"/>
          <w:szCs w:val="24"/>
        </w:rPr>
        <w:t xml:space="preserve">In contrast, Figure 1b suggests that increasing population growth in regional Victorian LGAs is likely to improve the relative income capturing potential of such areas. Those regions in the top right hand quadrant would be those regions </w:t>
      </w:r>
      <w:r w:rsidR="00E00F01">
        <w:rPr>
          <w:color w:val="auto"/>
          <w:szCs w:val="24"/>
        </w:rPr>
        <w:t>that</w:t>
      </w:r>
      <w:r w:rsidRPr="004913C4">
        <w:rPr>
          <w:color w:val="auto"/>
          <w:szCs w:val="24"/>
        </w:rPr>
        <w:t xml:space="preserve"> either have scale, good integration with the Melbourne economy or good integration with other regional economies but are constrained in their ability to exploit these advantages by labour force avail</w:t>
      </w:r>
      <w:r w:rsidRPr="004913C4">
        <w:rPr>
          <w:color w:val="auto"/>
          <w:szCs w:val="24"/>
        </w:rPr>
        <w:lastRenderedPageBreak/>
        <w:t>ability.</w:t>
      </w:r>
      <w:r>
        <w:rPr>
          <w:color w:val="auto"/>
          <w:szCs w:val="24"/>
        </w:rPr>
        <w:t xml:space="preserve"> </w:t>
      </w:r>
      <w:r w:rsidR="00E00F01">
        <w:rPr>
          <w:color w:val="auto"/>
          <w:szCs w:val="24"/>
        </w:rPr>
        <w:t>T</w:t>
      </w:r>
      <w:r w:rsidRPr="004913C4">
        <w:rPr>
          <w:color w:val="auto"/>
          <w:szCs w:val="24"/>
        </w:rPr>
        <w:t xml:space="preserve">hose regions in the bottom left hand quadrant of </w:t>
      </w:r>
      <w:r w:rsidR="00E00F01">
        <w:rPr>
          <w:color w:val="auto"/>
          <w:szCs w:val="24"/>
        </w:rPr>
        <w:t>F</w:t>
      </w:r>
      <w:r w:rsidRPr="004913C4">
        <w:rPr>
          <w:color w:val="auto"/>
          <w:szCs w:val="24"/>
        </w:rPr>
        <w:t xml:space="preserve">igure </w:t>
      </w:r>
      <w:r w:rsidR="00E00F01">
        <w:rPr>
          <w:color w:val="auto"/>
          <w:szCs w:val="24"/>
        </w:rPr>
        <w:t xml:space="preserve">1b </w:t>
      </w:r>
      <w:r w:rsidRPr="004913C4">
        <w:rPr>
          <w:color w:val="auto"/>
          <w:szCs w:val="24"/>
        </w:rPr>
        <w:t>would be those regions where population levels are below the threshold required for a functioning economy. That is</w:t>
      </w:r>
      <w:r w:rsidR="00E00F01">
        <w:rPr>
          <w:color w:val="auto"/>
          <w:szCs w:val="24"/>
        </w:rPr>
        <w:t>,</w:t>
      </w:r>
      <w:r w:rsidRPr="004913C4">
        <w:rPr>
          <w:color w:val="auto"/>
          <w:szCs w:val="24"/>
        </w:rPr>
        <w:t xml:space="preserve"> the thresholds required for minimum levels of education, health, community, and governance resources.</w:t>
      </w:r>
    </w:p>
    <w:p w:rsidR="004913C4" w:rsidRPr="004913C4" w:rsidRDefault="004913C4" w:rsidP="004913C4">
      <w:pPr>
        <w:jc w:val="left"/>
        <w:rPr>
          <w:color w:val="auto"/>
          <w:szCs w:val="24"/>
        </w:rPr>
      </w:pPr>
      <w:r w:rsidRPr="004913C4">
        <w:rPr>
          <w:color w:val="auto"/>
          <w:szCs w:val="24"/>
        </w:rPr>
        <w:t>The strong message from the two figures</w:t>
      </w:r>
      <w:r w:rsidR="006E705C">
        <w:rPr>
          <w:color w:val="auto"/>
          <w:szCs w:val="24"/>
        </w:rPr>
        <w:t>, and associated infrastructure spending,</w:t>
      </w:r>
      <w:r w:rsidRPr="004913C4">
        <w:rPr>
          <w:color w:val="auto"/>
          <w:szCs w:val="24"/>
        </w:rPr>
        <w:t xml:space="preserve"> is that</w:t>
      </w:r>
      <w:r w:rsidR="006E705C">
        <w:rPr>
          <w:color w:val="auto"/>
          <w:szCs w:val="24"/>
        </w:rPr>
        <w:t xml:space="preserve"> the Melbourne region has had </w:t>
      </w:r>
      <w:r w:rsidRPr="004913C4">
        <w:rPr>
          <w:color w:val="auto"/>
          <w:szCs w:val="24"/>
        </w:rPr>
        <w:t>t</w:t>
      </w:r>
      <w:r w:rsidR="00E00F01">
        <w:rPr>
          <w:color w:val="auto"/>
          <w:szCs w:val="24"/>
        </w:rPr>
        <w:t>oo</w:t>
      </w:r>
      <w:r w:rsidRPr="004913C4">
        <w:rPr>
          <w:color w:val="auto"/>
          <w:szCs w:val="24"/>
        </w:rPr>
        <w:t xml:space="preserve"> high</w:t>
      </w:r>
      <w:r w:rsidR="00E00F01">
        <w:rPr>
          <w:color w:val="auto"/>
          <w:szCs w:val="24"/>
        </w:rPr>
        <w:t xml:space="preserve"> a </w:t>
      </w:r>
      <w:r w:rsidRPr="004913C4">
        <w:rPr>
          <w:color w:val="auto"/>
          <w:szCs w:val="24"/>
        </w:rPr>
        <w:t xml:space="preserve">population growth </w:t>
      </w:r>
      <w:r w:rsidR="006E705C">
        <w:rPr>
          <w:color w:val="auto"/>
          <w:szCs w:val="24"/>
        </w:rPr>
        <w:t xml:space="preserve">rate </w:t>
      </w:r>
      <w:r w:rsidRPr="004913C4">
        <w:rPr>
          <w:color w:val="auto"/>
          <w:szCs w:val="24"/>
        </w:rPr>
        <w:t>over the last 25 years</w:t>
      </w:r>
      <w:r w:rsidR="00E00F01">
        <w:rPr>
          <w:color w:val="auto"/>
          <w:szCs w:val="24"/>
        </w:rPr>
        <w:t>,</w:t>
      </w:r>
      <w:r w:rsidRPr="004913C4">
        <w:rPr>
          <w:color w:val="auto"/>
          <w:szCs w:val="24"/>
        </w:rPr>
        <w:t xml:space="preserve"> while regional Victoria has had to</w:t>
      </w:r>
      <w:r w:rsidR="00E00F01">
        <w:rPr>
          <w:color w:val="auto"/>
          <w:szCs w:val="24"/>
        </w:rPr>
        <w:t>o</w:t>
      </w:r>
      <w:r w:rsidRPr="004913C4">
        <w:rPr>
          <w:color w:val="auto"/>
          <w:szCs w:val="24"/>
        </w:rPr>
        <w:t xml:space="preserve"> low </w:t>
      </w:r>
      <w:r w:rsidR="00E00F01">
        <w:rPr>
          <w:color w:val="auto"/>
          <w:szCs w:val="24"/>
        </w:rPr>
        <w:t xml:space="preserve">a </w:t>
      </w:r>
      <w:r w:rsidRPr="004913C4">
        <w:rPr>
          <w:color w:val="auto"/>
          <w:szCs w:val="24"/>
        </w:rPr>
        <w:t>population g</w:t>
      </w:r>
      <w:r w:rsidR="006E705C">
        <w:rPr>
          <w:color w:val="auto"/>
          <w:szCs w:val="24"/>
        </w:rPr>
        <w:t>rowth to maximise overall gross</w:t>
      </w:r>
      <w:r w:rsidRPr="004913C4">
        <w:rPr>
          <w:color w:val="auto"/>
          <w:szCs w:val="24"/>
        </w:rPr>
        <w:t xml:space="preserve"> state product per capita.</w:t>
      </w:r>
      <w:r w:rsidR="00E00F01">
        <w:rPr>
          <w:color w:val="auto"/>
          <w:szCs w:val="24"/>
        </w:rPr>
        <w:t xml:space="preserve"> </w:t>
      </w:r>
      <w:r w:rsidRPr="004913C4">
        <w:rPr>
          <w:color w:val="auto"/>
          <w:szCs w:val="24"/>
        </w:rPr>
        <w:t xml:space="preserve">Stage 2 of this project will explore the implications of this different experience between metropolitan and non-metropolitan Victoria in more detail. </w:t>
      </w:r>
    </w:p>
    <w:p w:rsidR="005440D3" w:rsidRDefault="005440D3" w:rsidP="00D045A5">
      <w:pPr>
        <w:pStyle w:val="Heading1"/>
        <w:rPr>
          <w:lang w:val="en-US"/>
        </w:rPr>
      </w:pPr>
      <w:bookmarkStart w:id="4" w:name="_Toc532983532"/>
      <w:r>
        <w:rPr>
          <w:lang w:val="en-US"/>
        </w:rPr>
        <w:t>4.</w:t>
      </w:r>
      <w:r>
        <w:rPr>
          <w:lang w:val="en-US"/>
        </w:rPr>
        <w:tab/>
        <w:t>What about social outcomes?</w:t>
      </w:r>
      <w:bookmarkEnd w:id="4"/>
    </w:p>
    <w:p w:rsidR="005440D3" w:rsidRDefault="005440D3" w:rsidP="005440D3">
      <w:pPr>
        <w:jc w:val="left"/>
        <w:rPr>
          <w:lang w:val="en-US"/>
        </w:rPr>
      </w:pPr>
      <w:r>
        <w:rPr>
          <w:lang w:val="en-US"/>
        </w:rPr>
        <w:t>Previous work by the authors has developed a model of associations (at 1% statistical significance) that comprise the drivers of good social outcomes, seen as social inclusion and wellbeing (Stanley et al. 2012, Stanley et al. 2017). These drivers can be viewed simply as:</w:t>
      </w:r>
    </w:p>
    <w:p w:rsidR="005440D3" w:rsidRPr="001867E4" w:rsidRDefault="005440D3" w:rsidP="005440D3">
      <w:pPr>
        <w:pStyle w:val="ListParagraph"/>
        <w:numPr>
          <w:ilvl w:val="0"/>
          <w:numId w:val="8"/>
        </w:numPr>
        <w:jc w:val="left"/>
      </w:pPr>
      <w:r>
        <w:rPr>
          <w:lang w:val="en-US"/>
        </w:rPr>
        <w:lastRenderedPageBreak/>
        <w:t>h</w:t>
      </w:r>
      <w:r w:rsidRPr="00EA0B49">
        <w:rPr>
          <w:lang w:val="en-US"/>
        </w:rPr>
        <w:t>aving sufficient income (by implication, education and work)</w:t>
      </w:r>
    </w:p>
    <w:p w:rsidR="005440D3" w:rsidRPr="001867E4" w:rsidRDefault="005440D3" w:rsidP="005440D3">
      <w:pPr>
        <w:pStyle w:val="ListParagraph"/>
        <w:numPr>
          <w:ilvl w:val="0"/>
          <w:numId w:val="8"/>
        </w:numPr>
        <w:jc w:val="left"/>
      </w:pPr>
      <w:r>
        <w:rPr>
          <w:lang w:val="en-US"/>
        </w:rPr>
        <w:t>h</w:t>
      </w:r>
      <w:r w:rsidRPr="00EA0B49">
        <w:rPr>
          <w:lang w:val="en-US"/>
        </w:rPr>
        <w:t>aving accessibility (transport)</w:t>
      </w:r>
    </w:p>
    <w:p w:rsidR="005440D3" w:rsidRPr="001867E4" w:rsidRDefault="005440D3" w:rsidP="005440D3">
      <w:pPr>
        <w:pStyle w:val="ListParagraph"/>
        <w:numPr>
          <w:ilvl w:val="0"/>
          <w:numId w:val="8"/>
        </w:numPr>
        <w:jc w:val="left"/>
      </w:pPr>
      <w:r>
        <w:rPr>
          <w:lang w:val="en-US"/>
        </w:rPr>
        <w:t>h</w:t>
      </w:r>
      <w:r w:rsidRPr="00EA0B49">
        <w:rPr>
          <w:lang w:val="en-US"/>
        </w:rPr>
        <w:t xml:space="preserve">aving personal relationships and connections (social capital </w:t>
      </w:r>
      <w:r w:rsidRPr="00EA0B49">
        <w:rPr>
          <w:lang w:val="mr-IN"/>
        </w:rPr>
        <w:t>–</w:t>
      </w:r>
      <w:r w:rsidRPr="00EA0B49">
        <w:rPr>
          <w:lang w:val="en-US"/>
        </w:rPr>
        <w:t xml:space="preserve"> networks, trust)</w:t>
      </w:r>
    </w:p>
    <w:p w:rsidR="005440D3" w:rsidRPr="001867E4" w:rsidRDefault="005440D3" w:rsidP="005440D3">
      <w:pPr>
        <w:pStyle w:val="ListParagraph"/>
        <w:numPr>
          <w:ilvl w:val="0"/>
          <w:numId w:val="8"/>
        </w:numPr>
        <w:jc w:val="left"/>
      </w:pPr>
      <w:r>
        <w:rPr>
          <w:lang w:val="en-US"/>
        </w:rPr>
        <w:t>f</w:t>
      </w:r>
      <w:r w:rsidRPr="00EA0B49">
        <w:rPr>
          <w:lang w:val="en-US"/>
        </w:rPr>
        <w:t>eeling good about yourself (such as self-esteem, confidence)</w:t>
      </w:r>
      <w:r>
        <w:rPr>
          <w:lang w:val="en-US"/>
        </w:rPr>
        <w:t xml:space="preserve"> and</w:t>
      </w:r>
    </w:p>
    <w:p w:rsidR="005440D3" w:rsidRPr="001867E4" w:rsidRDefault="005440D3" w:rsidP="005440D3">
      <w:pPr>
        <w:pStyle w:val="ListParagraph"/>
        <w:numPr>
          <w:ilvl w:val="0"/>
          <w:numId w:val="8"/>
        </w:numPr>
        <w:jc w:val="left"/>
      </w:pPr>
      <w:r>
        <w:rPr>
          <w:lang w:val="en-US"/>
        </w:rPr>
        <w:t>h</w:t>
      </w:r>
      <w:r w:rsidRPr="00EA0B49">
        <w:rPr>
          <w:lang w:val="en-US"/>
        </w:rPr>
        <w:t>aving control over your personal environment (such as capabilities to make choices, problem solve)</w:t>
      </w:r>
      <w:r>
        <w:rPr>
          <w:lang w:val="en-US"/>
        </w:rPr>
        <w:t>.</w:t>
      </w:r>
    </w:p>
    <w:p w:rsidR="00EA0B49" w:rsidRPr="006209EE" w:rsidRDefault="00EA0B49" w:rsidP="00EA0B49">
      <w:pPr>
        <w:jc w:val="left"/>
      </w:pPr>
      <w:r>
        <w:rPr>
          <w:rFonts w:eastAsia="Times New Roman" w:cs="Times New Roman"/>
        </w:rPr>
        <w:t>‘Sufficient’ levels of these indicators will improve the social inclusion, wellbeing and health of individuals. This in turn impacts</w:t>
      </w:r>
      <w:r>
        <w:t xml:space="preserve"> </w:t>
      </w:r>
      <w:r>
        <w:rPr>
          <w:rFonts w:eastAsia="Times New Roman" w:cs="Times New Roman"/>
        </w:rPr>
        <w:t xml:space="preserve">on the ability of individuals to work and be productive. A productive community reduces the need for societal expenses in areas of welfare payments and support, health services and the negative outcomes for society in terms of crimes, anti-social behaviour, substance abuse, family violence and loss of hope and belief in the capacity to change circumstances. This also has considerable implications about the commonly discussed concept of resilience, the ability to recover from an </w:t>
      </w:r>
      <w:r>
        <w:rPr>
          <w:rFonts w:eastAsia="Times New Roman" w:cs="Times New Roman"/>
        </w:rPr>
        <w:lastRenderedPageBreak/>
        <w:t xml:space="preserve">adverse event such as a natural disaster. The lower a person’s resources (personal capacity, community and structural options), the less resilient they will be to recover from set-backs. </w:t>
      </w:r>
      <w:r w:rsidR="001F4FCD">
        <w:rPr>
          <w:rFonts w:eastAsia="Times New Roman" w:cs="Times New Roman"/>
        </w:rPr>
        <w:t>Also</w:t>
      </w:r>
      <w:r>
        <w:rPr>
          <w:rFonts w:eastAsia="Times New Roman" w:cs="Times New Roman"/>
        </w:rPr>
        <w:t>, research by Wilkinson and Pickett (2011) has shown that the greater the inequality present, the greater the adverse impact on all people, both rich and poor. I</w:t>
      </w:r>
      <w:r w:rsidRPr="00826CD3">
        <w:rPr>
          <w:rFonts w:eastAsia="Times New Roman" w:cs="Times New Roman"/>
        </w:rPr>
        <w:t xml:space="preserve">nequity has </w:t>
      </w:r>
      <w:r>
        <w:rPr>
          <w:rFonts w:eastAsia="Times New Roman" w:cs="Times New Roman"/>
        </w:rPr>
        <w:t>the effect of eroding trust and community life, as well as</w:t>
      </w:r>
      <w:r w:rsidRPr="00826CD3">
        <w:rPr>
          <w:rFonts w:eastAsia="Times New Roman" w:cs="Times New Roman"/>
        </w:rPr>
        <w:t xml:space="preserve"> increasing </w:t>
      </w:r>
      <w:r>
        <w:rPr>
          <w:rFonts w:eastAsia="Times New Roman" w:cs="Times New Roman"/>
        </w:rPr>
        <w:t>problems in relation to physical and mental health, drug abuse education, crime, obesity, social mobility, violence, teenage pregnancies and child wellbeing.</w:t>
      </w:r>
    </w:p>
    <w:p w:rsidR="00FD0999" w:rsidRDefault="00EA0B49" w:rsidP="003D474C">
      <w:pPr>
        <w:jc w:val="left"/>
      </w:pPr>
      <w:r w:rsidRPr="00327A42">
        <w:t>A range of indicators</w:t>
      </w:r>
      <w:r>
        <w:t xml:space="preserve"> can be used to suggest how rapid population growth might impact social outcomes. This is illustrated in this paper using indicators of child development vulnerability, youth unemployment, social capital, access to public open space and natural areas, together with data on obesity and heart disease.</w:t>
      </w:r>
    </w:p>
    <w:p w:rsidR="006A4CE2" w:rsidRDefault="00FD0999" w:rsidP="006209EE">
      <w:pPr>
        <w:jc w:val="left"/>
      </w:pPr>
      <w:r w:rsidRPr="00FD0999">
        <w:t>The Australian Early Development Census (</w:t>
      </w:r>
      <w:r>
        <w:t xml:space="preserve">Australian Government 2016) reports </w:t>
      </w:r>
      <w:r w:rsidRPr="00FD0999">
        <w:t>the percent</w:t>
      </w:r>
      <w:r w:rsidR="00A27D12">
        <w:t>age of children who, on school entry,</w:t>
      </w:r>
      <w:r w:rsidRPr="00FD0999">
        <w:t xml:space="preserve"> have reached the developmental milestones of: physical health and wellbeing; social competence; emotional maturity; language and </w:t>
      </w:r>
      <w:r w:rsidRPr="00FD0999">
        <w:lastRenderedPageBreak/>
        <w:t>cognitive skills; and communication skills and general knowledge. The Australian average sits at 22.0</w:t>
      </w:r>
      <w:r>
        <w:t xml:space="preserve">% </w:t>
      </w:r>
      <w:r w:rsidRPr="00FD0999">
        <w:t>of children having one or more developmental delays on reaching school age, the comparable Victorian rate being 19.9</w:t>
      </w:r>
      <w:r>
        <w:t>% (</w:t>
      </w:r>
      <w:r w:rsidRPr="00FD0999">
        <w:t>2015</w:t>
      </w:r>
      <w:r>
        <w:t>). Figure 2</w:t>
      </w:r>
      <w:r w:rsidRPr="00FD0999">
        <w:t xml:space="preserve"> shows the proportion of children with one or more developmental vulnerabilities in each met</w:t>
      </w:r>
      <w:r>
        <w:t>ropolitan Melbourne LGA. Three significant i</w:t>
      </w:r>
      <w:r w:rsidRPr="00FD0999">
        <w:t xml:space="preserve">ndustrial areas </w:t>
      </w:r>
      <w:r>
        <w:t xml:space="preserve">(Greater Dandenong, Brimbank and Hume) </w:t>
      </w:r>
      <w:r w:rsidRPr="00FD0999">
        <w:t>have the highest proportions, all exceeding 25</w:t>
      </w:r>
      <w:r w:rsidR="00E43D6A">
        <w:t>%</w:t>
      </w:r>
      <w:r w:rsidRPr="00FD0999">
        <w:t>. A number of rapidly growing outer growth areas are close behind</w:t>
      </w:r>
      <w:r w:rsidR="009E0BE2">
        <w:t xml:space="preserve">: </w:t>
      </w:r>
      <w:r w:rsidRPr="00FD0999">
        <w:t>Wyndham, Casey, Melton, Whittlesea and Cardinia, all exceeding the state average, suggesting lags in service provision under growth pressures</w:t>
      </w:r>
      <w:r w:rsidR="003E7163">
        <w:t>, probably exacerbated by multiple disadvantages experienced by some residents.</w:t>
      </w:r>
      <w:r w:rsidRPr="00FD0999">
        <w:t xml:space="preserve"> Yarra also exceeds 25</w:t>
      </w:r>
      <w:r w:rsidR="003E7163">
        <w:t>%</w:t>
      </w:r>
      <w:r w:rsidRPr="00FD0999">
        <w:t>, with Melbourne close, at 23.5</w:t>
      </w:r>
      <w:r w:rsidR="003E7163">
        <w:t>%</w:t>
      </w:r>
      <w:r w:rsidRPr="00FD0999">
        <w:t>. Old inner/middle eastern/southern LGAs typically are at the low end of the scale, with Bayside, Nillumbik and Boroondara having the lowest proportions vulnerable on one or more domains.</w:t>
      </w:r>
    </w:p>
    <w:p w:rsidR="00620174" w:rsidRPr="00FD0999" w:rsidRDefault="00FD0999" w:rsidP="00FD0999">
      <w:pPr>
        <w:jc w:val="left"/>
        <w:rPr>
          <w:b/>
        </w:rPr>
      </w:pPr>
      <w:r w:rsidRPr="00FD0999">
        <w:rPr>
          <w:b/>
          <w:color w:val="244061" w:themeColor="accent1" w:themeShade="80"/>
          <w:szCs w:val="24"/>
        </w:rPr>
        <w:t xml:space="preserve">Figure 2: </w:t>
      </w:r>
      <w:r w:rsidR="00620174" w:rsidRPr="00FD0999">
        <w:rPr>
          <w:b/>
          <w:color w:val="244061" w:themeColor="accent1" w:themeShade="80"/>
          <w:szCs w:val="24"/>
        </w:rPr>
        <w:t>Child development vulnerability on one or more domains (%)</w:t>
      </w:r>
    </w:p>
    <w:p w:rsidR="00315A02" w:rsidRPr="00315A02" w:rsidRDefault="00620174" w:rsidP="00315A02">
      <w:r w:rsidRPr="00475CD0">
        <w:rPr>
          <w:noProof/>
          <w:lang w:eastAsia="en-AU"/>
        </w:rPr>
        <w:lastRenderedPageBreak/>
        <w:drawing>
          <wp:inline distT="0" distB="0" distL="0" distR="0">
            <wp:extent cx="5702060" cy="3252159"/>
            <wp:effectExtent l="0" t="0" r="0" b="0"/>
            <wp:docPr id="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A4CE2" w:rsidRPr="003266EE" w:rsidRDefault="00414D24" w:rsidP="006209EE">
      <w:pPr>
        <w:jc w:val="left"/>
        <w:rPr>
          <w:color w:val="auto"/>
          <w:sz w:val="20"/>
          <w:szCs w:val="20"/>
        </w:rPr>
      </w:pPr>
      <w:r>
        <w:rPr>
          <w:color w:val="auto"/>
          <w:sz w:val="20"/>
          <w:szCs w:val="20"/>
        </w:rPr>
        <w:t>Source: Australian Gover</w:t>
      </w:r>
      <w:r w:rsidR="006A4CE2" w:rsidRPr="003266EE">
        <w:rPr>
          <w:color w:val="auto"/>
          <w:sz w:val="20"/>
          <w:szCs w:val="20"/>
        </w:rPr>
        <w:t>nment (2016)</w:t>
      </w:r>
    </w:p>
    <w:p w:rsidR="00907D9E" w:rsidRPr="00907D9E" w:rsidRDefault="00907D9E" w:rsidP="006209EE">
      <w:pPr>
        <w:jc w:val="left"/>
      </w:pPr>
      <w:r w:rsidRPr="00A27D12">
        <w:rPr>
          <w:color w:val="auto"/>
        </w:rPr>
        <w:t>Figure 3 shows youth (15 to 19 year old) unemployment rates by LGA. The City</w:t>
      </w:r>
      <w:r w:rsidRPr="00907D9E">
        <w:t xml:space="preserve"> of Melbourne has the highest rate, at over 25</w:t>
      </w:r>
      <w:r>
        <w:t xml:space="preserve">% </w:t>
      </w:r>
      <w:r w:rsidRPr="00907D9E">
        <w:t>(possibly due to the high student population), with 15 LGAs then having rates between around 15-20</w:t>
      </w:r>
      <w:r>
        <w:t xml:space="preserve">% </w:t>
      </w:r>
      <w:r w:rsidRPr="00907D9E">
        <w:t xml:space="preserve">and a further 15 being between </w:t>
      </w:r>
      <w:r w:rsidRPr="00907D9E">
        <w:lastRenderedPageBreak/>
        <w:t>10-14.5</w:t>
      </w:r>
      <w:r>
        <w:t>%</w:t>
      </w:r>
      <w:r w:rsidRPr="00907D9E">
        <w:t>. The second group (15-20</w:t>
      </w:r>
      <w:r>
        <w:t>%</w:t>
      </w:r>
      <w:r w:rsidRPr="00907D9E">
        <w:t>) are largely outer urban LGAs and/or older industrial areas (</w:t>
      </w:r>
      <w:r w:rsidR="005F26D5">
        <w:t xml:space="preserve">for example, </w:t>
      </w:r>
      <w:r w:rsidRPr="00907D9E">
        <w:t>it includes Greater Dandenong, Brimbank, Wyndham, Maribyrnong, Hume, Melton and Casey). Inner suburbs, apart from Melbourne, tend to be at the lower end of the range (</w:t>
      </w:r>
      <w:r w:rsidR="005F26D5">
        <w:t>for example,</w:t>
      </w:r>
      <w:r w:rsidRPr="00907D9E">
        <w:t xml:space="preserve"> Port Phillip, Yarra, Stonnington and Bayside), although Glen Eira is mid-range. </w:t>
      </w:r>
    </w:p>
    <w:p w:rsidR="00AF722B" w:rsidRDefault="006750AD" w:rsidP="00AF722B">
      <w:pPr>
        <w:jc w:val="left"/>
        <w:rPr>
          <w:lang w:val="en-US"/>
        </w:rPr>
      </w:pPr>
      <w:r>
        <w:t>Figure 3</w:t>
      </w:r>
      <w:r w:rsidR="00907D9E" w:rsidRPr="00907D9E">
        <w:t xml:space="preserve"> does not include the levels of under-employment, nor disengagement from education and searching for work. In February 2017, the under-employment rate for youth aged 15 to 24 years of age sat at about 18% (Vandenbroek 2017). </w:t>
      </w:r>
      <w:r w:rsidR="00AF722B">
        <w:rPr>
          <w:lang w:val="en-US"/>
        </w:rPr>
        <w:t xml:space="preserve">The signs that early child development is at risk for some children, with the resultant outcome of early school leaving and high levels of youth unemployment on Melbourne’s fringe, offers at least a partial explanation for resultant social problems of crime and poor mental health present, particularly in youth. It would seem that the current trends will be passing many of these social costs onto future generations. The recently announced proposals on three year old pre-school are welcome in this regard. Hopefully those families without a car </w:t>
      </w:r>
      <w:r w:rsidR="00F37746">
        <w:rPr>
          <w:lang w:val="en-US"/>
        </w:rPr>
        <w:t>will be</w:t>
      </w:r>
      <w:r w:rsidR="00AF722B">
        <w:rPr>
          <w:lang w:val="en-US"/>
        </w:rPr>
        <w:t xml:space="preserve"> able </w:t>
      </w:r>
      <w:r w:rsidR="00AF722B">
        <w:rPr>
          <w:lang w:val="en-US"/>
        </w:rPr>
        <w:lastRenderedPageBreak/>
        <w:t>to access this opportunity</w:t>
      </w:r>
      <w:r w:rsidR="00F37746">
        <w:rPr>
          <w:lang w:val="en-US"/>
        </w:rPr>
        <w:t>, underlining the importance of timely provision of local bus services in growth suburbs</w:t>
      </w:r>
      <w:r w:rsidR="00AF722B">
        <w:rPr>
          <w:lang w:val="en-US"/>
        </w:rPr>
        <w:t>.</w:t>
      </w:r>
    </w:p>
    <w:p w:rsidR="008559F5" w:rsidRDefault="008559F5">
      <w:pPr>
        <w:spacing w:before="240" w:after="240"/>
        <w:jc w:val="left"/>
        <w:rPr>
          <w:b/>
          <w:color w:val="1F497D" w:themeColor="text2"/>
        </w:rPr>
      </w:pPr>
      <w:r>
        <w:rPr>
          <w:b/>
          <w:color w:val="1F497D" w:themeColor="text2"/>
        </w:rPr>
        <w:br w:type="page"/>
      </w:r>
    </w:p>
    <w:p w:rsidR="00620174" w:rsidRPr="00D045A5" w:rsidRDefault="00907D9E" w:rsidP="00D045A5">
      <w:pPr>
        <w:rPr>
          <w:b/>
          <w:color w:val="1F497D" w:themeColor="text2"/>
          <w:lang w:val="en-US"/>
        </w:rPr>
      </w:pPr>
      <w:r w:rsidRPr="00D045A5">
        <w:rPr>
          <w:b/>
          <w:color w:val="1F497D" w:themeColor="text2"/>
        </w:rPr>
        <w:lastRenderedPageBreak/>
        <w:t xml:space="preserve">Figure 3: </w:t>
      </w:r>
      <w:r w:rsidR="00620174" w:rsidRPr="00D045A5">
        <w:rPr>
          <w:b/>
          <w:color w:val="1F497D" w:themeColor="text2"/>
        </w:rPr>
        <w:t>Youth (15-19 year old) unemployment rates by LGA</w:t>
      </w:r>
    </w:p>
    <w:p w:rsidR="00620174" w:rsidRDefault="00620174" w:rsidP="002E5DBA">
      <w:pPr>
        <w:pStyle w:val="Heading2"/>
        <w:jc w:val="left"/>
        <w:rPr>
          <w:lang w:val="en-US"/>
        </w:rPr>
      </w:pPr>
      <w:r w:rsidRPr="00475CD0">
        <w:rPr>
          <w:noProof/>
          <w:lang w:eastAsia="en-AU"/>
        </w:rPr>
        <w:drawing>
          <wp:inline distT="0" distB="0" distL="0" distR="0">
            <wp:extent cx="5727940" cy="3045124"/>
            <wp:effectExtent l="0" t="0" r="0" b="0"/>
            <wp:docPr id="2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20174" w:rsidRPr="003266EE" w:rsidRDefault="006A4CE2" w:rsidP="003266EE">
      <w:pPr>
        <w:widowControl w:val="0"/>
        <w:autoSpaceDE w:val="0"/>
        <w:autoSpaceDN w:val="0"/>
        <w:adjustRightInd w:val="0"/>
        <w:spacing w:before="0" w:after="240" w:line="260" w:lineRule="atLeast"/>
        <w:jc w:val="left"/>
        <w:rPr>
          <w:rFonts w:eastAsiaTheme="minorHAnsi" w:cs="Times New Roman"/>
          <w:sz w:val="20"/>
          <w:szCs w:val="20"/>
          <w:lang w:val="en-US"/>
        </w:rPr>
      </w:pPr>
      <w:r w:rsidRPr="003266EE">
        <w:rPr>
          <w:rFonts w:cs="Times New Roman"/>
          <w:sz w:val="20"/>
          <w:szCs w:val="20"/>
        </w:rPr>
        <w:t xml:space="preserve">Source: </w:t>
      </w:r>
      <w:r w:rsidRPr="003266EE">
        <w:rPr>
          <w:rFonts w:eastAsiaTheme="minorHAnsi" w:cs="Times New Roman"/>
          <w:sz w:val="20"/>
          <w:szCs w:val="20"/>
          <w:lang w:val="en-US"/>
        </w:rPr>
        <w:t>https://www2.health.vic.gov.au/about/reporting-planning-data/gis-and-planning</w:t>
      </w:r>
      <w:r w:rsidR="003266EE" w:rsidRPr="003266EE">
        <w:rPr>
          <w:rFonts w:eastAsiaTheme="minorHAnsi" w:cs="Times New Roman"/>
          <w:sz w:val="20"/>
          <w:szCs w:val="20"/>
          <w:lang w:val="en-US"/>
        </w:rPr>
        <w:t>-products/geographical-profiles</w:t>
      </w:r>
      <w:r w:rsidRPr="003266EE">
        <w:rPr>
          <w:rFonts w:eastAsiaTheme="minorHAnsi" w:cs="Times New Roman"/>
          <w:sz w:val="20"/>
          <w:szCs w:val="20"/>
          <w:lang w:val="en-US"/>
        </w:rPr>
        <w:t xml:space="preserve">. </w:t>
      </w:r>
    </w:p>
    <w:p w:rsidR="00097C33" w:rsidRDefault="00097C33" w:rsidP="00097C33">
      <w:pPr>
        <w:jc w:val="left"/>
      </w:pPr>
      <w:r>
        <w:t xml:space="preserve">Positive social interactions are repeatedly shown in research as being of great importance in establishing wellbeing, health and productivity. For example Holt-Lunstad et al. (2010) show that good social relationships are as important for risk of mortality as many </w:t>
      </w:r>
      <w:r>
        <w:lastRenderedPageBreak/>
        <w:t>other well-established health risk factors. Recent work has shown that social connectedness also can act as a ‘social cure’ for psychological ill-health (Saeri et al. 2018). While social capital is a multi-faceted concept, it is illustrated here through the measurement of ‘trust’.</w:t>
      </w:r>
    </w:p>
    <w:p w:rsidR="006209EE" w:rsidRDefault="006209EE" w:rsidP="008000EC">
      <w:pPr>
        <w:jc w:val="left"/>
      </w:pPr>
      <w:r>
        <w:t xml:space="preserve">Figure 4 illustrates the proportion of LGA residents who think that most people in general can be trusted. </w:t>
      </w:r>
      <w:r w:rsidRPr="00475CD0">
        <w:t xml:space="preserve">Growth suburbs tend to occupy the lower rankings on this scale, with Whittlesea, Melton, Casey and Wyndham all being among the lowest </w:t>
      </w:r>
      <w:r w:rsidR="00097C33">
        <w:t>seven</w:t>
      </w:r>
      <w:r w:rsidR="00097C33" w:rsidRPr="00475CD0">
        <w:t xml:space="preserve"> </w:t>
      </w:r>
      <w:r w:rsidRPr="00475CD0">
        <w:t>ranking LGAs. Greater Dandenong, Brimbank and Maribyrnong are also at the low end of the scale.</w:t>
      </w:r>
      <w:r>
        <w:t xml:space="preserve"> </w:t>
      </w:r>
      <w:r w:rsidRPr="006209EE">
        <w:t>A significant correlation was found between trust of others in general at LGA level and the follow</w:t>
      </w:r>
      <w:r w:rsidR="005B003D">
        <w:t>ing variables: LGA productivity (r=.544 p=.001)</w:t>
      </w:r>
      <w:r w:rsidR="003A53AA">
        <w:rPr>
          <w:rStyle w:val="FootnoteReference"/>
        </w:rPr>
        <w:footnoteReference w:id="1"/>
      </w:r>
      <w:r w:rsidR="005B003D">
        <w:t xml:space="preserve">; </w:t>
      </w:r>
      <w:r w:rsidRPr="006209EE">
        <w:t>the proportion of those aged 15 or more who hold a bache</w:t>
      </w:r>
      <w:r w:rsidR="005B003D">
        <w:t>lor’s degree, or higher (r=.633</w:t>
      </w:r>
      <w:r w:rsidRPr="006209EE">
        <w:t xml:space="preserve"> p=.000); the proportion </w:t>
      </w:r>
      <w:r w:rsidRPr="006209EE">
        <w:lastRenderedPageBreak/>
        <w:t xml:space="preserve">of LGA </w:t>
      </w:r>
      <w:r w:rsidR="005B003D">
        <w:t>jobs that are high tech (r=.360</w:t>
      </w:r>
      <w:r w:rsidRPr="006209EE">
        <w:t xml:space="preserve"> p=.023); and, with an LGA’s SEIFA </w:t>
      </w:r>
      <w:r w:rsidR="005B003D">
        <w:t>Relative Socio-economic Disadvantage</w:t>
      </w:r>
      <w:r w:rsidRPr="006209EE">
        <w:t xml:space="preserve"> index (r=.633; p=.000). Correlation analysis also suggests a significant negative association between trusting others at LGA level and LGA population size (r=-.379; p=.035). </w:t>
      </w:r>
    </w:p>
    <w:p w:rsidR="008559F5" w:rsidRDefault="008559F5">
      <w:pPr>
        <w:spacing w:before="240" w:after="240"/>
        <w:jc w:val="left"/>
        <w:rPr>
          <w:b/>
          <w:color w:val="244061" w:themeColor="accent1" w:themeShade="80"/>
          <w:szCs w:val="24"/>
        </w:rPr>
      </w:pPr>
      <w:r>
        <w:rPr>
          <w:b/>
          <w:color w:val="244061" w:themeColor="accent1" w:themeShade="80"/>
          <w:szCs w:val="24"/>
        </w:rPr>
        <w:br w:type="page"/>
      </w:r>
    </w:p>
    <w:p w:rsidR="00620174" w:rsidRDefault="001867E4" w:rsidP="001867E4">
      <w:pPr>
        <w:jc w:val="left"/>
      </w:pPr>
      <w:r>
        <w:rPr>
          <w:b/>
          <w:color w:val="244061" w:themeColor="accent1" w:themeShade="80"/>
          <w:szCs w:val="24"/>
        </w:rPr>
        <w:lastRenderedPageBreak/>
        <w:t xml:space="preserve">Figure 4: </w:t>
      </w:r>
      <w:r w:rsidR="00620174" w:rsidRPr="00475CD0">
        <w:rPr>
          <w:b/>
          <w:color w:val="244061" w:themeColor="accent1" w:themeShade="80"/>
          <w:szCs w:val="24"/>
        </w:rPr>
        <w:t>Proportion of LGA residents who think that most people in general</w:t>
      </w:r>
      <w:r w:rsidR="00620174" w:rsidRPr="00475CD0">
        <w:rPr>
          <w:b/>
          <w:color w:val="244061" w:themeColor="accent1" w:themeShade="80"/>
          <w:szCs w:val="24"/>
        </w:rPr>
        <w:br/>
        <w:t>can be trusted</w:t>
      </w:r>
    </w:p>
    <w:p w:rsidR="00AD7BE2" w:rsidRDefault="00620174" w:rsidP="00620174">
      <w:r w:rsidRPr="00475CD0">
        <w:rPr>
          <w:noProof/>
          <w:lang w:eastAsia="en-AU"/>
        </w:rPr>
        <w:drawing>
          <wp:inline distT="0" distB="0" distL="0" distR="0">
            <wp:extent cx="5734050" cy="2997200"/>
            <wp:effectExtent l="0" t="0" r="6350" b="0"/>
            <wp:docPr id="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D7BE2" w:rsidRPr="003266EE" w:rsidRDefault="006A4CE2" w:rsidP="003266EE">
      <w:pPr>
        <w:widowControl w:val="0"/>
        <w:autoSpaceDE w:val="0"/>
        <w:autoSpaceDN w:val="0"/>
        <w:adjustRightInd w:val="0"/>
        <w:spacing w:before="0" w:after="240" w:line="260" w:lineRule="atLeast"/>
        <w:jc w:val="left"/>
        <w:rPr>
          <w:rFonts w:ascii="Times" w:eastAsiaTheme="minorHAnsi" w:hAnsi="Times" w:cs="Times"/>
          <w:szCs w:val="24"/>
          <w:lang w:val="en-US"/>
        </w:rPr>
      </w:pPr>
      <w:r w:rsidRPr="003266EE">
        <w:rPr>
          <w:rFonts w:cs="Times New Roman"/>
          <w:sz w:val="20"/>
          <w:szCs w:val="20"/>
        </w:rPr>
        <w:t xml:space="preserve">Source: </w:t>
      </w:r>
      <w:r w:rsidRPr="003266EE">
        <w:rPr>
          <w:rFonts w:eastAsiaTheme="minorHAnsi" w:cs="Times New Roman"/>
          <w:sz w:val="20"/>
          <w:szCs w:val="20"/>
          <w:lang w:val="en-US"/>
        </w:rPr>
        <w:t>https://www2.health.vic.gov.au/about/reporting-planning-data/gis-and-planning</w:t>
      </w:r>
      <w:r w:rsidR="003266EE" w:rsidRPr="003266EE">
        <w:rPr>
          <w:rFonts w:eastAsiaTheme="minorHAnsi" w:cs="Times New Roman"/>
          <w:sz w:val="20"/>
          <w:szCs w:val="20"/>
          <w:lang w:val="en-US"/>
        </w:rPr>
        <w:t>-products/geographical-profiles</w:t>
      </w:r>
      <w:r>
        <w:rPr>
          <w:rFonts w:ascii="Calibri" w:eastAsiaTheme="minorHAnsi" w:hAnsi="Calibri"/>
          <w:sz w:val="21"/>
          <w:szCs w:val="21"/>
          <w:lang w:val="en-US"/>
        </w:rPr>
        <w:t xml:space="preserve">. </w:t>
      </w:r>
    </w:p>
    <w:p w:rsidR="00AD7BE2" w:rsidRDefault="00AD7BE2" w:rsidP="00137979">
      <w:pPr>
        <w:tabs>
          <w:tab w:val="left" w:pos="480"/>
        </w:tabs>
        <w:jc w:val="left"/>
      </w:pPr>
      <w:r w:rsidRPr="00AD7BE2">
        <w:t xml:space="preserve">Interaction with the natural environment is said to improve health and wellbeing and increase productivity, also offering a sense of place and belonging to local residents, a </w:t>
      </w:r>
      <w:r w:rsidRPr="00AD7BE2">
        <w:lastRenderedPageBreak/>
        <w:t xml:space="preserve">place for inspiration and spiritual comfort, as </w:t>
      </w:r>
      <w:r w:rsidRPr="00AF722B">
        <w:t>well as tourism opportunities (European Union 2011, Gill 2011, Marselle et al. 2013, Stanley et al. 2017).</w:t>
      </w:r>
      <w:r w:rsidRPr="00AD7BE2">
        <w:t xml:space="preserve"> The many values of such access can be seen as fundamental for child development: allowing unstructured play, supporting independence, cognitive development and emotional resilience; as well as for social interaction needs for all ages, and stress reduction. Research has shown that interaction with natural areas can lead to beneficial psychological, physiological and endocrinological effects in humans, the latter referring to good microorganisms which regulate the body’s immune functioning (Rook 2013). Indirectly, value is achieved for humans through the regulation of essential ecological processes and life support systems, through bio-geochemical cycles and other biospheric processes. This includes air quality, carbon s</w:t>
      </w:r>
      <w:r>
        <w:t>equestration and storage, waste-</w:t>
      </w:r>
      <w:r w:rsidRPr="00AD7BE2">
        <w:t xml:space="preserve">water treatment, pollination, the maintenance of biogeochemical cycles in the environment, soil formation, erosion control, nutrient cycling and a moderator of extreme events. The value of natural capital and ecosystem services to humans is globally worth US$33 trillion, higher than the global Gross Domestic </w:t>
      </w:r>
      <w:r w:rsidRPr="00AD7BE2">
        <w:lastRenderedPageBreak/>
        <w:t>Product (GDP), measured at US$30 trillion (Constanza et al. 2007). Thus opportunities to preserve and facilitate such services within an urban area should be taken-up.</w:t>
      </w:r>
    </w:p>
    <w:p w:rsidR="006A4CE2" w:rsidRPr="00475CD0" w:rsidRDefault="00F37746" w:rsidP="0069540A">
      <w:pPr>
        <w:jc w:val="left"/>
      </w:pPr>
      <w:r>
        <w:t>Public o</w:t>
      </w:r>
      <w:r w:rsidR="0069540A" w:rsidRPr="00475CD0">
        <w:t>pen space availability has traditionally been considered in terms of standards, commonly described in terms of availability per 1</w:t>
      </w:r>
      <w:r w:rsidR="00097C33">
        <w:t>,</w:t>
      </w:r>
      <w:r w:rsidR="0069540A" w:rsidRPr="00475CD0">
        <w:t>000 population, or availability as a percentage of area or of catchment. Veal (2013) shows the lack of a scientific basis</w:t>
      </w:r>
      <w:r w:rsidR="0069540A">
        <w:t xml:space="preserve"> for such standards but recognis</w:t>
      </w:r>
      <w:r w:rsidR="0069540A" w:rsidRPr="00475CD0">
        <w:t>es their persistent application. Open space planning standards per 1</w:t>
      </w:r>
      <w:r w:rsidR="00097C33">
        <w:t>,</w:t>
      </w:r>
      <w:r w:rsidR="0069540A" w:rsidRPr="00475CD0">
        <w:t>000 population have been common in Australia and we use that measure herein. Veal (2013) notes the long-standing British (National Playing Fields Association, now Fields in Trust) standard of 2.43ha/1</w:t>
      </w:r>
      <w:r w:rsidR="00097C33">
        <w:t>,</w:t>
      </w:r>
      <w:r w:rsidR="0069540A" w:rsidRPr="00475CD0">
        <w:t>0</w:t>
      </w:r>
      <w:r w:rsidR="0069540A">
        <w:t>00 population and US (National R</w:t>
      </w:r>
      <w:r w:rsidR="0069540A" w:rsidRPr="00475CD0">
        <w:t>ecreation Association, now National Recreation and Parks Association) figure of 4ha/1</w:t>
      </w:r>
      <w:r w:rsidR="00097C33">
        <w:t>,</w:t>
      </w:r>
      <w:r w:rsidR="0069540A" w:rsidRPr="00475CD0">
        <w:t xml:space="preserve">000 population, with the Australian </w:t>
      </w:r>
      <w:r w:rsidR="0069540A">
        <w:t>‘</w:t>
      </w:r>
      <w:r w:rsidR="0069540A" w:rsidRPr="00475CD0">
        <w:t>standard</w:t>
      </w:r>
      <w:r w:rsidR="0069540A">
        <w:t>’</w:t>
      </w:r>
      <w:r w:rsidR="0069540A" w:rsidRPr="00475CD0">
        <w:t xml:space="preserve"> being 2.83ha/1</w:t>
      </w:r>
      <w:r w:rsidR="00097C33">
        <w:t>,</w:t>
      </w:r>
      <w:r w:rsidR="0069540A" w:rsidRPr="00475CD0">
        <w:t xml:space="preserve">000 population. Demand/need based standards are now commonly argued to be </w:t>
      </w:r>
      <w:r w:rsidR="0069540A">
        <w:t>a</w:t>
      </w:r>
      <w:r w:rsidR="0069540A" w:rsidRPr="00475CD0">
        <w:t xml:space="preserve"> preferred approach to standards but </w:t>
      </w:r>
      <w:r w:rsidR="0069540A">
        <w:t xml:space="preserve">the preceding </w:t>
      </w:r>
      <w:r w:rsidR="0069540A" w:rsidRPr="00475CD0">
        <w:t xml:space="preserve">standards can usually be argued to be loosely derived on interpretations of need, albeit that these may sometimes have been set in another time.  </w:t>
      </w:r>
    </w:p>
    <w:p w:rsidR="0069540A" w:rsidRDefault="0069540A" w:rsidP="00AA7485">
      <w:pPr>
        <w:jc w:val="left"/>
        <w:rPr>
          <w:b/>
          <w:color w:val="244061" w:themeColor="accent1" w:themeShade="80"/>
          <w:szCs w:val="24"/>
        </w:rPr>
      </w:pPr>
      <w:r>
        <w:rPr>
          <w:b/>
          <w:color w:val="244061" w:themeColor="accent1" w:themeShade="80"/>
          <w:szCs w:val="24"/>
        </w:rPr>
        <w:lastRenderedPageBreak/>
        <w:t xml:space="preserve">Figure 5: </w:t>
      </w:r>
      <w:r w:rsidRPr="00475CD0">
        <w:rPr>
          <w:b/>
          <w:color w:val="244061" w:themeColor="accent1" w:themeShade="80"/>
          <w:szCs w:val="24"/>
        </w:rPr>
        <w:t>Hectares of other public open space, including parks and gardens,</w:t>
      </w:r>
      <w:r w:rsidRPr="00475CD0">
        <w:rPr>
          <w:b/>
          <w:color w:val="244061" w:themeColor="accent1" w:themeShade="80"/>
          <w:szCs w:val="24"/>
        </w:rPr>
        <w:br/>
        <w:t>sports fields and organised recreation space, per 1</w:t>
      </w:r>
      <w:r w:rsidR="00097C33">
        <w:rPr>
          <w:b/>
          <w:color w:val="244061" w:themeColor="accent1" w:themeShade="80"/>
          <w:szCs w:val="24"/>
        </w:rPr>
        <w:t>,</w:t>
      </w:r>
      <w:r w:rsidRPr="00475CD0">
        <w:rPr>
          <w:b/>
          <w:color w:val="244061" w:themeColor="accent1" w:themeShade="80"/>
          <w:szCs w:val="24"/>
        </w:rPr>
        <w:t>000 residents</w:t>
      </w:r>
    </w:p>
    <w:p w:rsidR="003A53AA" w:rsidRPr="00AD7BE2" w:rsidRDefault="0068569D" w:rsidP="00AA7485">
      <w:pPr>
        <w:jc w:val="left"/>
      </w:pPr>
      <w:r w:rsidRPr="0068569D">
        <w:rPr>
          <w:noProof/>
          <w:lang w:eastAsia="en-AU"/>
        </w:rPr>
        <w:drawing>
          <wp:inline distT="0" distB="0" distL="0" distR="0">
            <wp:extent cx="5686425" cy="2743200"/>
            <wp:effectExtent l="19050" t="0" r="9525"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A4CE2" w:rsidRPr="003266EE" w:rsidRDefault="006A4CE2" w:rsidP="00473CD1">
      <w:pPr>
        <w:jc w:val="left"/>
        <w:rPr>
          <w:sz w:val="20"/>
          <w:szCs w:val="20"/>
          <w:lang w:val="en-US"/>
        </w:rPr>
      </w:pPr>
      <w:r w:rsidRPr="003266EE">
        <w:rPr>
          <w:sz w:val="20"/>
          <w:szCs w:val="20"/>
          <w:lang w:val="en-US"/>
        </w:rPr>
        <w:t>Source:</w:t>
      </w:r>
      <w:r w:rsidR="006E705C" w:rsidRPr="003266EE">
        <w:rPr>
          <w:sz w:val="20"/>
          <w:szCs w:val="20"/>
          <w:lang w:val="en-US"/>
        </w:rPr>
        <w:t xml:space="preserve"> </w:t>
      </w:r>
      <w:r w:rsidR="0068569D">
        <w:rPr>
          <w:sz w:val="20"/>
          <w:szCs w:val="20"/>
          <w:lang w:val="en-US"/>
        </w:rPr>
        <w:t>Authors, from d</w:t>
      </w:r>
      <w:r w:rsidR="006E705C" w:rsidRPr="003266EE">
        <w:rPr>
          <w:sz w:val="20"/>
          <w:szCs w:val="20"/>
          <w:lang w:val="en-US"/>
        </w:rPr>
        <w:t xml:space="preserve">ata provided by the Victorian Planning Authority. </w:t>
      </w:r>
    </w:p>
    <w:p w:rsidR="00097C33" w:rsidRPr="00475CD0" w:rsidRDefault="00097C33" w:rsidP="00097C33">
      <w:pPr>
        <w:jc w:val="left"/>
      </w:pPr>
      <w:r>
        <w:t xml:space="preserve">Figure 5 shows that </w:t>
      </w:r>
      <w:r w:rsidRPr="00475CD0">
        <w:t xml:space="preserve">Yarra Ranges has the highest level of availability of </w:t>
      </w:r>
      <w:r>
        <w:t xml:space="preserve">public </w:t>
      </w:r>
      <w:r w:rsidRPr="00475CD0">
        <w:t>open space per 1</w:t>
      </w:r>
      <w:r>
        <w:t>,</w:t>
      </w:r>
      <w:r w:rsidRPr="00475CD0">
        <w:t>000 residents</w:t>
      </w:r>
      <w:r>
        <w:t xml:space="preserve"> (excluding natural, semi-natural and conservation areas)</w:t>
      </w:r>
      <w:r w:rsidRPr="00475CD0">
        <w:t>, at 9.2ha/1</w:t>
      </w:r>
      <w:r>
        <w:t>,</w:t>
      </w:r>
      <w:r w:rsidRPr="00475CD0">
        <w:t>000, almost three times the average availability level of 3.3ha/1</w:t>
      </w:r>
      <w:r>
        <w:t>,</w:t>
      </w:r>
      <w:r w:rsidRPr="00475CD0">
        <w:t>000 across Greater Melbourne. Cardinia (7.4ha/1</w:t>
      </w:r>
      <w:r>
        <w:t>,</w:t>
      </w:r>
      <w:r w:rsidRPr="00475CD0">
        <w:t xml:space="preserve">000), Nillumbik (5.6ha/1000), Casey </w:t>
      </w:r>
      <w:r w:rsidRPr="00475CD0">
        <w:lastRenderedPageBreak/>
        <w:t>(4.8ha/1</w:t>
      </w:r>
      <w:r>
        <w:t>,</w:t>
      </w:r>
      <w:r w:rsidRPr="00475CD0">
        <w:t>000), Brimbank (4.2ha/1</w:t>
      </w:r>
      <w:r>
        <w:t>,</w:t>
      </w:r>
      <w:r w:rsidRPr="00475CD0">
        <w:t>000) and Mornington (3.9ha/1</w:t>
      </w:r>
      <w:r>
        <w:t>,</w:t>
      </w:r>
      <w:r w:rsidRPr="00475CD0">
        <w:t>000) are all solidly above the average availability level and all are above the UK and Australian standard figures, most also being above the US standard.</w:t>
      </w:r>
    </w:p>
    <w:p w:rsidR="00620174" w:rsidRDefault="00825C39" w:rsidP="006E705C">
      <w:pPr>
        <w:jc w:val="left"/>
        <w:rPr>
          <w:lang w:val="en-US"/>
        </w:rPr>
      </w:pPr>
      <w:r>
        <w:t>As</w:t>
      </w:r>
      <w:r w:rsidR="00097C33">
        <w:t xml:space="preserve"> part of a strategy of urban densification, </w:t>
      </w:r>
      <w:r w:rsidRPr="00475CD0">
        <w:t xml:space="preserve">LGAs </w:t>
      </w:r>
      <w:r>
        <w:t>with lower levels of</w:t>
      </w:r>
      <w:r w:rsidRPr="00475CD0">
        <w:t xml:space="preserve"> </w:t>
      </w:r>
      <w:r>
        <w:t>open space</w:t>
      </w:r>
      <w:r w:rsidRPr="00475CD0">
        <w:t xml:space="preserve"> </w:t>
      </w:r>
      <w:r>
        <w:t>need</w:t>
      </w:r>
      <w:r w:rsidR="00097C33" w:rsidRPr="00475CD0">
        <w:t xml:space="preserve"> to recognise the importance of adding to </w:t>
      </w:r>
      <w:r w:rsidR="00097C33">
        <w:t xml:space="preserve">public </w:t>
      </w:r>
      <w:r w:rsidR="00097C33" w:rsidRPr="00475CD0">
        <w:t xml:space="preserve">open space availability.  Open space is </w:t>
      </w:r>
      <w:r>
        <w:t>in relatively short supply per 1,</w:t>
      </w:r>
      <w:r w:rsidR="00097C33" w:rsidRPr="00475CD0">
        <w:t>000 residents in Stonnington and Glen Eira (both around 1.1ha/1</w:t>
      </w:r>
      <w:r>
        <w:t>,</w:t>
      </w:r>
      <w:r w:rsidR="00097C33" w:rsidRPr="00475CD0">
        <w:t>000), Bayside (1.6ha/1</w:t>
      </w:r>
      <w:r>
        <w:t>,</w:t>
      </w:r>
      <w:r w:rsidR="00097C33" w:rsidRPr="00475CD0">
        <w:t>000), Moreland and Whitehorse, both at 1.8ha/1</w:t>
      </w:r>
      <w:r>
        <w:t>,</w:t>
      </w:r>
      <w:r w:rsidR="00097C33" w:rsidRPr="00475CD0">
        <w:t>000 residents and Boroondara (2.0ha/1</w:t>
      </w:r>
      <w:r>
        <w:t>,</w:t>
      </w:r>
      <w:r w:rsidR="00097C33" w:rsidRPr="00475CD0">
        <w:t>000). Some 15 inner/middle urban LGAs, out of a total of 31 in Greater Melbourne, are below the indicated 2.83ha/1</w:t>
      </w:r>
      <w:r>
        <w:t>,</w:t>
      </w:r>
      <w:r w:rsidR="00097C33" w:rsidRPr="00475CD0">
        <w:t>000 standard or benchmark, these LGAs having a total population of 2.1 million in 2016, before considering any future population increase.</w:t>
      </w:r>
      <w:r w:rsidR="00097C33">
        <w:t xml:space="preserve"> Property acquisi</w:t>
      </w:r>
      <w:r>
        <w:t>tion costs to meet the 2.83ha/1,</w:t>
      </w:r>
      <w:r w:rsidR="00097C33">
        <w:t>000 population for every metropolitan LGA, plus a UK standard on access to natural, semi-natural and conservation areas (details not shown in this paper), by 2031 are an estimated $50b, showing the indicative scale of challenge confronting urban densification.</w:t>
      </w:r>
    </w:p>
    <w:p w:rsidR="000242D6" w:rsidRPr="000242D6" w:rsidRDefault="000242D6" w:rsidP="000242D6">
      <w:pPr>
        <w:jc w:val="left"/>
      </w:pPr>
      <w:r w:rsidRPr="000242D6">
        <w:lastRenderedPageBreak/>
        <w:t xml:space="preserve">Cardiovascular disease refers to all diseases and conditions involving the heart and blood vessels. The main types of cardiovascular disease in Australia are coronary heart disease, stroke and heart failure/cardiomyopathy. Cardiovascular </w:t>
      </w:r>
      <w:r w:rsidR="00E43D6A">
        <w:t xml:space="preserve">disease accounted for nearly 28% </w:t>
      </w:r>
      <w:r w:rsidRPr="000242D6">
        <w:t>of all deaths in Australian i</w:t>
      </w:r>
      <w:r w:rsidR="00E43D6A">
        <w:t>n 2016, also accounting for 490</w:t>
      </w:r>
      <w:r w:rsidR="00AA7485">
        <w:t>,</w:t>
      </w:r>
      <w:r w:rsidRPr="000242D6">
        <w:t>000 hospitalisations in 2014/15. In 2012/13 the associated cos</w:t>
      </w:r>
      <w:r w:rsidR="00E43D6A">
        <w:t>t amounted to $5</w:t>
      </w:r>
      <w:r w:rsidR="00AA7485">
        <w:t xml:space="preserve"> </w:t>
      </w:r>
      <w:r w:rsidR="00E43D6A">
        <w:t>billion</w:t>
      </w:r>
      <w:r w:rsidR="00AA7485">
        <w:t>,</w:t>
      </w:r>
      <w:r w:rsidR="00E43D6A">
        <w:t xml:space="preserve"> or 11.1% </w:t>
      </w:r>
      <w:r w:rsidRPr="000242D6">
        <w:t>of total health expenditure related to hospital admissions</w:t>
      </w:r>
      <w:r w:rsidR="00AA7485">
        <w:t xml:space="preserve"> </w:t>
      </w:r>
      <w:r w:rsidRPr="000242D6">
        <w:t>– the largest share of health expenditure of any disease group (AIHW 2017). There is thus a heavy cost burden for this disea</w:t>
      </w:r>
      <w:r w:rsidR="00E43D6A">
        <w:t xml:space="preserve">se, which also accounted for 17% </w:t>
      </w:r>
      <w:r w:rsidRPr="000242D6">
        <w:t>of the total burden of disease in 2017, the largest single contributor (Alston et al. 2017). Higher rates of hospitalisation and death for this disease occur for people in lower socio-economic groups, Aboriginal and Torres Strait Islander peoples, and those living in regi</w:t>
      </w:r>
      <w:r w:rsidR="008000EC">
        <w:t>onal and remote areas (ABS 2016</w:t>
      </w:r>
      <w:r w:rsidRPr="000242D6">
        <w:t xml:space="preserve">). </w:t>
      </w:r>
    </w:p>
    <w:p w:rsidR="00620174" w:rsidRPr="00D045A5" w:rsidRDefault="000242D6" w:rsidP="00D045A5">
      <w:pPr>
        <w:rPr>
          <w:b/>
          <w:color w:val="1F497D" w:themeColor="text2"/>
          <w:lang w:val="en-US"/>
        </w:rPr>
      </w:pPr>
      <w:r w:rsidRPr="00D045A5">
        <w:rPr>
          <w:b/>
          <w:color w:val="1F497D" w:themeColor="text2"/>
        </w:rPr>
        <w:t xml:space="preserve">Figure </w:t>
      </w:r>
      <w:r w:rsidR="00CC0ADA" w:rsidRPr="00D045A5">
        <w:rPr>
          <w:b/>
          <w:color w:val="1F497D" w:themeColor="text2"/>
        </w:rPr>
        <w:t>6</w:t>
      </w:r>
      <w:r w:rsidRPr="00D045A5">
        <w:rPr>
          <w:b/>
          <w:color w:val="1F497D" w:themeColor="text2"/>
        </w:rPr>
        <w:t xml:space="preserve">: </w:t>
      </w:r>
      <w:r w:rsidR="00620174" w:rsidRPr="00D045A5">
        <w:rPr>
          <w:b/>
          <w:color w:val="1F497D" w:themeColor="text2"/>
        </w:rPr>
        <w:t>People reporting heart disease, by LGA (%)</w:t>
      </w:r>
    </w:p>
    <w:p w:rsidR="00620174" w:rsidRDefault="00620174" w:rsidP="002E5DBA">
      <w:pPr>
        <w:pStyle w:val="Heading2"/>
        <w:jc w:val="left"/>
        <w:rPr>
          <w:lang w:val="en-US"/>
        </w:rPr>
      </w:pPr>
      <w:r w:rsidRPr="00475CD0">
        <w:rPr>
          <w:noProof/>
          <w:lang w:eastAsia="en-AU"/>
        </w:rPr>
        <w:lastRenderedPageBreak/>
        <w:drawing>
          <wp:inline distT="0" distB="0" distL="0" distR="0">
            <wp:extent cx="5727700" cy="316865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A4CE2" w:rsidRPr="005440D3" w:rsidRDefault="006A4CE2" w:rsidP="006A4CE2">
      <w:pPr>
        <w:widowControl w:val="0"/>
        <w:autoSpaceDE w:val="0"/>
        <w:autoSpaceDN w:val="0"/>
        <w:adjustRightInd w:val="0"/>
        <w:spacing w:before="0" w:after="240" w:line="260" w:lineRule="atLeast"/>
        <w:jc w:val="left"/>
        <w:rPr>
          <w:rFonts w:eastAsiaTheme="minorHAnsi" w:cs="Times New Roman"/>
          <w:sz w:val="20"/>
          <w:szCs w:val="20"/>
          <w:lang w:val="en-US"/>
        </w:rPr>
      </w:pPr>
      <w:r w:rsidRPr="005440D3">
        <w:rPr>
          <w:rFonts w:cs="Times New Roman"/>
          <w:sz w:val="20"/>
          <w:szCs w:val="20"/>
        </w:rPr>
        <w:t xml:space="preserve">Source: </w:t>
      </w:r>
      <w:hyperlink r:id="rId23" w:history="1">
        <w:r w:rsidR="005440D3" w:rsidRPr="005440D3">
          <w:rPr>
            <w:rStyle w:val="Hyperlink"/>
            <w:rFonts w:eastAsiaTheme="minorHAnsi" w:cs="Times New Roman"/>
            <w:sz w:val="20"/>
            <w:szCs w:val="20"/>
            <w:lang w:val="en-US"/>
          </w:rPr>
          <w:t>https://www2.health.vic.gov.au/about/reporting-planning-data/gis-and-planning-products/geographical-profiles</w:t>
        </w:r>
      </w:hyperlink>
      <w:r w:rsidRPr="005440D3">
        <w:rPr>
          <w:rFonts w:eastAsiaTheme="minorHAnsi" w:cs="Times New Roman"/>
          <w:sz w:val="20"/>
          <w:szCs w:val="20"/>
          <w:lang w:val="en-US"/>
        </w:rPr>
        <w:t xml:space="preserve">). </w:t>
      </w:r>
    </w:p>
    <w:p w:rsidR="005440D3" w:rsidRPr="00475CD0" w:rsidRDefault="005440D3" w:rsidP="005440D3">
      <w:pPr>
        <w:jc w:val="left"/>
      </w:pPr>
      <w:r>
        <w:t xml:space="preserve">Figure </w:t>
      </w:r>
      <w:r w:rsidR="00CC0ADA">
        <w:t>6</w:t>
      </w:r>
      <w:r w:rsidRPr="000242D6">
        <w:t xml:space="preserve"> shows that the three highest reporting rates for cardio matters in Melbourne are found in outer suburbs (Casey, Whittlesea and Greater Dandenong) but Melton and Wyndham are towards the bottom of the range. This may suggest that location is not a factor in this indicator but the correlation between reporting of heart disease and travel </w:t>
      </w:r>
      <w:r w:rsidRPr="000242D6">
        <w:lastRenderedPageBreak/>
        <w:t xml:space="preserve">time from </w:t>
      </w:r>
      <w:r>
        <w:t xml:space="preserve">central </w:t>
      </w:r>
      <w:r w:rsidRPr="000242D6">
        <w:t>Melbourne is significant at the</w:t>
      </w:r>
      <w:r>
        <w:t xml:space="preserve"> 10% </w:t>
      </w:r>
      <w:r w:rsidRPr="00475CD0">
        <w:t>level (r=.326; p=.073), suggesting outer suburban residents are somewhat more likely to be higher reporters than their inner urban counterparts. The correlation between reporting of heart disease and car use for the journey to wor</w:t>
      </w:r>
      <w:r>
        <w:t xml:space="preserve">k is positive and also significant at the 10% </w:t>
      </w:r>
      <w:r w:rsidRPr="00475CD0">
        <w:t>level (r=.302; p=.099), whereas that between reporting heart disease and public transport use for the journey to work is negative</w:t>
      </w:r>
      <w:r>
        <w:t xml:space="preserve"> and also significant at the 10% </w:t>
      </w:r>
      <w:r w:rsidRPr="00475CD0">
        <w:t>level (r=-.310; p=.090)</w:t>
      </w:r>
      <w:r>
        <w:t>, perhaps suggesting that the incidental exercise associated with using public transport is beneficial for health but that car use is not</w:t>
      </w:r>
      <w:r w:rsidRPr="00475CD0">
        <w:t>. The data on both obesity and heart disease reporting are both suggestive that high rates of growth in outer urban areas will tend to increase reporting of obesity and heart problems.</w:t>
      </w:r>
    </w:p>
    <w:p w:rsidR="00671B61" w:rsidRPr="00475CD0" w:rsidRDefault="00671B61" w:rsidP="00E43D6A">
      <w:pPr>
        <w:jc w:val="left"/>
      </w:pPr>
      <w:r w:rsidRPr="00475CD0">
        <w:t>A number of the variables for which data was assembled at LGA level show quite strong spatial associations, particularly with respect to differences in travel time to (central) Melbourne (which is highly correlated with distance to M</w:t>
      </w:r>
      <w:r w:rsidR="00E43D6A">
        <w:t xml:space="preserve">elbourne). For example, at a 10% </w:t>
      </w:r>
      <w:r>
        <w:t>level of significance</w:t>
      </w:r>
      <w:r w:rsidRPr="00475CD0">
        <w:t xml:space="preserve"> or better, as travel times from an LGA to </w:t>
      </w:r>
      <w:r>
        <w:t xml:space="preserve">central </w:t>
      </w:r>
      <w:r w:rsidRPr="00475CD0">
        <w:t xml:space="preserve">Melbourne increase, population densities (r=-.827; p=.000) and job densities </w:t>
      </w:r>
      <w:r w:rsidR="00E43D6A">
        <w:t xml:space="preserve">decrease (r=-.565; </w:t>
      </w:r>
      <w:r w:rsidR="00E43D6A">
        <w:lastRenderedPageBreak/>
        <w:t xml:space="preserve">p=.001), </w:t>
      </w:r>
      <w:r w:rsidRPr="00475CD0">
        <w:t>median house prices decline (r=-.635; p=.000) and open space per resident increases (r=.536; p=.002) but:</w:t>
      </w:r>
    </w:p>
    <w:p w:rsidR="00671B61" w:rsidRPr="00475CD0" w:rsidRDefault="00671B61" w:rsidP="00E43D6A">
      <w:pPr>
        <w:pStyle w:val="ListParagraph"/>
        <w:numPr>
          <w:ilvl w:val="0"/>
          <w:numId w:val="4"/>
        </w:numPr>
        <w:ind w:left="567" w:hanging="567"/>
        <w:contextualSpacing w:val="0"/>
        <w:jc w:val="left"/>
      </w:pPr>
      <w:r w:rsidRPr="00475CD0">
        <w:t>capital stock per person declines (r=-.376; p=.037), the proportion of higher educated  people declines (r=-.873; p=.000), the proportion of jobs that are high-tech declines (r=-.648; p=.000) and LGA producti</w:t>
      </w:r>
      <w:r w:rsidR="00A27D12">
        <w:t>vity declines (r=-.399; p=.026)</w:t>
      </w:r>
    </w:p>
    <w:p w:rsidR="00671B61" w:rsidRPr="00475CD0" w:rsidRDefault="00671B61" w:rsidP="00E43D6A">
      <w:pPr>
        <w:pStyle w:val="ListParagraph"/>
        <w:numPr>
          <w:ilvl w:val="0"/>
          <w:numId w:val="4"/>
        </w:numPr>
        <w:ind w:left="567" w:hanging="567"/>
        <w:contextualSpacing w:val="0"/>
        <w:jc w:val="left"/>
      </w:pPr>
      <w:r w:rsidRPr="00475CD0">
        <w:t>trust in ot</w:t>
      </w:r>
      <w:r w:rsidR="00A27D12">
        <w:t>hers declines (r=-.351; p=.053)</w:t>
      </w:r>
    </w:p>
    <w:p w:rsidR="00671B61" w:rsidRPr="00475CD0" w:rsidRDefault="00671B61" w:rsidP="00E43D6A">
      <w:pPr>
        <w:pStyle w:val="ListParagraph"/>
        <w:numPr>
          <w:ilvl w:val="0"/>
          <w:numId w:val="4"/>
        </w:numPr>
        <w:ind w:left="567" w:hanging="567"/>
        <w:contextualSpacing w:val="0"/>
        <w:jc w:val="left"/>
      </w:pPr>
      <w:r w:rsidRPr="00475CD0">
        <w:t xml:space="preserve">the proportion </w:t>
      </w:r>
      <w:r>
        <w:t xml:space="preserve">of people </w:t>
      </w:r>
      <w:r w:rsidRPr="00475CD0">
        <w:t>living near public transport declines (r=-.802; p=.000) and public transport use for the journey to work al</w:t>
      </w:r>
      <w:r w:rsidR="00A27D12">
        <w:t>so declines (r=-.893; p=.000)</w:t>
      </w:r>
    </w:p>
    <w:p w:rsidR="00671B61" w:rsidRPr="00475CD0" w:rsidRDefault="00671B61" w:rsidP="00E43D6A">
      <w:pPr>
        <w:pStyle w:val="ListParagraph"/>
        <w:numPr>
          <w:ilvl w:val="0"/>
          <w:numId w:val="4"/>
        </w:numPr>
        <w:ind w:left="567" w:hanging="567"/>
        <w:contextualSpacing w:val="0"/>
        <w:jc w:val="left"/>
      </w:pPr>
      <w:r w:rsidRPr="00475CD0">
        <w:t>car use increases for the journey to work (r=.807; p=.000) and the proportion of commutes that are longer than 2 h</w:t>
      </w:r>
      <w:r w:rsidR="00A27D12">
        <w:t>ours increases (r=.586; p=.001)</w:t>
      </w:r>
      <w:r w:rsidRPr="00475CD0">
        <w:t xml:space="preserve"> and</w:t>
      </w:r>
    </w:p>
    <w:p w:rsidR="00671B61" w:rsidRPr="00475CD0" w:rsidRDefault="00671B61" w:rsidP="00E43D6A">
      <w:pPr>
        <w:pStyle w:val="ListParagraph"/>
        <w:numPr>
          <w:ilvl w:val="0"/>
          <w:numId w:val="4"/>
        </w:numPr>
        <w:ind w:left="567" w:hanging="567"/>
        <w:contextualSpacing w:val="0"/>
        <w:jc w:val="left"/>
      </w:pPr>
      <w:r w:rsidRPr="00475CD0">
        <w:t>reports of heart disease increase (r=.326; p=.073) and so do reports of obesity (r=.668; p=.000).</w:t>
      </w:r>
    </w:p>
    <w:p w:rsidR="00671B61" w:rsidRPr="00671B61" w:rsidRDefault="00671B61" w:rsidP="00E43D6A">
      <w:pPr>
        <w:jc w:val="left"/>
      </w:pPr>
      <w:r w:rsidRPr="00475CD0">
        <w:t xml:space="preserve">These associations suggest that cheaper housing and better access to open space, which may attract people to outer suburban living, comes at a price, commonly associated with </w:t>
      </w:r>
      <w:r w:rsidRPr="00475CD0">
        <w:lastRenderedPageBreak/>
        <w:t>the lower population and job densities at greater distances from central Melbourne. With such a high proportion of population growth still happening on the fringe, these associations should sound warning bells. They are one reason why the Ministerial Advisory Committee on Plan Melbourne Refresh, of which one of the current authors was a member, recommended minimum densities of 25 dwellings per hectare for new fringe development, well above current density levels but in line with new greenfield standards in Toronto (for example)</w:t>
      </w:r>
      <w:r w:rsidR="0068569D">
        <w:t>, as one important component of planning strategies to improve outer urban outcomes</w:t>
      </w:r>
      <w:r w:rsidRPr="00475CD0">
        <w:t>.</w:t>
      </w:r>
    </w:p>
    <w:p w:rsidR="002361AF" w:rsidRDefault="00CF7C9A" w:rsidP="00D045A5">
      <w:pPr>
        <w:pStyle w:val="Heading1"/>
        <w:rPr>
          <w:lang w:val="en-US"/>
        </w:rPr>
      </w:pPr>
      <w:bookmarkStart w:id="5" w:name="_Toc532983533"/>
      <w:r>
        <w:rPr>
          <w:lang w:val="en-US"/>
        </w:rPr>
        <w:t>5.</w:t>
      </w:r>
      <w:r>
        <w:rPr>
          <w:lang w:val="en-US"/>
        </w:rPr>
        <w:tab/>
      </w:r>
      <w:r w:rsidR="002361AF">
        <w:rPr>
          <w:lang w:val="en-US"/>
        </w:rPr>
        <w:t>Infrastructure backlog</w:t>
      </w:r>
      <w:bookmarkEnd w:id="5"/>
      <w:r w:rsidR="00A27D12">
        <w:rPr>
          <w:lang w:val="en-US"/>
        </w:rPr>
        <w:t xml:space="preserve"> </w:t>
      </w:r>
    </w:p>
    <w:p w:rsidR="00DB3E42" w:rsidRPr="003E5DA5" w:rsidRDefault="00DB3E42" w:rsidP="002E5DBA">
      <w:pPr>
        <w:jc w:val="left"/>
        <w:rPr>
          <w:lang w:val="en-US"/>
        </w:rPr>
      </w:pPr>
      <w:r>
        <w:rPr>
          <w:lang w:val="en-US"/>
        </w:rPr>
        <w:t xml:space="preserve">Productivity growth </w:t>
      </w:r>
      <w:r w:rsidR="00173858">
        <w:rPr>
          <w:lang w:val="en-US"/>
        </w:rPr>
        <w:t xml:space="preserve">and </w:t>
      </w:r>
      <w:r w:rsidR="003B02D0">
        <w:rPr>
          <w:lang w:val="en-US"/>
        </w:rPr>
        <w:t xml:space="preserve">associated </w:t>
      </w:r>
      <w:r w:rsidR="00173858">
        <w:rPr>
          <w:lang w:val="en-US"/>
        </w:rPr>
        <w:t xml:space="preserve">social inclusion and wellbeing </w:t>
      </w:r>
      <w:r w:rsidRPr="001E4702">
        <w:rPr>
          <w:lang w:val="en-US"/>
        </w:rPr>
        <w:t xml:space="preserve">can only be </w:t>
      </w:r>
      <w:r w:rsidR="006649E1">
        <w:rPr>
          <w:lang w:val="en-US"/>
        </w:rPr>
        <w:t>achieved</w:t>
      </w:r>
      <w:r w:rsidR="006649E1" w:rsidRPr="001E4702">
        <w:rPr>
          <w:lang w:val="en-US"/>
        </w:rPr>
        <w:t xml:space="preserve"> </w:t>
      </w:r>
      <w:r w:rsidRPr="001E4702">
        <w:rPr>
          <w:lang w:val="en-US"/>
        </w:rPr>
        <w:t xml:space="preserve">if adequate resources are provided </w:t>
      </w:r>
      <w:r w:rsidR="00900B2B">
        <w:rPr>
          <w:lang w:val="en-US"/>
        </w:rPr>
        <w:t>for</w:t>
      </w:r>
      <w:r w:rsidRPr="001E4702">
        <w:rPr>
          <w:lang w:val="en-US"/>
        </w:rPr>
        <w:t xml:space="preserve"> the increased population</w:t>
      </w:r>
      <w:r w:rsidR="006649E1">
        <w:rPr>
          <w:lang w:val="en-US"/>
        </w:rPr>
        <w:t>. The old industrial LGAs also need improvements in social wellbeing, however this issue is not accounted for, below.</w:t>
      </w:r>
      <w:r w:rsidR="003F4A40">
        <w:rPr>
          <w:lang w:val="en-US"/>
        </w:rPr>
        <w:t xml:space="preserve"> What level of</w:t>
      </w:r>
      <w:r w:rsidR="00315A02">
        <w:rPr>
          <w:lang w:val="en-US"/>
        </w:rPr>
        <w:t xml:space="preserve"> additional resource input might</w:t>
      </w:r>
      <w:r w:rsidR="003F4A40">
        <w:rPr>
          <w:lang w:val="en-US"/>
        </w:rPr>
        <w:t xml:space="preserve"> have enabled the six fast growing </w:t>
      </w:r>
      <w:r w:rsidR="003F4A40">
        <w:rPr>
          <w:lang w:val="en-US"/>
        </w:rPr>
        <w:lastRenderedPageBreak/>
        <w:t xml:space="preserve">outer suburbs to achieve </w:t>
      </w:r>
      <w:r w:rsidR="00315A02">
        <w:rPr>
          <w:lang w:val="en-US"/>
        </w:rPr>
        <w:t xml:space="preserve">growth in </w:t>
      </w:r>
      <w:r w:rsidR="003F4A40">
        <w:rPr>
          <w:lang w:val="en-US"/>
        </w:rPr>
        <w:t>G</w:t>
      </w:r>
      <w:r w:rsidR="00315A02">
        <w:rPr>
          <w:lang w:val="en-US"/>
        </w:rPr>
        <w:t>RP/working age population</w:t>
      </w:r>
      <w:r w:rsidR="003F4A40">
        <w:rPr>
          <w:lang w:val="en-US"/>
        </w:rPr>
        <w:t xml:space="preserve"> in line with the state average?</w:t>
      </w:r>
      <w:r w:rsidRPr="001E4702">
        <w:rPr>
          <w:lang w:val="en-US"/>
        </w:rPr>
        <w:t xml:space="preserve"> </w:t>
      </w:r>
      <w:r w:rsidR="00315A02">
        <w:rPr>
          <w:lang w:val="en-US"/>
        </w:rPr>
        <w:t xml:space="preserve">Analysis by </w:t>
      </w:r>
      <w:r w:rsidR="003F4A40">
        <w:rPr>
          <w:lang w:val="en-US"/>
        </w:rPr>
        <w:t>NIEIR</w:t>
      </w:r>
      <w:r w:rsidR="00315A02">
        <w:rPr>
          <w:lang w:val="en-US"/>
        </w:rPr>
        <w:t xml:space="preserve"> </w:t>
      </w:r>
      <w:r>
        <w:rPr>
          <w:lang w:val="en-US"/>
        </w:rPr>
        <w:t xml:space="preserve">concludes that there was </w:t>
      </w:r>
      <w:r w:rsidR="003F4A40">
        <w:rPr>
          <w:lang w:val="en-US"/>
        </w:rPr>
        <w:t>accumulated</w:t>
      </w:r>
      <w:r>
        <w:rPr>
          <w:lang w:val="en-US"/>
        </w:rPr>
        <w:t xml:space="preserve"> underinvestment </w:t>
      </w:r>
      <w:r w:rsidRPr="003E5DA5">
        <w:rPr>
          <w:lang w:val="en-US"/>
        </w:rPr>
        <w:t xml:space="preserve">of </w:t>
      </w:r>
      <w:r w:rsidR="00900B2B">
        <w:rPr>
          <w:lang w:val="en-US"/>
        </w:rPr>
        <w:t xml:space="preserve">around </w:t>
      </w:r>
      <w:r w:rsidRPr="003E5DA5">
        <w:rPr>
          <w:lang w:val="en-US"/>
        </w:rPr>
        <w:t>$</w:t>
      </w:r>
      <w:r w:rsidR="003F4A40">
        <w:rPr>
          <w:lang w:val="en-US"/>
        </w:rPr>
        <w:t>1</w:t>
      </w:r>
      <w:r w:rsidRPr="003E5DA5">
        <w:rPr>
          <w:lang w:val="en-US"/>
        </w:rPr>
        <w:t>2</w:t>
      </w:r>
      <w:r w:rsidR="00900B2B">
        <w:rPr>
          <w:lang w:val="en-US"/>
        </w:rPr>
        <w:t>5</w:t>
      </w:r>
      <w:r w:rsidRPr="003E5DA5">
        <w:rPr>
          <w:lang w:val="en-US"/>
        </w:rPr>
        <w:t xml:space="preserve"> billion</w:t>
      </w:r>
      <w:r w:rsidR="00900B2B">
        <w:rPr>
          <w:lang w:val="en-US"/>
        </w:rPr>
        <w:t xml:space="preserve"> </w:t>
      </w:r>
      <w:r w:rsidR="007C3C65">
        <w:rPr>
          <w:lang w:val="en-US"/>
        </w:rPr>
        <w:t xml:space="preserve">as </w:t>
      </w:r>
      <w:r w:rsidRPr="003E5DA5">
        <w:rPr>
          <w:lang w:val="en-US"/>
        </w:rPr>
        <w:t>at 2015-16</w:t>
      </w:r>
      <w:r w:rsidR="00315A02">
        <w:rPr>
          <w:lang w:val="en-US"/>
        </w:rPr>
        <w:t>, acc</w:t>
      </w:r>
      <w:r w:rsidR="00E43D6A">
        <w:rPr>
          <w:lang w:val="en-US"/>
        </w:rPr>
        <w:t xml:space="preserve">umulating at an annual rate of approximately </w:t>
      </w:r>
      <w:r w:rsidR="00315A02">
        <w:rPr>
          <w:lang w:val="en-US"/>
        </w:rPr>
        <w:t>$5</w:t>
      </w:r>
      <w:r w:rsidR="006649E1">
        <w:rPr>
          <w:lang w:val="en-US"/>
        </w:rPr>
        <w:t xml:space="preserve"> </w:t>
      </w:r>
      <w:r w:rsidR="00315A02">
        <w:rPr>
          <w:lang w:val="en-US"/>
        </w:rPr>
        <w:t>b</w:t>
      </w:r>
      <w:r w:rsidR="00E43D6A">
        <w:rPr>
          <w:lang w:val="en-US"/>
        </w:rPr>
        <w:t>illion</w:t>
      </w:r>
      <w:r w:rsidR="00315A02">
        <w:rPr>
          <w:lang w:val="en-US"/>
        </w:rPr>
        <w:t xml:space="preserve"> over the 25</w:t>
      </w:r>
      <w:r w:rsidR="006E705C">
        <w:rPr>
          <w:lang w:val="en-US"/>
        </w:rPr>
        <w:t xml:space="preserve"> </w:t>
      </w:r>
      <w:r w:rsidR="00315A02">
        <w:rPr>
          <w:lang w:val="en-US"/>
        </w:rPr>
        <w:t>year period from 1992 to 2017</w:t>
      </w:r>
      <w:r w:rsidRPr="003E5DA5">
        <w:rPr>
          <w:lang w:val="en-US"/>
        </w:rPr>
        <w:t>. This under</w:t>
      </w:r>
      <w:r w:rsidR="00E43D6A">
        <w:rPr>
          <w:lang w:val="en-US"/>
        </w:rPr>
        <w:t>-</w:t>
      </w:r>
      <w:r w:rsidRPr="003E5DA5">
        <w:rPr>
          <w:lang w:val="en-US"/>
        </w:rPr>
        <w:t xml:space="preserve">investment </w:t>
      </w:r>
      <w:r>
        <w:rPr>
          <w:lang w:val="en-US"/>
        </w:rPr>
        <w:t xml:space="preserve">was </w:t>
      </w:r>
      <w:r w:rsidRPr="003E5DA5">
        <w:rPr>
          <w:lang w:val="en-US"/>
        </w:rPr>
        <w:t xml:space="preserve">in: </w:t>
      </w:r>
    </w:p>
    <w:p w:rsidR="00DB3E42" w:rsidRPr="00AC655B" w:rsidRDefault="00DB3E42" w:rsidP="002E5DBA">
      <w:pPr>
        <w:pStyle w:val="ListParagraph"/>
        <w:numPr>
          <w:ilvl w:val="0"/>
          <w:numId w:val="1"/>
        </w:numPr>
        <w:ind w:left="567" w:hanging="567"/>
        <w:contextualSpacing w:val="0"/>
        <w:jc w:val="left"/>
        <w:rPr>
          <w:lang w:val="en-US"/>
        </w:rPr>
      </w:pPr>
      <w:r>
        <w:rPr>
          <w:lang w:val="en-US"/>
        </w:rPr>
        <w:t>t</w:t>
      </w:r>
      <w:r w:rsidRPr="00AC655B">
        <w:rPr>
          <w:lang w:val="en-US"/>
        </w:rPr>
        <w:t>ransport infrastructure capital stock</w:t>
      </w:r>
    </w:p>
    <w:p w:rsidR="00DB3E42" w:rsidRPr="00AC655B" w:rsidRDefault="00DB3E42" w:rsidP="002E5DBA">
      <w:pPr>
        <w:pStyle w:val="ListParagraph"/>
        <w:numPr>
          <w:ilvl w:val="0"/>
          <w:numId w:val="1"/>
        </w:numPr>
        <w:ind w:left="567" w:hanging="567"/>
        <w:contextualSpacing w:val="0"/>
        <w:jc w:val="left"/>
        <w:rPr>
          <w:lang w:val="en-US"/>
        </w:rPr>
      </w:pPr>
      <w:r>
        <w:rPr>
          <w:lang w:val="en-US"/>
        </w:rPr>
        <w:t>c</w:t>
      </w:r>
      <w:r w:rsidRPr="00AC655B">
        <w:rPr>
          <w:lang w:val="en-US"/>
        </w:rPr>
        <w:t>ommercial capital stock</w:t>
      </w:r>
    </w:p>
    <w:p w:rsidR="00DB3E42" w:rsidRPr="00AC655B" w:rsidRDefault="00DB3E42" w:rsidP="002E5DBA">
      <w:pPr>
        <w:pStyle w:val="ListParagraph"/>
        <w:numPr>
          <w:ilvl w:val="0"/>
          <w:numId w:val="1"/>
        </w:numPr>
        <w:ind w:left="567" w:hanging="567"/>
        <w:contextualSpacing w:val="0"/>
        <w:jc w:val="left"/>
        <w:rPr>
          <w:lang w:val="en-US"/>
        </w:rPr>
      </w:pPr>
      <w:r>
        <w:rPr>
          <w:lang w:val="en-US"/>
        </w:rPr>
        <w:t>c</w:t>
      </w:r>
      <w:r w:rsidRPr="00AC655B">
        <w:rPr>
          <w:lang w:val="en-US"/>
        </w:rPr>
        <w:t>ommunity capital stock (</w:t>
      </w:r>
      <w:r w:rsidR="005F26D5">
        <w:rPr>
          <w:lang w:val="en-US"/>
        </w:rPr>
        <w:t>such as</w:t>
      </w:r>
      <w:r w:rsidRPr="00AC655B">
        <w:rPr>
          <w:lang w:val="en-US"/>
        </w:rPr>
        <w:t xml:space="preserve"> hospitals and schools)</w:t>
      </w:r>
    </w:p>
    <w:p w:rsidR="00DB3E42" w:rsidRPr="00AC655B" w:rsidRDefault="00DB3E42" w:rsidP="002E5DBA">
      <w:pPr>
        <w:pStyle w:val="ListParagraph"/>
        <w:numPr>
          <w:ilvl w:val="0"/>
          <w:numId w:val="1"/>
        </w:numPr>
        <w:ind w:left="567" w:hanging="567"/>
        <w:contextualSpacing w:val="0"/>
        <w:jc w:val="left"/>
        <w:rPr>
          <w:lang w:val="en-US"/>
        </w:rPr>
      </w:pPr>
      <w:r>
        <w:rPr>
          <w:lang w:val="en-US"/>
        </w:rPr>
        <w:t>i</w:t>
      </w:r>
      <w:r w:rsidRPr="00AC655B">
        <w:rPr>
          <w:lang w:val="en-US"/>
        </w:rPr>
        <w:t>ndustrial development</w:t>
      </w:r>
    </w:p>
    <w:p w:rsidR="00DB3E42" w:rsidRPr="00AC655B" w:rsidRDefault="00DB3E42" w:rsidP="002E5DBA">
      <w:pPr>
        <w:pStyle w:val="ListParagraph"/>
        <w:numPr>
          <w:ilvl w:val="0"/>
          <w:numId w:val="1"/>
        </w:numPr>
        <w:ind w:left="567" w:hanging="567"/>
        <w:contextualSpacing w:val="0"/>
        <w:jc w:val="left"/>
        <w:rPr>
          <w:lang w:val="en-US"/>
        </w:rPr>
      </w:pPr>
      <w:r>
        <w:rPr>
          <w:lang w:val="en-US"/>
        </w:rPr>
        <w:t>s</w:t>
      </w:r>
      <w:r w:rsidRPr="00AC655B">
        <w:rPr>
          <w:lang w:val="en-US"/>
        </w:rPr>
        <w:t>kills development</w:t>
      </w:r>
      <w:r>
        <w:rPr>
          <w:lang w:val="en-US"/>
        </w:rPr>
        <w:t xml:space="preserve"> and</w:t>
      </w:r>
    </w:p>
    <w:p w:rsidR="00DB3E42" w:rsidRPr="00AC655B" w:rsidRDefault="00DB3E42" w:rsidP="002E5DBA">
      <w:pPr>
        <w:pStyle w:val="ListParagraph"/>
        <w:numPr>
          <w:ilvl w:val="0"/>
          <w:numId w:val="1"/>
        </w:numPr>
        <w:ind w:left="567" w:hanging="567"/>
        <w:contextualSpacing w:val="0"/>
        <w:jc w:val="left"/>
        <w:rPr>
          <w:lang w:val="en-US"/>
        </w:rPr>
      </w:pPr>
      <w:r>
        <w:rPr>
          <w:lang w:val="en-US"/>
        </w:rPr>
        <w:t>k</w:t>
      </w:r>
      <w:r w:rsidRPr="00AC655B">
        <w:rPr>
          <w:lang w:val="en-US"/>
        </w:rPr>
        <w:t xml:space="preserve">nowledge creation investment. </w:t>
      </w:r>
    </w:p>
    <w:p w:rsidR="003F4A40" w:rsidRDefault="00315A02" w:rsidP="002E5DBA">
      <w:pPr>
        <w:jc w:val="left"/>
        <w:rPr>
          <w:lang w:val="en-US"/>
        </w:rPr>
      </w:pPr>
      <w:r>
        <w:t xml:space="preserve">This shortfall is </w:t>
      </w:r>
      <w:r w:rsidR="00900B2B">
        <w:t xml:space="preserve">reflected in economic, social and environmental costs. Increased congestion levels on roads and public transport are </w:t>
      </w:r>
      <w:r>
        <w:t>examples of</w:t>
      </w:r>
      <w:r w:rsidR="00900B2B">
        <w:t xml:space="preserve"> such cost</w:t>
      </w:r>
      <w:r>
        <w:t>s</w:t>
      </w:r>
      <w:r w:rsidR="00900B2B">
        <w:t xml:space="preserve">, reflecting the extent of underinvestment in transport since 1980. </w:t>
      </w:r>
      <w:r w:rsidR="00DB3E42">
        <w:rPr>
          <w:lang w:val="en-US"/>
        </w:rPr>
        <w:t>By</w:t>
      </w:r>
      <w:r w:rsidR="00DB3E42" w:rsidRPr="00B66BED">
        <w:rPr>
          <w:lang w:val="en-US"/>
        </w:rPr>
        <w:t xml:space="preserve"> 2031, if the same trends </w:t>
      </w:r>
      <w:r>
        <w:rPr>
          <w:lang w:val="en-US"/>
        </w:rPr>
        <w:t xml:space="preserve">in population </w:t>
      </w:r>
      <w:r>
        <w:rPr>
          <w:lang w:val="en-US"/>
        </w:rPr>
        <w:lastRenderedPageBreak/>
        <w:t xml:space="preserve">growth and infrastructure spending </w:t>
      </w:r>
      <w:r w:rsidR="007C3C65">
        <w:rPr>
          <w:lang w:val="en-US"/>
        </w:rPr>
        <w:t xml:space="preserve">were to </w:t>
      </w:r>
      <w:r w:rsidR="00DB3E42" w:rsidRPr="00B66BED">
        <w:rPr>
          <w:lang w:val="en-US"/>
        </w:rPr>
        <w:t>prevail as over the last two to three decades, the additional shortage of investment expenditure will be an extra $</w:t>
      </w:r>
      <w:r w:rsidR="00900B2B">
        <w:rPr>
          <w:lang w:val="en-US"/>
        </w:rPr>
        <w:t>140 billion</w:t>
      </w:r>
      <w:r w:rsidR="006E705C">
        <w:rPr>
          <w:lang w:val="en-US"/>
        </w:rPr>
        <w:t xml:space="preserve"> </w:t>
      </w:r>
      <w:r w:rsidR="00C4075F">
        <w:rPr>
          <w:lang w:val="en-US"/>
        </w:rPr>
        <w:t>by 203</w:t>
      </w:r>
      <w:r w:rsidR="006E705C">
        <w:rPr>
          <w:lang w:val="en-US"/>
        </w:rPr>
        <w:t>1</w:t>
      </w:r>
      <w:r w:rsidR="00DB3E42" w:rsidRPr="00B66BED">
        <w:rPr>
          <w:lang w:val="en-US"/>
        </w:rPr>
        <w:t xml:space="preserve">. </w:t>
      </w:r>
    </w:p>
    <w:p w:rsidR="00C4075F" w:rsidRDefault="003F4A40" w:rsidP="002E5DBA">
      <w:pPr>
        <w:jc w:val="left"/>
        <w:rPr>
          <w:lang w:val="en-US"/>
        </w:rPr>
      </w:pPr>
      <w:r>
        <w:rPr>
          <w:lang w:val="en-US"/>
        </w:rPr>
        <w:t>NIEIR also estimates</w:t>
      </w:r>
      <w:r w:rsidR="007C3C65">
        <w:rPr>
          <w:lang w:val="en-US"/>
        </w:rPr>
        <w:t xml:space="preserve"> that </w:t>
      </w:r>
      <w:r>
        <w:rPr>
          <w:lang w:val="en-US"/>
        </w:rPr>
        <w:t xml:space="preserve">citywide, </w:t>
      </w:r>
      <w:r w:rsidR="00E43D6A">
        <w:rPr>
          <w:lang w:val="en-US"/>
        </w:rPr>
        <w:t xml:space="preserve">a further approximately </w:t>
      </w:r>
      <w:r w:rsidR="00315A02">
        <w:rPr>
          <w:lang w:val="en-US"/>
        </w:rPr>
        <w:t>$160</w:t>
      </w:r>
      <w:r w:rsidR="00E43D6A">
        <w:rPr>
          <w:lang w:val="en-US"/>
        </w:rPr>
        <w:t xml:space="preserve"> </w:t>
      </w:r>
      <w:r w:rsidR="00315A02">
        <w:rPr>
          <w:lang w:val="en-US"/>
        </w:rPr>
        <w:t>b</w:t>
      </w:r>
      <w:r w:rsidR="00E43D6A">
        <w:rPr>
          <w:lang w:val="en-US"/>
        </w:rPr>
        <w:t>illion</w:t>
      </w:r>
      <w:r w:rsidR="00315A02">
        <w:rPr>
          <w:lang w:val="en-US"/>
        </w:rPr>
        <w:t xml:space="preserve"> </w:t>
      </w:r>
      <w:r w:rsidR="00DB3E42" w:rsidRPr="005B3D0B">
        <w:rPr>
          <w:lang w:val="en-US"/>
        </w:rPr>
        <w:t xml:space="preserve">transport infrastructure </w:t>
      </w:r>
      <w:r w:rsidR="00DB3E42">
        <w:rPr>
          <w:lang w:val="en-US"/>
        </w:rPr>
        <w:t>spending</w:t>
      </w:r>
      <w:r w:rsidR="00315A02">
        <w:rPr>
          <w:lang w:val="en-US"/>
        </w:rPr>
        <w:t>, above business as usual, would</w:t>
      </w:r>
      <w:r w:rsidR="00DB3E42">
        <w:rPr>
          <w:lang w:val="en-US"/>
        </w:rPr>
        <w:t xml:space="preserve"> be needed to 2031 to overcome the effects of </w:t>
      </w:r>
      <w:r>
        <w:rPr>
          <w:lang w:val="en-US"/>
        </w:rPr>
        <w:t>increasing congestion</w:t>
      </w:r>
      <w:r w:rsidR="007C3C65">
        <w:rPr>
          <w:lang w:val="en-US"/>
        </w:rPr>
        <w:t xml:space="preserve"> on </w:t>
      </w:r>
      <w:r w:rsidR="00AA7485">
        <w:rPr>
          <w:lang w:val="en-US"/>
        </w:rPr>
        <w:t xml:space="preserve">lowering </w:t>
      </w:r>
      <w:r>
        <w:rPr>
          <w:lang w:val="en-US"/>
        </w:rPr>
        <w:t xml:space="preserve">Melbourne’s </w:t>
      </w:r>
      <w:r w:rsidR="007C3C65">
        <w:rPr>
          <w:lang w:val="en-US"/>
        </w:rPr>
        <w:t>productivity</w:t>
      </w:r>
      <w:r w:rsidR="00315A02">
        <w:rPr>
          <w:lang w:val="en-US"/>
        </w:rPr>
        <w:t xml:space="preserve"> levels</w:t>
      </w:r>
      <w:r w:rsidR="00DB3E42">
        <w:rPr>
          <w:lang w:val="en-US"/>
        </w:rPr>
        <w:t>.</w:t>
      </w:r>
      <w:r w:rsidR="00C4075F">
        <w:rPr>
          <w:lang w:val="en-US"/>
        </w:rPr>
        <w:t xml:space="preserve"> Adding all these elements together and allowing for some double counting, it is arguable that the infrastructure spending shortfall by 2031 might be around $375</w:t>
      </w:r>
      <w:r w:rsidR="00E43D6A">
        <w:rPr>
          <w:lang w:val="en-US"/>
        </w:rPr>
        <w:t xml:space="preserve"> </w:t>
      </w:r>
      <w:r w:rsidR="00C4075F">
        <w:rPr>
          <w:lang w:val="en-US"/>
        </w:rPr>
        <w:t>b</w:t>
      </w:r>
      <w:r w:rsidR="00E43D6A">
        <w:rPr>
          <w:lang w:val="en-US"/>
        </w:rPr>
        <w:t>illion</w:t>
      </w:r>
      <w:r w:rsidR="00C4075F">
        <w:rPr>
          <w:lang w:val="en-US"/>
        </w:rPr>
        <w:t xml:space="preserve"> by 2031, under business-as-usual. Over the 1992-2031 period, this suggests an average shortfall of perhaps $9</w:t>
      </w:r>
      <w:r w:rsidR="00E43D6A">
        <w:rPr>
          <w:lang w:val="en-US"/>
        </w:rPr>
        <w:t xml:space="preserve"> </w:t>
      </w:r>
      <w:r w:rsidR="00C4075F">
        <w:rPr>
          <w:lang w:val="en-US"/>
        </w:rPr>
        <w:t>b</w:t>
      </w:r>
      <w:r w:rsidR="00E43D6A">
        <w:rPr>
          <w:lang w:val="en-US"/>
        </w:rPr>
        <w:t>illion</w:t>
      </w:r>
      <w:r w:rsidR="00C4075F">
        <w:rPr>
          <w:lang w:val="en-US"/>
        </w:rPr>
        <w:t xml:space="preserve"> annually, against business-as-usual.</w:t>
      </w:r>
    </w:p>
    <w:p w:rsidR="003F4A40" w:rsidRDefault="00C4075F" w:rsidP="002E5DBA">
      <w:pPr>
        <w:jc w:val="left"/>
        <w:rPr>
          <w:lang w:val="en-US"/>
        </w:rPr>
      </w:pPr>
      <w:r>
        <w:rPr>
          <w:lang w:val="en-US"/>
        </w:rPr>
        <w:t xml:space="preserve">Recent increases in the rate of capital spending in Victoria, including many major transport projects, </w:t>
      </w:r>
      <w:r w:rsidR="00900B2B">
        <w:rPr>
          <w:lang w:val="en-US"/>
        </w:rPr>
        <w:t>represent</w:t>
      </w:r>
      <w:r>
        <w:rPr>
          <w:lang w:val="en-US"/>
        </w:rPr>
        <w:t>s</w:t>
      </w:r>
      <w:r w:rsidR="00900B2B">
        <w:rPr>
          <w:lang w:val="en-US"/>
        </w:rPr>
        <w:t xml:space="preserve"> </w:t>
      </w:r>
      <w:r w:rsidR="006648F0">
        <w:rPr>
          <w:lang w:val="en-US"/>
        </w:rPr>
        <w:t xml:space="preserve">a </w:t>
      </w:r>
      <w:r w:rsidR="003F4A40">
        <w:rPr>
          <w:lang w:val="en-US"/>
        </w:rPr>
        <w:t>good, albeit belated,</w:t>
      </w:r>
      <w:r w:rsidR="00315A02">
        <w:rPr>
          <w:lang w:val="en-US"/>
        </w:rPr>
        <w:t xml:space="preserve"> start to reducing</w:t>
      </w:r>
      <w:r w:rsidR="00900B2B">
        <w:rPr>
          <w:lang w:val="en-US"/>
        </w:rPr>
        <w:t xml:space="preserve"> this </w:t>
      </w:r>
      <w:r w:rsidR="00315A02">
        <w:rPr>
          <w:lang w:val="en-US"/>
        </w:rPr>
        <w:t xml:space="preserve">infrastructure spending </w:t>
      </w:r>
      <w:r w:rsidR="00900B2B">
        <w:rPr>
          <w:lang w:val="en-US"/>
        </w:rPr>
        <w:t>shortfall</w:t>
      </w:r>
      <w:r>
        <w:rPr>
          <w:lang w:val="en-US"/>
        </w:rPr>
        <w:t>, although with risk of further accentuating urban sprawl, unless more integrated land use transport planning is evident</w:t>
      </w:r>
      <w:r w:rsidR="00315A02">
        <w:rPr>
          <w:lang w:val="en-US"/>
        </w:rPr>
        <w:t>. The 2018 State Budget Papers point out</w:t>
      </w:r>
      <w:r>
        <w:rPr>
          <w:lang w:val="en-US"/>
        </w:rPr>
        <w:t>, for example,</w:t>
      </w:r>
      <w:r w:rsidR="00315A02">
        <w:rPr>
          <w:lang w:val="en-US"/>
        </w:rPr>
        <w:t xml:space="preserve"> that the annual average level of Victorian infrastructure spending over the 4 </w:t>
      </w:r>
      <w:r w:rsidR="00315A02">
        <w:rPr>
          <w:lang w:val="en-US"/>
        </w:rPr>
        <w:lastRenderedPageBreak/>
        <w:t>y</w:t>
      </w:r>
      <w:r>
        <w:rPr>
          <w:lang w:val="en-US"/>
        </w:rPr>
        <w:t>ears since 2014 has been $10.1</w:t>
      </w:r>
      <w:r w:rsidR="00E43D6A">
        <w:rPr>
          <w:lang w:val="en-US"/>
        </w:rPr>
        <w:t xml:space="preserve"> </w:t>
      </w:r>
      <w:r>
        <w:rPr>
          <w:lang w:val="en-US"/>
        </w:rPr>
        <w:t>b</w:t>
      </w:r>
      <w:r w:rsidR="00E43D6A">
        <w:rPr>
          <w:lang w:val="en-US"/>
        </w:rPr>
        <w:t>illion</w:t>
      </w:r>
      <w:r w:rsidR="00315A02">
        <w:rPr>
          <w:lang w:val="en-US"/>
        </w:rPr>
        <w:t>, compared to $4.9</w:t>
      </w:r>
      <w:r w:rsidR="00E43D6A">
        <w:rPr>
          <w:lang w:val="en-US"/>
        </w:rPr>
        <w:t xml:space="preserve"> </w:t>
      </w:r>
      <w:r w:rsidR="00315A02">
        <w:rPr>
          <w:lang w:val="en-US"/>
        </w:rPr>
        <w:t>b</w:t>
      </w:r>
      <w:r w:rsidR="00E43D6A">
        <w:rPr>
          <w:lang w:val="en-US"/>
        </w:rPr>
        <w:t>illion</w:t>
      </w:r>
      <w:r w:rsidR="00315A02">
        <w:rPr>
          <w:lang w:val="en-US"/>
        </w:rPr>
        <w:t xml:space="preserve"> over the preceding period. This </w:t>
      </w:r>
      <w:r w:rsidR="001F10F2">
        <w:rPr>
          <w:lang w:val="en-US"/>
        </w:rPr>
        <w:t xml:space="preserve">increase </w:t>
      </w:r>
      <w:r>
        <w:rPr>
          <w:lang w:val="en-US"/>
        </w:rPr>
        <w:t xml:space="preserve">is around the level of </w:t>
      </w:r>
      <w:r w:rsidR="001F10F2">
        <w:rPr>
          <w:lang w:val="en-US"/>
        </w:rPr>
        <w:t xml:space="preserve">increased </w:t>
      </w:r>
      <w:r>
        <w:rPr>
          <w:lang w:val="en-US"/>
        </w:rPr>
        <w:t>spending that was needed over the entire 1992-2017 period to avoid the infrastructure shortfall of $125</w:t>
      </w:r>
      <w:r w:rsidR="00E43D6A">
        <w:rPr>
          <w:lang w:val="en-US"/>
        </w:rPr>
        <w:t xml:space="preserve"> </w:t>
      </w:r>
      <w:r>
        <w:rPr>
          <w:lang w:val="en-US"/>
        </w:rPr>
        <w:t>b</w:t>
      </w:r>
      <w:r w:rsidR="00E43D6A">
        <w:rPr>
          <w:lang w:val="en-US"/>
        </w:rPr>
        <w:t>illion</w:t>
      </w:r>
      <w:r>
        <w:rPr>
          <w:lang w:val="en-US"/>
        </w:rPr>
        <w:t xml:space="preserve"> estimated as at 2017. Going forward, even greater levels of infrastructure spending will be needed to remove the accumulating shortfall, as estimated above.</w:t>
      </w:r>
    </w:p>
    <w:p w:rsidR="002E5DBA" w:rsidRDefault="001F10F2" w:rsidP="00D045A5">
      <w:pPr>
        <w:pStyle w:val="Heading1"/>
        <w:rPr>
          <w:lang w:val="en-US"/>
        </w:rPr>
      </w:pPr>
      <w:bookmarkStart w:id="6" w:name="_Toc532983534"/>
      <w:r>
        <w:rPr>
          <w:lang w:val="en-US"/>
        </w:rPr>
        <w:t>6</w:t>
      </w:r>
      <w:r w:rsidR="00CF7C9A">
        <w:rPr>
          <w:lang w:val="en-US"/>
        </w:rPr>
        <w:t>.</w:t>
      </w:r>
      <w:r w:rsidR="00CF7C9A">
        <w:rPr>
          <w:lang w:val="en-US"/>
        </w:rPr>
        <w:tab/>
      </w:r>
      <w:r w:rsidR="002E5DBA">
        <w:rPr>
          <w:lang w:val="en-US"/>
        </w:rPr>
        <w:t>Regional growth opportunity</w:t>
      </w:r>
      <w:bookmarkEnd w:id="6"/>
    </w:p>
    <w:p w:rsidR="008559F5" w:rsidRDefault="002E5DBA" w:rsidP="003B02D0">
      <w:pPr>
        <w:jc w:val="left"/>
        <w:rPr>
          <w:lang w:val="en-US"/>
        </w:rPr>
      </w:pPr>
      <w:r>
        <w:rPr>
          <w:lang w:val="en-US"/>
        </w:rPr>
        <w:t xml:space="preserve">Some people are arguing that population growth should be diverted from Melbourne to regional Victoria, to ease growth pressures in Melbourne. This idea has much to commend it, provided urban sprawl on the fringe of Melbourne is not simply shifted to </w:t>
      </w:r>
      <w:r w:rsidR="00AA7485">
        <w:rPr>
          <w:lang w:val="en-US"/>
        </w:rPr>
        <w:t xml:space="preserve">urban </w:t>
      </w:r>
      <w:r>
        <w:rPr>
          <w:lang w:val="en-US"/>
        </w:rPr>
        <w:t xml:space="preserve">sprawl on the outskirts of regional Victorian cities. A key challenge for a successful contribution from regional Victoria will be reversing the poor </w:t>
      </w:r>
      <w:r w:rsidR="00AA7485">
        <w:rPr>
          <w:lang w:val="en-US"/>
        </w:rPr>
        <w:t xml:space="preserve">productivity performance of </w:t>
      </w:r>
      <w:r>
        <w:rPr>
          <w:lang w:val="en-US"/>
        </w:rPr>
        <w:t>non-farm G</w:t>
      </w:r>
      <w:r w:rsidR="00AE2B7A">
        <w:rPr>
          <w:lang w:val="en-US"/>
        </w:rPr>
        <w:t xml:space="preserve">ross </w:t>
      </w:r>
      <w:r>
        <w:rPr>
          <w:lang w:val="en-US"/>
        </w:rPr>
        <w:t>D</w:t>
      </w:r>
      <w:r w:rsidR="00AE2B7A">
        <w:rPr>
          <w:lang w:val="en-US"/>
        </w:rPr>
        <w:t xml:space="preserve">omestic </w:t>
      </w:r>
      <w:r>
        <w:rPr>
          <w:lang w:val="en-US"/>
        </w:rPr>
        <w:t>P</w:t>
      </w:r>
      <w:r w:rsidR="00AE2B7A">
        <w:rPr>
          <w:lang w:val="en-US"/>
        </w:rPr>
        <w:t>roduct</w:t>
      </w:r>
      <w:r w:rsidR="00E40830">
        <w:rPr>
          <w:lang w:val="en-US"/>
        </w:rPr>
        <w:t xml:space="preserve"> </w:t>
      </w:r>
      <w:r>
        <w:rPr>
          <w:lang w:val="en-US"/>
        </w:rPr>
        <w:t xml:space="preserve">of regional Victoria. </w:t>
      </w:r>
    </w:p>
    <w:p w:rsidR="00350B8F" w:rsidRPr="00D045A5" w:rsidRDefault="001F10F2" w:rsidP="00D045A5">
      <w:pPr>
        <w:rPr>
          <w:b/>
          <w:color w:val="1F497D" w:themeColor="text2"/>
          <w:lang w:val="en-US"/>
        </w:rPr>
      </w:pPr>
      <w:r w:rsidRPr="00D045A5">
        <w:rPr>
          <w:b/>
          <w:color w:val="1F497D" w:themeColor="text2"/>
          <w:lang w:val="en-US"/>
        </w:rPr>
        <w:t>F</w:t>
      </w:r>
      <w:r w:rsidR="00350B8F" w:rsidRPr="00D045A5">
        <w:rPr>
          <w:b/>
          <w:color w:val="1F497D" w:themeColor="text2"/>
          <w:lang w:val="en-US"/>
        </w:rPr>
        <w:t xml:space="preserve">igure </w:t>
      </w:r>
      <w:r w:rsidR="00CC0ADA" w:rsidRPr="00D045A5">
        <w:rPr>
          <w:b/>
          <w:color w:val="1F497D" w:themeColor="text2"/>
          <w:lang w:val="en-US"/>
        </w:rPr>
        <w:t>7</w:t>
      </w:r>
      <w:r w:rsidR="00350B8F" w:rsidRPr="00D045A5">
        <w:rPr>
          <w:b/>
          <w:color w:val="1F497D" w:themeColor="text2"/>
          <w:lang w:val="en-US"/>
        </w:rPr>
        <w:t>: Non-farm GRP per hour worked $CVM</w:t>
      </w:r>
    </w:p>
    <w:p w:rsidR="002E5DBA" w:rsidRPr="002E5DBA" w:rsidRDefault="002E5DBA" w:rsidP="002E5DBA">
      <w:pPr>
        <w:jc w:val="left"/>
        <w:rPr>
          <w:lang w:val="en-US"/>
        </w:rPr>
      </w:pPr>
      <w:r w:rsidRPr="002E5DBA">
        <w:rPr>
          <w:noProof/>
          <w:lang w:eastAsia="en-AU"/>
        </w:rPr>
        <w:lastRenderedPageBreak/>
        <w:drawing>
          <wp:inline distT="0" distB="0" distL="0" distR="0">
            <wp:extent cx="4049814" cy="2441276"/>
            <wp:effectExtent l="19050" t="0" r="26886" b="0"/>
            <wp:docPr id="1" name="Chart 1">
              <a:extLst xmlns:a="http://schemas.openxmlformats.org/drawingml/2006/main">
                <a:ext uri="{FF2B5EF4-FFF2-40B4-BE49-F238E27FC236}">
                  <a16:creationId xmlns:a16="http://schemas.microsoft.com/office/drawing/2014/main" id="{62FE6F92-BC65-4D85-8280-2C0F958FD5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B02D0" w:rsidRPr="00E40830" w:rsidRDefault="003266EE" w:rsidP="00CA7E71">
      <w:pPr>
        <w:rPr>
          <w:b/>
          <w:sz w:val="20"/>
          <w:szCs w:val="20"/>
          <w:lang w:val="en-US"/>
        </w:rPr>
      </w:pPr>
      <w:r w:rsidRPr="00E40830">
        <w:rPr>
          <w:sz w:val="20"/>
          <w:szCs w:val="20"/>
          <w:lang w:val="en-US"/>
        </w:rPr>
        <w:t>Source: NIEIR</w:t>
      </w:r>
    </w:p>
    <w:p w:rsidR="008559F5" w:rsidRPr="003B02D0" w:rsidRDefault="008559F5" w:rsidP="008559F5">
      <w:pPr>
        <w:jc w:val="left"/>
        <w:rPr>
          <w:lang w:val="en-US"/>
        </w:rPr>
      </w:pPr>
      <w:r>
        <w:rPr>
          <w:lang w:val="en-US"/>
        </w:rPr>
        <w:t xml:space="preserve">As Figure 7 from NIEIR shows, regional non-farm productivity performance was about 20% better than that of Melbourne in 1992 but 20% poorer by 2016. Loss of regional manufacturing employment has played an important role here, as has growth in knowledge-based jobs in Melbourne. Regional development strategy must reverse this regional productivity trend if an accelerated rate of regional population growth is to be sustainable long term. </w:t>
      </w:r>
      <w:r w:rsidRPr="003B02D0">
        <w:rPr>
          <w:lang w:val="en-US"/>
        </w:rPr>
        <w:t xml:space="preserve">Part of the </w:t>
      </w:r>
      <w:r>
        <w:rPr>
          <w:lang w:val="en-US"/>
        </w:rPr>
        <w:t>explanation for the outcome in F</w:t>
      </w:r>
      <w:r w:rsidRPr="003B02D0">
        <w:rPr>
          <w:lang w:val="en-US"/>
        </w:rPr>
        <w:t xml:space="preserve">igure 8 will also involve </w:t>
      </w:r>
      <w:r w:rsidRPr="003B02D0">
        <w:rPr>
          <w:lang w:val="en-US"/>
        </w:rPr>
        <w:lastRenderedPageBreak/>
        <w:t>the population redistribution from Victorian provincial regions to the metropolitan regions which has undermined the ability of the country regions to maintain a reasonable productivity growth rate and in many cases maintain levels of productivity.</w:t>
      </w:r>
    </w:p>
    <w:p w:rsidR="002361AF" w:rsidRDefault="001F10F2" w:rsidP="00D045A5">
      <w:pPr>
        <w:pStyle w:val="Heading1"/>
        <w:rPr>
          <w:lang w:val="en-US"/>
        </w:rPr>
      </w:pPr>
      <w:bookmarkStart w:id="7" w:name="_Toc532983535"/>
      <w:r>
        <w:rPr>
          <w:lang w:val="en-US"/>
        </w:rPr>
        <w:t>7</w:t>
      </w:r>
      <w:r w:rsidR="00CF7C9A">
        <w:rPr>
          <w:lang w:val="en-US"/>
        </w:rPr>
        <w:t>.</w:t>
      </w:r>
      <w:r w:rsidR="00CF7C9A">
        <w:rPr>
          <w:lang w:val="en-US"/>
        </w:rPr>
        <w:tab/>
      </w:r>
      <w:r w:rsidR="002361AF">
        <w:rPr>
          <w:lang w:val="en-US"/>
        </w:rPr>
        <w:t>Choices</w:t>
      </w:r>
      <w:bookmarkEnd w:id="7"/>
    </w:p>
    <w:p w:rsidR="001F10F2" w:rsidRDefault="001F10F2" w:rsidP="001F10F2">
      <w:pPr>
        <w:jc w:val="left"/>
        <w:rPr>
          <w:lang w:val="en-US"/>
        </w:rPr>
      </w:pPr>
      <w:r>
        <w:rPr>
          <w:lang w:val="en-US"/>
        </w:rPr>
        <w:t xml:space="preserve">In </w:t>
      </w:r>
      <w:r w:rsidRPr="008D3177">
        <w:rPr>
          <w:lang w:val="en-US"/>
        </w:rPr>
        <w:t xml:space="preserve">general, the further the distance from </w:t>
      </w:r>
      <w:r>
        <w:rPr>
          <w:lang w:val="en-US"/>
        </w:rPr>
        <w:t xml:space="preserve">central </w:t>
      </w:r>
      <w:r w:rsidRPr="008D3177">
        <w:rPr>
          <w:lang w:val="en-US"/>
        </w:rPr>
        <w:t xml:space="preserve">Melbourne, the longer </w:t>
      </w:r>
      <w:r>
        <w:rPr>
          <w:lang w:val="en-US"/>
        </w:rPr>
        <w:t xml:space="preserve">the </w:t>
      </w:r>
      <w:r w:rsidRPr="008D3177">
        <w:rPr>
          <w:lang w:val="en-US"/>
        </w:rPr>
        <w:t xml:space="preserve">distances </w:t>
      </w:r>
      <w:r>
        <w:rPr>
          <w:lang w:val="en-US"/>
        </w:rPr>
        <w:t xml:space="preserve">that are </w:t>
      </w:r>
      <w:r w:rsidRPr="008D3177">
        <w:rPr>
          <w:lang w:val="en-US"/>
        </w:rPr>
        <w:t xml:space="preserve">needed to travel to work, the </w:t>
      </w:r>
      <w:r>
        <w:rPr>
          <w:lang w:val="en-US"/>
        </w:rPr>
        <w:t xml:space="preserve">greater the </w:t>
      </w:r>
      <w:r w:rsidRPr="008D3177">
        <w:rPr>
          <w:lang w:val="en-US"/>
        </w:rPr>
        <w:t xml:space="preserve">absence of public transport to make this trip, the further you </w:t>
      </w:r>
      <w:r>
        <w:rPr>
          <w:lang w:val="en-US"/>
        </w:rPr>
        <w:t xml:space="preserve">will </w:t>
      </w:r>
      <w:r w:rsidRPr="008D3177">
        <w:rPr>
          <w:lang w:val="en-US"/>
        </w:rPr>
        <w:t xml:space="preserve">live from </w:t>
      </w:r>
      <w:r>
        <w:rPr>
          <w:lang w:val="en-US"/>
        </w:rPr>
        <w:t xml:space="preserve">available </w:t>
      </w:r>
      <w:r w:rsidRPr="008D3177">
        <w:rPr>
          <w:lang w:val="en-US"/>
        </w:rPr>
        <w:t>public transport options, the lower the urban density and job density and the lower the productivity levels.</w:t>
      </w:r>
      <w:r>
        <w:rPr>
          <w:lang w:val="en-US"/>
        </w:rPr>
        <w:t xml:space="preserve"> A similar pattern can be found in social indicators that tend to deteriorate with distance from central Melbourne, with increasing concerns around health</w:t>
      </w:r>
      <w:r w:rsidRPr="003C2C3E">
        <w:rPr>
          <w:lang w:val="en-US"/>
        </w:rPr>
        <w:t xml:space="preserve"> </w:t>
      </w:r>
      <w:r>
        <w:rPr>
          <w:lang w:val="en-US"/>
        </w:rPr>
        <w:t>(</w:t>
      </w:r>
      <w:r w:rsidR="005F26D5">
        <w:rPr>
          <w:lang w:val="en-US"/>
        </w:rPr>
        <w:t>for example,</w:t>
      </w:r>
      <w:r>
        <w:rPr>
          <w:lang w:val="en-US"/>
        </w:rPr>
        <w:t xml:space="preserve"> relatively </w:t>
      </w:r>
      <w:r w:rsidRPr="00545F45">
        <w:rPr>
          <w:lang w:val="en-US"/>
        </w:rPr>
        <w:t>higher levels of obesity</w:t>
      </w:r>
      <w:r>
        <w:rPr>
          <w:lang w:val="en-US"/>
        </w:rPr>
        <w:t xml:space="preserve">), relatively poorer </w:t>
      </w:r>
      <w:r w:rsidRPr="00545F45">
        <w:rPr>
          <w:lang w:val="en-US"/>
        </w:rPr>
        <w:t xml:space="preserve">levels of child development on entering schools, fewer people with higher qualifications, </w:t>
      </w:r>
      <w:r>
        <w:rPr>
          <w:lang w:val="en-US"/>
        </w:rPr>
        <w:t>relatively higher</w:t>
      </w:r>
      <w:r w:rsidRPr="00545F45">
        <w:rPr>
          <w:lang w:val="en-US"/>
        </w:rPr>
        <w:t xml:space="preserve"> levels of youth unemployment</w:t>
      </w:r>
      <w:r>
        <w:rPr>
          <w:lang w:val="en-US"/>
        </w:rPr>
        <w:t xml:space="preserve"> and</w:t>
      </w:r>
      <w:r w:rsidRPr="00545F45">
        <w:rPr>
          <w:lang w:val="en-US"/>
        </w:rPr>
        <w:t xml:space="preserve"> proportionately lower levels of social capital</w:t>
      </w:r>
      <w:r>
        <w:rPr>
          <w:lang w:val="en-US"/>
        </w:rPr>
        <w:t xml:space="preserve">. </w:t>
      </w:r>
    </w:p>
    <w:p w:rsidR="00AF722B" w:rsidRDefault="001F10F2" w:rsidP="001F10F2">
      <w:pPr>
        <w:jc w:val="left"/>
        <w:rPr>
          <w:lang w:val="en-US"/>
        </w:rPr>
      </w:pPr>
      <w:r>
        <w:rPr>
          <w:lang w:val="en-US"/>
        </w:rPr>
        <w:lastRenderedPageBreak/>
        <w:t>Melbourne’s current high rate of population growth in under-resourced outer urban LGAs seem</w:t>
      </w:r>
      <w:r w:rsidR="00AF722B">
        <w:rPr>
          <w:lang w:val="en-US"/>
        </w:rPr>
        <w:t>s</w:t>
      </w:r>
      <w:r>
        <w:rPr>
          <w:lang w:val="en-US"/>
        </w:rPr>
        <w:t xml:space="preserve"> to be compounding existing personal socio-economic costs of residents and society more broadly, issues not given sufficient consideration, while detracting from </w:t>
      </w:r>
      <w:r w:rsidR="00AF722B">
        <w:rPr>
          <w:lang w:val="en-US"/>
        </w:rPr>
        <w:t xml:space="preserve">overall </w:t>
      </w:r>
      <w:r>
        <w:rPr>
          <w:lang w:val="en-US"/>
        </w:rPr>
        <w:t xml:space="preserve">urban productivity performance. </w:t>
      </w:r>
      <w:r w:rsidR="00AF722B">
        <w:rPr>
          <w:lang w:val="en-US"/>
        </w:rPr>
        <w:t>The range of socio-economic challenges identified associated with rapid fringe area population growth demands more integrated approaches to both planning urban growth and funding the infrastructure and services on which this depends, to deal with both current and emerging issues.</w:t>
      </w:r>
    </w:p>
    <w:p w:rsidR="00900B2B" w:rsidRDefault="00900B2B" w:rsidP="002E5DBA">
      <w:pPr>
        <w:jc w:val="left"/>
        <w:rPr>
          <w:lang w:val="en-US"/>
        </w:rPr>
      </w:pPr>
      <w:r>
        <w:rPr>
          <w:lang w:val="en-US"/>
        </w:rPr>
        <w:t>Our analysis suggests</w:t>
      </w:r>
      <w:r w:rsidR="00DB3E42">
        <w:rPr>
          <w:lang w:val="en-US"/>
        </w:rPr>
        <w:t xml:space="preserve"> that Melbourne</w:t>
      </w:r>
      <w:r w:rsidR="002E5DBA">
        <w:rPr>
          <w:lang w:val="en-US"/>
        </w:rPr>
        <w:t xml:space="preserve"> </w:t>
      </w:r>
      <w:r w:rsidR="00DB3E42">
        <w:rPr>
          <w:lang w:val="en-US"/>
        </w:rPr>
        <w:t xml:space="preserve">’s </w:t>
      </w:r>
      <w:r w:rsidR="00DB3E42" w:rsidRPr="00865D4C">
        <w:rPr>
          <w:lang w:val="en-US"/>
        </w:rPr>
        <w:t>population growth</w:t>
      </w:r>
      <w:r w:rsidR="00DB3E42">
        <w:rPr>
          <w:lang w:val="en-US"/>
        </w:rPr>
        <w:t xml:space="preserve"> </w:t>
      </w:r>
      <w:r w:rsidR="002E5DBA">
        <w:rPr>
          <w:lang w:val="en-US"/>
        </w:rPr>
        <w:t>needs to be more compatible with</w:t>
      </w:r>
      <w:r w:rsidR="00DB3E42" w:rsidRPr="00865D4C">
        <w:rPr>
          <w:lang w:val="en-US"/>
        </w:rPr>
        <w:t xml:space="preserve"> the level of resources the nation is willing to provide</w:t>
      </w:r>
      <w:r w:rsidR="00DB3E42">
        <w:rPr>
          <w:lang w:val="en-US"/>
        </w:rPr>
        <w:t xml:space="preserve"> to support such growth</w:t>
      </w:r>
      <w:r w:rsidR="001F10F2">
        <w:rPr>
          <w:lang w:val="en-US"/>
        </w:rPr>
        <w:t xml:space="preserve"> and better located with respect to urban opportunities</w:t>
      </w:r>
      <w:r w:rsidR="00DB3E42" w:rsidRPr="00865D4C">
        <w:rPr>
          <w:lang w:val="en-US"/>
        </w:rPr>
        <w:t>.</w:t>
      </w:r>
      <w:r w:rsidR="00AA7485">
        <w:rPr>
          <w:lang w:val="en-US"/>
        </w:rPr>
        <w:t xml:space="preserve"> The </w:t>
      </w:r>
      <w:r w:rsidR="00AA7485" w:rsidRPr="00AA7485">
        <w:rPr>
          <w:i/>
          <w:lang w:val="en-US"/>
        </w:rPr>
        <w:t>Plan Melbourne 2017-2050</w:t>
      </w:r>
      <w:r w:rsidR="00AA7485">
        <w:rPr>
          <w:lang w:val="en-US"/>
        </w:rPr>
        <w:t xml:space="preserve"> focus on delivering a more compact city needs to be taken much more seriously.</w:t>
      </w:r>
      <w:r w:rsidR="002361AF">
        <w:rPr>
          <w:lang w:val="en-US"/>
        </w:rPr>
        <w:t xml:space="preserve"> A community conversation is needed to more clearly define the</w:t>
      </w:r>
      <w:r w:rsidR="000C7B39">
        <w:rPr>
          <w:lang w:val="en-US"/>
        </w:rPr>
        <w:t xml:space="preserve"> key</w:t>
      </w:r>
      <w:r w:rsidR="00DB3E42" w:rsidRPr="00865D4C">
        <w:rPr>
          <w:lang w:val="en-US"/>
        </w:rPr>
        <w:t xml:space="preserve"> </w:t>
      </w:r>
      <w:r w:rsidR="002361AF">
        <w:rPr>
          <w:lang w:val="en-US"/>
        </w:rPr>
        <w:t>choices</w:t>
      </w:r>
      <w:r w:rsidR="00AA7485">
        <w:rPr>
          <w:lang w:val="en-US"/>
        </w:rPr>
        <w:t xml:space="preserve">, with a focus on the scale of </w:t>
      </w:r>
      <w:r w:rsidR="000C7B39">
        <w:rPr>
          <w:lang w:val="en-US"/>
        </w:rPr>
        <w:t xml:space="preserve">future </w:t>
      </w:r>
      <w:r w:rsidR="00AA7485">
        <w:rPr>
          <w:lang w:val="en-US"/>
        </w:rPr>
        <w:t>population growth, its location and policies to best support achievement of desired outcomes</w:t>
      </w:r>
      <w:r w:rsidR="002E5DBA">
        <w:rPr>
          <w:lang w:val="en-US"/>
        </w:rPr>
        <w:t xml:space="preserve">. </w:t>
      </w:r>
      <w:r w:rsidR="00DB3E42">
        <w:rPr>
          <w:lang w:val="en-US"/>
        </w:rPr>
        <w:t>Part of the solution may be a</w:t>
      </w:r>
      <w:r w:rsidR="00FE70D8">
        <w:rPr>
          <w:lang w:val="en-US"/>
        </w:rPr>
        <w:t>n</w:t>
      </w:r>
      <w:r w:rsidR="00DB3E42">
        <w:rPr>
          <w:lang w:val="en-US"/>
        </w:rPr>
        <w:t xml:space="preserve"> increase in regional population growth</w:t>
      </w:r>
      <w:r>
        <w:rPr>
          <w:lang w:val="en-US"/>
        </w:rPr>
        <w:t xml:space="preserve">, </w:t>
      </w:r>
      <w:r>
        <w:rPr>
          <w:lang w:val="en-US"/>
        </w:rPr>
        <w:lastRenderedPageBreak/>
        <w:t xml:space="preserve">which means </w:t>
      </w:r>
      <w:r w:rsidR="002E5DBA">
        <w:rPr>
          <w:lang w:val="en-US"/>
        </w:rPr>
        <w:t>a requirement to tackle</w:t>
      </w:r>
      <w:r>
        <w:rPr>
          <w:lang w:val="en-US"/>
        </w:rPr>
        <w:t xml:space="preserve"> the non-farm productivity deficit </w:t>
      </w:r>
      <w:r w:rsidR="002361AF">
        <w:rPr>
          <w:lang w:val="en-US"/>
        </w:rPr>
        <w:t xml:space="preserve">currently </w:t>
      </w:r>
      <w:r>
        <w:rPr>
          <w:lang w:val="en-US"/>
        </w:rPr>
        <w:t>facing regional Victoria</w:t>
      </w:r>
      <w:r w:rsidR="001F10F2">
        <w:rPr>
          <w:lang w:val="en-US"/>
        </w:rPr>
        <w:t xml:space="preserve">. </w:t>
      </w:r>
      <w:r>
        <w:rPr>
          <w:lang w:val="en-US"/>
        </w:rPr>
        <w:t>M</w:t>
      </w:r>
      <w:r w:rsidR="00DB3E42">
        <w:rPr>
          <w:lang w:val="en-US"/>
        </w:rPr>
        <w:t xml:space="preserve">ajor infrastructure </w:t>
      </w:r>
      <w:r w:rsidR="001F10F2">
        <w:rPr>
          <w:lang w:val="en-US"/>
        </w:rPr>
        <w:t>expenditure</w:t>
      </w:r>
      <w:r w:rsidR="00DB3E42">
        <w:rPr>
          <w:lang w:val="en-US"/>
        </w:rPr>
        <w:t xml:space="preserve"> will still be needed. </w:t>
      </w:r>
    </w:p>
    <w:p w:rsidR="001F10F2" w:rsidRDefault="00900B2B" w:rsidP="001F10F2">
      <w:pPr>
        <w:jc w:val="left"/>
        <w:rPr>
          <w:lang w:val="en-US"/>
        </w:rPr>
      </w:pPr>
      <w:r>
        <w:rPr>
          <w:lang w:val="en-US"/>
        </w:rPr>
        <w:t>T</w:t>
      </w:r>
      <w:r w:rsidR="00DB3E42">
        <w:rPr>
          <w:lang w:val="en-US"/>
        </w:rPr>
        <w:t>his</w:t>
      </w:r>
      <w:r>
        <w:rPr>
          <w:lang w:val="en-US"/>
        </w:rPr>
        <w:t xml:space="preserve"> short discussion</w:t>
      </w:r>
      <w:r w:rsidR="00DB3E42">
        <w:rPr>
          <w:lang w:val="en-US"/>
        </w:rPr>
        <w:t xml:space="preserve"> does not take account of many other impacts of high population growth, such as on the natural environment. This would include issues such as the rapid biodiversity loss</w:t>
      </w:r>
      <w:r w:rsidR="006C726F">
        <w:rPr>
          <w:lang w:val="en-US"/>
        </w:rPr>
        <w:t xml:space="preserve"> currently occurring</w:t>
      </w:r>
      <w:r>
        <w:rPr>
          <w:lang w:val="en-US"/>
        </w:rPr>
        <w:t>,</w:t>
      </w:r>
      <w:r w:rsidR="00DB3E42">
        <w:rPr>
          <w:lang w:val="en-US"/>
        </w:rPr>
        <w:t xml:space="preserve"> resultant loss of ecosystem services, the loss of food growing land through urban sprawl, </w:t>
      </w:r>
      <w:r w:rsidR="00565A7A">
        <w:rPr>
          <w:lang w:val="en-US"/>
        </w:rPr>
        <w:t>increasing</w:t>
      </w:r>
      <w:r w:rsidR="00DB3E42">
        <w:rPr>
          <w:lang w:val="en-US"/>
        </w:rPr>
        <w:t xml:space="preserve"> freshwater scarcity and the gr</w:t>
      </w:r>
      <w:r w:rsidR="003C2C3E">
        <w:rPr>
          <w:lang w:val="en-US"/>
        </w:rPr>
        <w:t xml:space="preserve">owing risk of bushfire with increasing </w:t>
      </w:r>
      <w:r w:rsidR="00DB3E42">
        <w:rPr>
          <w:lang w:val="en-US"/>
        </w:rPr>
        <w:t xml:space="preserve">urban penetration into forested and grassland areas. </w:t>
      </w:r>
      <w:r w:rsidR="001F10F2">
        <w:rPr>
          <w:lang w:val="en-US"/>
        </w:rPr>
        <w:t>Also, c</w:t>
      </w:r>
      <w:r w:rsidR="001F10F2" w:rsidRPr="00EB48A4">
        <w:rPr>
          <w:lang w:val="en-US"/>
        </w:rPr>
        <w:t>ontinued high population growth will make it very difficult for the transport secto</w:t>
      </w:r>
      <w:r w:rsidR="001F10F2">
        <w:rPr>
          <w:lang w:val="en-US"/>
        </w:rPr>
        <w:t>r, our third largest source of greenhouse gas emissions,</w:t>
      </w:r>
      <w:r w:rsidR="001F10F2" w:rsidRPr="00EB48A4">
        <w:rPr>
          <w:lang w:val="en-US"/>
        </w:rPr>
        <w:t xml:space="preserve"> to make a proportionate contribution to the national 2030 GHG emis</w:t>
      </w:r>
      <w:r w:rsidR="00E43D6A">
        <w:rPr>
          <w:lang w:val="en-US"/>
        </w:rPr>
        <w:t xml:space="preserve">sions reduction target of 26-28% </w:t>
      </w:r>
      <w:r w:rsidR="001F10F2" w:rsidRPr="00EB48A4">
        <w:rPr>
          <w:lang w:val="en-US"/>
        </w:rPr>
        <w:t>below 2005 levels</w:t>
      </w:r>
      <w:r w:rsidR="001F10F2">
        <w:rPr>
          <w:lang w:val="en-US"/>
        </w:rPr>
        <w:t>, a target we expect to increase substantially in coming years</w:t>
      </w:r>
      <w:r w:rsidR="001F10F2" w:rsidRPr="00EB48A4">
        <w:rPr>
          <w:lang w:val="en-US"/>
        </w:rPr>
        <w:t>.</w:t>
      </w:r>
      <w:r w:rsidR="001F10F2">
        <w:rPr>
          <w:lang w:val="en-US"/>
        </w:rPr>
        <w:t xml:space="preserve"> A range of </w:t>
      </w:r>
      <w:r w:rsidR="001F10F2" w:rsidRPr="00EB48A4">
        <w:rPr>
          <w:lang w:val="en-US"/>
        </w:rPr>
        <w:t>complementary measures</w:t>
      </w:r>
      <w:r w:rsidR="001F10F2">
        <w:rPr>
          <w:lang w:val="en-US"/>
        </w:rPr>
        <w:t xml:space="preserve"> will be needed, such as more vigorously pursuing the </w:t>
      </w:r>
      <w:r w:rsidR="001F10F2" w:rsidRPr="00EB48A4">
        <w:rPr>
          <w:i/>
          <w:lang w:val="en-US"/>
        </w:rPr>
        <w:t>Plan Melbourne 2017-2050</w:t>
      </w:r>
      <w:r w:rsidR="001F10F2">
        <w:rPr>
          <w:i/>
          <w:lang w:val="en-US"/>
        </w:rPr>
        <w:t xml:space="preserve"> </w:t>
      </w:r>
      <w:r w:rsidR="001F10F2">
        <w:rPr>
          <w:lang w:val="en-US"/>
        </w:rPr>
        <w:t>intent to achieve a compact city</w:t>
      </w:r>
      <w:r w:rsidR="001F10F2" w:rsidRPr="00EB48A4">
        <w:rPr>
          <w:lang w:val="en-US"/>
        </w:rPr>
        <w:t>, including delivery of 20 minute neighbourhoods</w:t>
      </w:r>
      <w:r w:rsidR="001F10F2">
        <w:rPr>
          <w:lang w:val="en-US"/>
        </w:rPr>
        <w:t xml:space="preserve">, </w:t>
      </w:r>
      <w:r w:rsidR="001F10F2" w:rsidRPr="00EB48A4">
        <w:rPr>
          <w:lang w:val="en-US"/>
        </w:rPr>
        <w:t>slowing urban growth on the fringe</w:t>
      </w:r>
      <w:r w:rsidR="001F10F2">
        <w:rPr>
          <w:lang w:val="en-US"/>
        </w:rPr>
        <w:t>,</w:t>
      </w:r>
      <w:r w:rsidR="001F10F2" w:rsidRPr="00EB48A4">
        <w:rPr>
          <w:lang w:val="en-US"/>
        </w:rPr>
        <w:t xml:space="preserve"> </w:t>
      </w:r>
      <w:r w:rsidR="001F10F2">
        <w:rPr>
          <w:lang w:val="en-US"/>
        </w:rPr>
        <w:t xml:space="preserve">measures to increase the public </w:t>
      </w:r>
      <w:r w:rsidR="00E43D6A">
        <w:rPr>
          <w:lang w:val="en-US"/>
        </w:rPr>
        <w:t xml:space="preserve">transport mode share to over </w:t>
      </w:r>
      <w:r w:rsidR="00E43D6A">
        <w:rPr>
          <w:lang w:val="en-US"/>
        </w:rPr>
        <w:lastRenderedPageBreak/>
        <w:t xml:space="preserve">20% </w:t>
      </w:r>
      <w:r w:rsidR="001F10F2" w:rsidRPr="00EB48A4">
        <w:rPr>
          <w:lang w:val="en-US"/>
        </w:rPr>
        <w:t>and significant improvement i</w:t>
      </w:r>
      <w:r w:rsidR="001F10F2">
        <w:rPr>
          <w:lang w:val="en-US"/>
        </w:rPr>
        <w:t xml:space="preserve">n active travel opportunities. Such initiatives have multiple co-benefits in terms of </w:t>
      </w:r>
      <w:r w:rsidR="00D512F9">
        <w:rPr>
          <w:lang w:val="en-US"/>
        </w:rPr>
        <w:t xml:space="preserve">productivity, </w:t>
      </w:r>
      <w:r w:rsidR="001F10F2">
        <w:rPr>
          <w:lang w:val="en-US"/>
        </w:rPr>
        <w:t xml:space="preserve">health and wellbeing. </w:t>
      </w:r>
    </w:p>
    <w:p w:rsidR="003D474C" w:rsidRDefault="00907D9E" w:rsidP="00D045A5">
      <w:pPr>
        <w:pStyle w:val="Heading1"/>
      </w:pPr>
      <w:bookmarkStart w:id="8" w:name="_Toc532983536"/>
      <w:r>
        <w:t>References</w:t>
      </w:r>
      <w:bookmarkEnd w:id="8"/>
    </w:p>
    <w:p w:rsidR="007E6F37" w:rsidRPr="008000EC" w:rsidRDefault="007E6F37" w:rsidP="007E6F37">
      <w:pPr>
        <w:rPr>
          <w:rFonts w:cs="Times New Roman"/>
          <w:szCs w:val="24"/>
        </w:rPr>
      </w:pPr>
      <w:r w:rsidRPr="008000EC">
        <w:rPr>
          <w:rFonts w:cs="Times New Roman"/>
          <w:szCs w:val="24"/>
        </w:rPr>
        <w:t xml:space="preserve">Abel, J, Dey, I. and Gabe T. (2012), ‘Productivity and the density of human capital’, </w:t>
      </w:r>
      <w:r w:rsidRPr="008000EC">
        <w:rPr>
          <w:rFonts w:cs="Times New Roman"/>
          <w:i/>
          <w:szCs w:val="24"/>
        </w:rPr>
        <w:t>Journal of the Regional Science Association</w:t>
      </w:r>
      <w:r w:rsidRPr="008000EC">
        <w:rPr>
          <w:rFonts w:cs="Times New Roman"/>
          <w:szCs w:val="24"/>
        </w:rPr>
        <w:t xml:space="preserve"> </w:t>
      </w:r>
      <w:r w:rsidRPr="005F26D5">
        <w:rPr>
          <w:rFonts w:cs="Times New Roman"/>
          <w:szCs w:val="24"/>
        </w:rPr>
        <w:t>52</w:t>
      </w:r>
      <w:r w:rsidR="005F26D5">
        <w:rPr>
          <w:rFonts w:cs="Times New Roman"/>
          <w:b/>
          <w:szCs w:val="24"/>
        </w:rPr>
        <w:t xml:space="preserve">, </w:t>
      </w:r>
      <w:r w:rsidR="005F26D5">
        <w:rPr>
          <w:rFonts w:cs="Times New Roman"/>
          <w:szCs w:val="24"/>
        </w:rPr>
        <w:t>4</w:t>
      </w:r>
      <w:r w:rsidRPr="008000EC">
        <w:rPr>
          <w:rFonts w:cs="Times New Roman"/>
          <w:szCs w:val="24"/>
        </w:rPr>
        <w:t xml:space="preserve">, </w:t>
      </w:r>
      <w:r w:rsidR="005F26D5">
        <w:rPr>
          <w:rFonts w:cs="Times New Roman"/>
          <w:szCs w:val="24"/>
        </w:rPr>
        <w:t>pp.</w:t>
      </w:r>
      <w:r w:rsidRPr="008000EC">
        <w:rPr>
          <w:rFonts w:cs="Times New Roman"/>
          <w:szCs w:val="24"/>
        </w:rPr>
        <w:t>562-586.</w:t>
      </w:r>
    </w:p>
    <w:p w:rsidR="003266EE" w:rsidRPr="008000EC" w:rsidRDefault="003266EE" w:rsidP="003266EE">
      <w:pPr>
        <w:jc w:val="left"/>
        <w:rPr>
          <w:rFonts w:cs="Times New Roman"/>
          <w:szCs w:val="24"/>
        </w:rPr>
      </w:pPr>
      <w:r w:rsidRPr="008000EC">
        <w:rPr>
          <w:rFonts w:cs="Times New Roman"/>
          <w:szCs w:val="24"/>
        </w:rPr>
        <w:t xml:space="preserve">Alston, L., Allender, S., Peterson, K., Jacobs, J., </w:t>
      </w:r>
      <w:r>
        <w:rPr>
          <w:rFonts w:cs="Times New Roman"/>
          <w:szCs w:val="24"/>
        </w:rPr>
        <w:t>and</w:t>
      </w:r>
      <w:r w:rsidRPr="008000EC">
        <w:rPr>
          <w:rFonts w:cs="Times New Roman"/>
          <w:szCs w:val="24"/>
        </w:rPr>
        <w:t xml:space="preserve"> Nichols, M. (2017), ‘Rural inequalities in the Australian burden of ischaemic heart disease: A systematic review’, </w:t>
      </w:r>
      <w:r w:rsidRPr="008000EC">
        <w:rPr>
          <w:rFonts w:cs="Times New Roman"/>
          <w:i/>
          <w:iCs/>
          <w:szCs w:val="24"/>
        </w:rPr>
        <w:t>Heart, Lung and Circulation,</w:t>
      </w:r>
      <w:r w:rsidRPr="005F26D5">
        <w:rPr>
          <w:rFonts w:cs="Times New Roman"/>
          <w:iCs/>
          <w:szCs w:val="24"/>
        </w:rPr>
        <w:t xml:space="preserve"> 26</w:t>
      </w:r>
      <w:r>
        <w:rPr>
          <w:rFonts w:cs="Times New Roman"/>
          <w:szCs w:val="24"/>
        </w:rPr>
        <w:t>, 2</w:t>
      </w:r>
      <w:r w:rsidRPr="008000EC">
        <w:rPr>
          <w:rFonts w:cs="Times New Roman"/>
          <w:szCs w:val="24"/>
        </w:rPr>
        <w:t xml:space="preserve">, </w:t>
      </w:r>
      <w:r>
        <w:rPr>
          <w:rFonts w:cs="Times New Roman"/>
          <w:szCs w:val="24"/>
        </w:rPr>
        <w:t>pp.</w:t>
      </w:r>
      <w:r w:rsidRPr="008000EC">
        <w:rPr>
          <w:rFonts w:cs="Times New Roman"/>
          <w:szCs w:val="24"/>
        </w:rPr>
        <w:t xml:space="preserve">122–133. </w:t>
      </w:r>
    </w:p>
    <w:p w:rsidR="007E6F37" w:rsidRPr="008000EC" w:rsidRDefault="007E6F37" w:rsidP="007E6F37">
      <w:pPr>
        <w:jc w:val="left"/>
        <w:rPr>
          <w:rFonts w:cs="Times New Roman"/>
          <w:szCs w:val="24"/>
        </w:rPr>
      </w:pPr>
      <w:r w:rsidRPr="008000EC">
        <w:rPr>
          <w:rFonts w:cs="Times New Roman"/>
          <w:szCs w:val="24"/>
        </w:rPr>
        <w:t>Austra</w:t>
      </w:r>
      <w:r w:rsidR="005F26D5">
        <w:rPr>
          <w:rFonts w:cs="Times New Roman"/>
          <w:szCs w:val="24"/>
        </w:rPr>
        <w:t>lian Bureau of Statistics (2016</w:t>
      </w:r>
      <w:r w:rsidRPr="008000EC">
        <w:rPr>
          <w:rFonts w:cs="Times New Roman"/>
          <w:szCs w:val="24"/>
        </w:rPr>
        <w:t xml:space="preserve">), ‘National Health Survey: First results, 2014-15’, </w:t>
      </w:r>
      <w:r w:rsidRPr="008000EC">
        <w:rPr>
          <w:rFonts w:cs="Times New Roman"/>
          <w:i/>
          <w:szCs w:val="24"/>
        </w:rPr>
        <w:t>ABS cat. no. 4364.0.55.001</w:t>
      </w:r>
      <w:r w:rsidRPr="008000EC">
        <w:rPr>
          <w:rFonts w:cs="Times New Roman"/>
          <w:szCs w:val="24"/>
        </w:rPr>
        <w:t>, March.</w:t>
      </w:r>
    </w:p>
    <w:p w:rsidR="007E6F37" w:rsidRPr="008000EC" w:rsidRDefault="007E6F37" w:rsidP="007E6F37">
      <w:pPr>
        <w:jc w:val="left"/>
        <w:rPr>
          <w:rFonts w:cs="Times New Roman"/>
          <w:szCs w:val="24"/>
        </w:rPr>
      </w:pPr>
      <w:r w:rsidRPr="008000EC">
        <w:rPr>
          <w:rFonts w:cs="Times New Roman"/>
          <w:szCs w:val="24"/>
        </w:rPr>
        <w:t>Australian Government (2016)</w:t>
      </w:r>
      <w:r w:rsidR="005F26D5">
        <w:rPr>
          <w:rFonts w:cs="Times New Roman"/>
          <w:szCs w:val="24"/>
        </w:rPr>
        <w:t>,</w:t>
      </w:r>
      <w:r w:rsidRPr="008000EC">
        <w:rPr>
          <w:rFonts w:cs="Times New Roman"/>
          <w:szCs w:val="24"/>
        </w:rPr>
        <w:t xml:space="preserve"> </w:t>
      </w:r>
      <w:r w:rsidRPr="008000EC">
        <w:rPr>
          <w:rFonts w:cs="Times New Roman"/>
          <w:i/>
          <w:szCs w:val="24"/>
        </w:rPr>
        <w:t>Australian Early Development Census 2015</w:t>
      </w:r>
      <w:r w:rsidRPr="008000EC">
        <w:rPr>
          <w:rFonts w:cs="Times New Roman"/>
          <w:szCs w:val="24"/>
        </w:rPr>
        <w:t xml:space="preserve">, </w:t>
      </w:r>
      <w:hyperlink r:id="rId25" w:history="1">
        <w:r w:rsidRPr="00456603">
          <w:rPr>
            <w:rStyle w:val="Hyperlink"/>
            <w:rFonts w:cs="Times New Roman"/>
            <w:color w:val="auto"/>
            <w:szCs w:val="24"/>
            <w:u w:val="none"/>
          </w:rPr>
          <w:t>https://www.aedc.gov.au/</w:t>
        </w:r>
      </w:hyperlink>
      <w:r w:rsidRPr="008000EC">
        <w:rPr>
          <w:rFonts w:cs="Times New Roman"/>
          <w:szCs w:val="24"/>
        </w:rPr>
        <w:t>. Viewed 1 May 2018.</w:t>
      </w:r>
    </w:p>
    <w:p w:rsidR="007E6F37" w:rsidRPr="008000EC" w:rsidRDefault="007E6F37" w:rsidP="007E6F37">
      <w:pPr>
        <w:jc w:val="left"/>
        <w:rPr>
          <w:rFonts w:cs="Times New Roman"/>
          <w:szCs w:val="24"/>
        </w:rPr>
      </w:pPr>
      <w:r w:rsidRPr="008000EC">
        <w:rPr>
          <w:rFonts w:cs="Times New Roman"/>
          <w:szCs w:val="24"/>
        </w:rPr>
        <w:lastRenderedPageBreak/>
        <w:t>(AIHW) Australian Institut</w:t>
      </w:r>
      <w:r w:rsidR="005F26D5">
        <w:rPr>
          <w:rFonts w:cs="Times New Roman"/>
          <w:szCs w:val="24"/>
        </w:rPr>
        <w:t xml:space="preserve">e of Health and Welfare (2016), </w:t>
      </w:r>
      <w:r w:rsidRPr="008000EC">
        <w:rPr>
          <w:rFonts w:cs="Times New Roman"/>
          <w:i/>
          <w:szCs w:val="24"/>
        </w:rPr>
        <w:t>Australian Burden of Disease Study: Impact and causes of illness and death in Australian 2011</w:t>
      </w:r>
      <w:r w:rsidRPr="008000EC">
        <w:rPr>
          <w:rFonts w:cs="Times New Roman"/>
          <w:szCs w:val="24"/>
        </w:rPr>
        <w:t>, Australian Burden of disease Study series no. 3, BOD 4, Canberra.</w:t>
      </w:r>
    </w:p>
    <w:p w:rsidR="007E6F37" w:rsidRPr="008000EC" w:rsidRDefault="007E6F37" w:rsidP="007E6F37">
      <w:pPr>
        <w:rPr>
          <w:rFonts w:cs="Times New Roman"/>
          <w:szCs w:val="24"/>
        </w:rPr>
      </w:pPr>
      <w:r w:rsidRPr="008000EC">
        <w:rPr>
          <w:rFonts w:cs="Times New Roman"/>
          <w:szCs w:val="24"/>
        </w:rPr>
        <w:t xml:space="preserve">Behrens, K, Duranton, G and Robert-Nicoud, F (2014), ‘Productive cities: Sorting, selection, and agglomeration’, </w:t>
      </w:r>
      <w:r w:rsidRPr="008000EC">
        <w:rPr>
          <w:rFonts w:cs="Times New Roman"/>
          <w:i/>
          <w:szCs w:val="24"/>
        </w:rPr>
        <w:t>Journal of Political Economy</w:t>
      </w:r>
      <w:r w:rsidRPr="005F26D5">
        <w:rPr>
          <w:rFonts w:cs="Times New Roman"/>
          <w:szCs w:val="24"/>
        </w:rPr>
        <w:t xml:space="preserve"> 122</w:t>
      </w:r>
      <w:r w:rsidR="005F26D5">
        <w:rPr>
          <w:rFonts w:cs="Times New Roman"/>
          <w:szCs w:val="24"/>
        </w:rPr>
        <w:t>, 3</w:t>
      </w:r>
      <w:r w:rsidRPr="008000EC">
        <w:rPr>
          <w:rFonts w:cs="Times New Roman"/>
          <w:szCs w:val="24"/>
        </w:rPr>
        <w:t xml:space="preserve">, </w:t>
      </w:r>
      <w:r w:rsidR="005F26D5">
        <w:rPr>
          <w:rFonts w:cs="Times New Roman"/>
          <w:szCs w:val="24"/>
        </w:rPr>
        <w:t>pp.</w:t>
      </w:r>
      <w:r w:rsidRPr="008000EC">
        <w:rPr>
          <w:rFonts w:cs="Times New Roman"/>
          <w:szCs w:val="24"/>
        </w:rPr>
        <w:t xml:space="preserve">507-553. </w:t>
      </w:r>
    </w:p>
    <w:p w:rsidR="007E6F37" w:rsidRPr="008000EC" w:rsidRDefault="007E6F37" w:rsidP="007E6F37">
      <w:pPr>
        <w:jc w:val="left"/>
        <w:rPr>
          <w:rFonts w:cs="Times New Roman"/>
          <w:szCs w:val="24"/>
        </w:rPr>
      </w:pPr>
      <w:r w:rsidRPr="008000EC">
        <w:rPr>
          <w:rFonts w:cs="Times New Roman"/>
          <w:szCs w:val="24"/>
        </w:rPr>
        <w:t xml:space="preserve">Constanza, R., R. d’Arge, R. de Groot et al. (2007), ‘The value of the world’s ecosystem services and natural capital’, </w:t>
      </w:r>
      <w:r w:rsidRPr="008000EC">
        <w:rPr>
          <w:rFonts w:cs="Times New Roman"/>
          <w:i/>
          <w:iCs/>
          <w:szCs w:val="24"/>
        </w:rPr>
        <w:t>Nature</w:t>
      </w:r>
      <w:r w:rsidRPr="008000EC">
        <w:rPr>
          <w:rFonts w:cs="Times New Roman"/>
          <w:szCs w:val="24"/>
        </w:rPr>
        <w:t xml:space="preserve">, </w:t>
      </w:r>
      <w:r w:rsidRPr="005F26D5">
        <w:rPr>
          <w:rFonts w:cs="Times New Roman"/>
          <w:bCs/>
          <w:szCs w:val="24"/>
        </w:rPr>
        <w:t>387</w:t>
      </w:r>
      <w:r w:rsidR="005F26D5">
        <w:rPr>
          <w:rFonts w:cs="Times New Roman"/>
          <w:b/>
          <w:bCs/>
          <w:szCs w:val="24"/>
        </w:rPr>
        <w:t xml:space="preserve">, </w:t>
      </w:r>
      <w:r w:rsidR="005F26D5">
        <w:rPr>
          <w:rFonts w:cs="Times New Roman"/>
          <w:szCs w:val="24"/>
        </w:rPr>
        <w:t>6630</w:t>
      </w:r>
      <w:r w:rsidRPr="008000EC">
        <w:rPr>
          <w:rFonts w:cs="Times New Roman"/>
          <w:szCs w:val="24"/>
        </w:rPr>
        <w:t xml:space="preserve">, </w:t>
      </w:r>
      <w:r w:rsidR="005F26D5">
        <w:rPr>
          <w:rFonts w:cs="Times New Roman"/>
          <w:szCs w:val="24"/>
        </w:rPr>
        <w:t>pp.</w:t>
      </w:r>
      <w:r w:rsidRPr="008000EC">
        <w:rPr>
          <w:rFonts w:cs="Times New Roman"/>
          <w:szCs w:val="24"/>
        </w:rPr>
        <w:t>253–260.</w:t>
      </w:r>
    </w:p>
    <w:p w:rsidR="007E6F37" w:rsidRPr="008000EC" w:rsidRDefault="007E6F37" w:rsidP="007E6F37">
      <w:pPr>
        <w:jc w:val="left"/>
        <w:rPr>
          <w:rFonts w:cs="Times New Roman"/>
          <w:szCs w:val="24"/>
        </w:rPr>
      </w:pPr>
      <w:r w:rsidRPr="008000EC">
        <w:rPr>
          <w:rFonts w:cs="Times New Roman"/>
          <w:szCs w:val="24"/>
        </w:rPr>
        <w:t xml:space="preserve">European Union (2011), </w:t>
      </w:r>
      <w:r w:rsidRPr="008000EC">
        <w:rPr>
          <w:rFonts w:cs="Times New Roman"/>
          <w:i/>
          <w:iCs/>
          <w:szCs w:val="24"/>
        </w:rPr>
        <w:t>Cities of Tomorrow: Challenges, Visions, Ways Forward</w:t>
      </w:r>
      <w:r w:rsidRPr="008000EC">
        <w:rPr>
          <w:rFonts w:cs="Times New Roman"/>
          <w:szCs w:val="24"/>
        </w:rPr>
        <w:t xml:space="preserve">, Brussels: author. </w:t>
      </w:r>
    </w:p>
    <w:p w:rsidR="007E6F37" w:rsidRPr="008000EC" w:rsidRDefault="007E6F37" w:rsidP="007E6F37">
      <w:pPr>
        <w:jc w:val="left"/>
        <w:rPr>
          <w:rFonts w:cs="Times New Roman"/>
          <w:color w:val="auto"/>
          <w:szCs w:val="24"/>
        </w:rPr>
      </w:pPr>
      <w:r w:rsidRPr="008000EC">
        <w:rPr>
          <w:rFonts w:cs="Times New Roman"/>
          <w:szCs w:val="24"/>
        </w:rPr>
        <w:t xml:space="preserve">Gill, T. (2011), </w:t>
      </w:r>
      <w:r w:rsidRPr="005F26D5">
        <w:rPr>
          <w:rFonts w:cs="Times New Roman"/>
          <w:i/>
          <w:szCs w:val="24"/>
        </w:rPr>
        <w:t>Children and Nature: A Quasi-systematic Review of</w:t>
      </w:r>
      <w:r w:rsidRPr="008000EC">
        <w:rPr>
          <w:rFonts w:cs="Times New Roman"/>
          <w:szCs w:val="24"/>
        </w:rPr>
        <w:t xml:space="preserve"> </w:t>
      </w:r>
      <w:r w:rsidRPr="008000EC">
        <w:rPr>
          <w:rFonts w:cs="Times New Roman"/>
          <w:i/>
          <w:iCs/>
          <w:color w:val="auto"/>
          <w:szCs w:val="24"/>
        </w:rPr>
        <w:t>the Empirical Evidence</w:t>
      </w:r>
      <w:r w:rsidRPr="008000EC">
        <w:rPr>
          <w:rFonts w:cs="Times New Roman"/>
          <w:color w:val="auto"/>
          <w:szCs w:val="24"/>
        </w:rPr>
        <w:t>, London: London Sustainable Development Commission, Greater London Authority.</w:t>
      </w:r>
    </w:p>
    <w:p w:rsidR="007E6F37" w:rsidRPr="008000EC" w:rsidRDefault="007E6F37" w:rsidP="007E6F37">
      <w:pPr>
        <w:jc w:val="left"/>
        <w:rPr>
          <w:rFonts w:cs="Times New Roman"/>
          <w:szCs w:val="24"/>
        </w:rPr>
      </w:pPr>
      <w:r w:rsidRPr="008000EC">
        <w:rPr>
          <w:rFonts w:cs="Times New Roman"/>
          <w:szCs w:val="24"/>
        </w:rPr>
        <w:t>Holt-Lunstad J</w:t>
      </w:r>
      <w:r w:rsidR="005F26D5">
        <w:rPr>
          <w:rFonts w:cs="Times New Roman"/>
          <w:szCs w:val="24"/>
        </w:rPr>
        <w:t>., Smith T. and Layton J.</w:t>
      </w:r>
      <w:r w:rsidRPr="008000EC">
        <w:rPr>
          <w:rFonts w:cs="Times New Roman"/>
          <w:szCs w:val="24"/>
        </w:rPr>
        <w:t xml:space="preserve"> (2010), ‘Social Relationships and Mortality Risk: A Meta-analytic Review’</w:t>
      </w:r>
      <w:r w:rsidRPr="008000EC">
        <w:rPr>
          <w:rFonts w:cs="Times New Roman"/>
          <w:i/>
          <w:szCs w:val="24"/>
        </w:rPr>
        <w:t>, PLoS Med</w:t>
      </w:r>
      <w:r w:rsidR="005F26D5">
        <w:rPr>
          <w:rFonts w:cs="Times New Roman"/>
          <w:szCs w:val="24"/>
        </w:rPr>
        <w:t xml:space="preserve"> 7, </w:t>
      </w:r>
      <w:r w:rsidRPr="008000EC">
        <w:rPr>
          <w:rFonts w:cs="Times New Roman"/>
          <w:szCs w:val="24"/>
        </w:rPr>
        <w:t>7</w:t>
      </w:r>
      <w:r w:rsidR="005F26D5">
        <w:rPr>
          <w:rFonts w:cs="Times New Roman"/>
          <w:szCs w:val="24"/>
        </w:rPr>
        <w:t>,</w:t>
      </w:r>
      <w:r w:rsidRPr="008000EC">
        <w:rPr>
          <w:rFonts w:cs="Times New Roman"/>
          <w:szCs w:val="24"/>
        </w:rPr>
        <w:t xml:space="preserve"> e1000316. doi:10.1371/ journal.pmed.1000316</w:t>
      </w:r>
    </w:p>
    <w:p w:rsidR="007E6F37" w:rsidRPr="008000EC" w:rsidRDefault="007E6F37" w:rsidP="007E6F37">
      <w:pPr>
        <w:jc w:val="left"/>
        <w:rPr>
          <w:rFonts w:cs="Times New Roman"/>
          <w:szCs w:val="24"/>
        </w:rPr>
      </w:pPr>
      <w:r w:rsidRPr="008000EC">
        <w:rPr>
          <w:rFonts w:cs="Times New Roman"/>
          <w:szCs w:val="24"/>
        </w:rPr>
        <w:lastRenderedPageBreak/>
        <w:t>Marselle, M., and Warber</w:t>
      </w:r>
      <w:r w:rsidR="005F26D5">
        <w:rPr>
          <w:rFonts w:cs="Times New Roman"/>
          <w:szCs w:val="24"/>
        </w:rPr>
        <w:t>, S. (2013), ‘Walking for well-</w:t>
      </w:r>
      <w:r w:rsidRPr="008000EC">
        <w:rPr>
          <w:rFonts w:cs="Times New Roman"/>
          <w:szCs w:val="24"/>
        </w:rPr>
        <w:t>being: Are group walks in certain types of natural environments better for well-being than group</w:t>
      </w:r>
      <w:r w:rsidR="00456603">
        <w:rPr>
          <w:rFonts w:cs="Times New Roman"/>
          <w:szCs w:val="24"/>
        </w:rPr>
        <w:t xml:space="preserve"> walks in urban environments?’ </w:t>
      </w:r>
      <w:r w:rsidRPr="008000EC">
        <w:rPr>
          <w:rFonts w:cs="Times New Roman"/>
          <w:i/>
          <w:iCs/>
          <w:szCs w:val="24"/>
        </w:rPr>
        <w:t>International Journal of Environmental Research and Public Health</w:t>
      </w:r>
      <w:r w:rsidRPr="008000EC">
        <w:rPr>
          <w:rFonts w:cs="Times New Roman"/>
          <w:szCs w:val="24"/>
        </w:rPr>
        <w:t xml:space="preserve">, </w:t>
      </w:r>
      <w:r w:rsidRPr="005F26D5">
        <w:rPr>
          <w:rFonts w:cs="Times New Roman"/>
          <w:bCs/>
          <w:szCs w:val="24"/>
        </w:rPr>
        <w:t>10</w:t>
      </w:r>
      <w:r w:rsidR="005F26D5">
        <w:rPr>
          <w:rFonts w:cs="Times New Roman"/>
          <w:b/>
          <w:bCs/>
          <w:szCs w:val="24"/>
        </w:rPr>
        <w:t xml:space="preserve">, </w:t>
      </w:r>
      <w:r w:rsidR="005F26D5">
        <w:rPr>
          <w:rFonts w:cs="Times New Roman"/>
          <w:szCs w:val="24"/>
        </w:rPr>
        <w:t>11</w:t>
      </w:r>
      <w:r w:rsidRPr="008000EC">
        <w:rPr>
          <w:rFonts w:cs="Times New Roman"/>
          <w:szCs w:val="24"/>
        </w:rPr>
        <w:t xml:space="preserve">, </w:t>
      </w:r>
      <w:r w:rsidR="005F26D5">
        <w:rPr>
          <w:rFonts w:cs="Times New Roman"/>
          <w:szCs w:val="24"/>
        </w:rPr>
        <w:t>pp.</w:t>
      </w:r>
      <w:r w:rsidRPr="008000EC">
        <w:rPr>
          <w:rFonts w:cs="Times New Roman"/>
          <w:szCs w:val="24"/>
        </w:rPr>
        <w:t xml:space="preserve">5603–5628. </w:t>
      </w:r>
    </w:p>
    <w:p w:rsidR="007E6F37" w:rsidRPr="008000EC" w:rsidRDefault="007E6F37" w:rsidP="005F26D5">
      <w:pPr>
        <w:jc w:val="left"/>
        <w:rPr>
          <w:rFonts w:cs="Times New Roman"/>
          <w:szCs w:val="24"/>
        </w:rPr>
      </w:pPr>
      <w:r w:rsidRPr="008000EC">
        <w:rPr>
          <w:rFonts w:cs="Times New Roman"/>
          <w:szCs w:val="24"/>
        </w:rPr>
        <w:t xml:space="preserve">Rook, G. (2013), ‘Regulation of the immune system by biodiversity from the natural environment: An ecosystem service essential to health’, </w:t>
      </w:r>
      <w:r w:rsidRPr="008000EC">
        <w:rPr>
          <w:rFonts w:cs="Times New Roman"/>
          <w:i/>
          <w:iCs/>
          <w:szCs w:val="24"/>
        </w:rPr>
        <w:t>Proceedings of the National Academy of Science</w:t>
      </w:r>
      <w:r w:rsidRPr="008000EC">
        <w:rPr>
          <w:rFonts w:cs="Times New Roman"/>
          <w:szCs w:val="24"/>
        </w:rPr>
        <w:t xml:space="preserve">, </w:t>
      </w:r>
      <w:r w:rsidRPr="005F26D5">
        <w:rPr>
          <w:rFonts w:cs="Times New Roman"/>
          <w:bCs/>
          <w:szCs w:val="24"/>
        </w:rPr>
        <w:t>110</w:t>
      </w:r>
      <w:r w:rsidR="005F26D5">
        <w:rPr>
          <w:rFonts w:cs="Times New Roman"/>
          <w:bCs/>
          <w:szCs w:val="24"/>
        </w:rPr>
        <w:t>,</w:t>
      </w:r>
      <w:r w:rsidRPr="008000EC">
        <w:rPr>
          <w:rFonts w:cs="Times New Roman"/>
          <w:b/>
          <w:bCs/>
          <w:szCs w:val="24"/>
        </w:rPr>
        <w:t xml:space="preserve"> </w:t>
      </w:r>
      <w:r w:rsidR="005F26D5">
        <w:rPr>
          <w:rFonts w:cs="Times New Roman"/>
          <w:szCs w:val="24"/>
        </w:rPr>
        <w:t>46,</w:t>
      </w:r>
      <w:r w:rsidRPr="008000EC">
        <w:rPr>
          <w:rFonts w:cs="Times New Roman"/>
          <w:szCs w:val="24"/>
        </w:rPr>
        <w:t xml:space="preserve"> </w:t>
      </w:r>
      <w:r w:rsidR="005F26D5">
        <w:rPr>
          <w:rFonts w:cs="Times New Roman"/>
          <w:szCs w:val="24"/>
        </w:rPr>
        <w:t>pp.</w:t>
      </w:r>
      <w:r w:rsidRPr="008000EC">
        <w:rPr>
          <w:rFonts w:cs="Times New Roman"/>
          <w:szCs w:val="24"/>
        </w:rPr>
        <w:t xml:space="preserve">18360–18367. </w:t>
      </w:r>
    </w:p>
    <w:p w:rsidR="007E6F37" w:rsidRPr="008000EC" w:rsidRDefault="007E6F37" w:rsidP="007E6F37">
      <w:pPr>
        <w:rPr>
          <w:rFonts w:cs="Times New Roman"/>
          <w:szCs w:val="24"/>
        </w:rPr>
      </w:pPr>
      <w:r w:rsidRPr="008000EC">
        <w:rPr>
          <w:rFonts w:cs="Times New Roman"/>
          <w:szCs w:val="24"/>
        </w:rPr>
        <w:t>Rosenthal, S. and Strange</w:t>
      </w:r>
      <w:r w:rsidR="005F26D5">
        <w:rPr>
          <w:rFonts w:cs="Times New Roman"/>
          <w:szCs w:val="24"/>
        </w:rPr>
        <w:t>, W.</w:t>
      </w:r>
      <w:r w:rsidRPr="008000EC">
        <w:rPr>
          <w:rFonts w:cs="Times New Roman"/>
          <w:szCs w:val="24"/>
        </w:rPr>
        <w:t xml:space="preserve"> (2003), ‘Evidence on the nature and sources of agglomeration economies’, in V. Henderson and J. Thisse (eds.) </w:t>
      </w:r>
      <w:r w:rsidRPr="008000EC">
        <w:rPr>
          <w:rFonts w:cs="Times New Roman"/>
          <w:i/>
          <w:szCs w:val="24"/>
        </w:rPr>
        <w:t>Handbook of Urban and Regional Economics, 4</w:t>
      </w:r>
      <w:r w:rsidRPr="008000EC">
        <w:rPr>
          <w:rFonts w:cs="Times New Roman"/>
          <w:szCs w:val="24"/>
        </w:rPr>
        <w:t xml:space="preserve">, Amsterdam: North Holland, </w:t>
      </w:r>
      <w:r w:rsidR="00456603">
        <w:rPr>
          <w:rFonts w:cs="Times New Roman"/>
          <w:szCs w:val="24"/>
        </w:rPr>
        <w:t>pp.</w:t>
      </w:r>
      <w:r w:rsidRPr="008000EC">
        <w:rPr>
          <w:rFonts w:cs="Times New Roman"/>
          <w:szCs w:val="24"/>
        </w:rPr>
        <w:t>2119-2171.</w:t>
      </w:r>
    </w:p>
    <w:p w:rsidR="007E6F37" w:rsidRPr="008000EC" w:rsidRDefault="007E6F37" w:rsidP="007E6F37">
      <w:pPr>
        <w:jc w:val="left"/>
        <w:rPr>
          <w:rFonts w:cs="Times New Roman"/>
          <w:szCs w:val="24"/>
        </w:rPr>
      </w:pPr>
      <w:r w:rsidRPr="008000EC">
        <w:rPr>
          <w:rFonts w:cs="Times New Roman"/>
          <w:szCs w:val="24"/>
        </w:rPr>
        <w:t xml:space="preserve">Saeri, A., Cruwys, T., Barlow, F., Stronge, S. and Sibley, C. (2018), ‘Social connectedness improves public mental health: Investigating bidirectional relationships in the New Zealand attitudes and values survey’, </w:t>
      </w:r>
      <w:r w:rsidRPr="008000EC">
        <w:rPr>
          <w:rFonts w:cs="Times New Roman"/>
          <w:i/>
          <w:szCs w:val="24"/>
        </w:rPr>
        <w:t xml:space="preserve">Australian and New Zealand Journal of Psychiatry, </w:t>
      </w:r>
      <w:r w:rsidR="005F26D5">
        <w:rPr>
          <w:rFonts w:cs="Times New Roman"/>
          <w:szCs w:val="24"/>
        </w:rPr>
        <w:t>52, 4. pp.</w:t>
      </w:r>
      <w:r w:rsidRPr="008000EC">
        <w:rPr>
          <w:rFonts w:cs="Times New Roman"/>
          <w:szCs w:val="24"/>
        </w:rPr>
        <w:t>365–374.</w:t>
      </w:r>
    </w:p>
    <w:p w:rsidR="007E6F37" w:rsidRPr="008000EC" w:rsidRDefault="007E6F37" w:rsidP="007E6F37">
      <w:pPr>
        <w:jc w:val="left"/>
        <w:rPr>
          <w:rFonts w:cs="Times New Roman"/>
          <w:color w:val="auto"/>
          <w:szCs w:val="24"/>
        </w:rPr>
      </w:pPr>
      <w:r w:rsidRPr="008000EC">
        <w:rPr>
          <w:rFonts w:cs="Times New Roman"/>
          <w:color w:val="auto"/>
          <w:szCs w:val="24"/>
        </w:rPr>
        <w:lastRenderedPageBreak/>
        <w:t>Stanley, J.K., Stanley</w:t>
      </w:r>
      <w:r w:rsidRPr="008000EC">
        <w:rPr>
          <w:rFonts w:cs="Times New Roman"/>
          <w:color w:val="auto"/>
          <w:szCs w:val="24"/>
          <w:vertAlign w:val="superscript"/>
        </w:rPr>
        <w:t xml:space="preserve">, </w:t>
      </w:r>
      <w:r w:rsidRPr="008000EC">
        <w:rPr>
          <w:rFonts w:cs="Times New Roman"/>
          <w:color w:val="auto"/>
          <w:szCs w:val="24"/>
        </w:rPr>
        <w:t xml:space="preserve">J.R., </w:t>
      </w:r>
      <w:r w:rsidR="005F26D5">
        <w:rPr>
          <w:rFonts w:cs="Times New Roman"/>
          <w:color w:val="auto"/>
          <w:szCs w:val="24"/>
        </w:rPr>
        <w:t>and</w:t>
      </w:r>
      <w:r w:rsidRPr="008000EC">
        <w:rPr>
          <w:rFonts w:cs="Times New Roman"/>
          <w:color w:val="auto"/>
          <w:szCs w:val="24"/>
        </w:rPr>
        <w:t xml:space="preserve"> Hensher, D. (2012), ‘Mobility, social capital and sense of community: What value?’ </w:t>
      </w:r>
      <w:r w:rsidRPr="008000EC">
        <w:rPr>
          <w:rFonts w:cs="Times New Roman"/>
          <w:i/>
          <w:color w:val="auto"/>
          <w:szCs w:val="24"/>
        </w:rPr>
        <w:t xml:space="preserve">Urban Studies </w:t>
      </w:r>
      <w:r w:rsidRPr="008000EC">
        <w:rPr>
          <w:rFonts w:cs="Times New Roman"/>
          <w:color w:val="auto"/>
          <w:szCs w:val="24"/>
        </w:rPr>
        <w:t xml:space="preserve">49, </w:t>
      </w:r>
      <w:r w:rsidR="005F26D5">
        <w:rPr>
          <w:rFonts w:cs="Times New Roman"/>
          <w:color w:val="auto"/>
          <w:szCs w:val="24"/>
        </w:rPr>
        <w:t>pp.</w:t>
      </w:r>
      <w:r w:rsidR="00456603">
        <w:rPr>
          <w:rFonts w:cs="Times New Roman"/>
          <w:color w:val="auto"/>
          <w:szCs w:val="24"/>
        </w:rPr>
        <w:t>3595-</w:t>
      </w:r>
      <w:r w:rsidRPr="008000EC">
        <w:rPr>
          <w:rFonts w:cs="Times New Roman"/>
          <w:color w:val="auto"/>
          <w:szCs w:val="24"/>
        </w:rPr>
        <w:t xml:space="preserve">3609. </w:t>
      </w:r>
    </w:p>
    <w:p w:rsidR="007E6F37" w:rsidRPr="008000EC" w:rsidRDefault="007E6F37" w:rsidP="00456603">
      <w:pPr>
        <w:jc w:val="left"/>
        <w:rPr>
          <w:rFonts w:cs="Times New Roman"/>
          <w:szCs w:val="24"/>
        </w:rPr>
      </w:pPr>
      <w:r w:rsidRPr="008000EC">
        <w:rPr>
          <w:rFonts w:cs="Times New Roman"/>
          <w:szCs w:val="24"/>
        </w:rPr>
        <w:t xml:space="preserve">Stanley, J., Stanley, J. and Hansen, R. (2017), </w:t>
      </w:r>
      <w:r w:rsidRPr="008000EC">
        <w:rPr>
          <w:rFonts w:cs="Times New Roman"/>
          <w:i/>
          <w:szCs w:val="24"/>
        </w:rPr>
        <w:t>How great cities happen</w:t>
      </w:r>
      <w:r w:rsidRPr="008000EC">
        <w:rPr>
          <w:rFonts w:cs="Times New Roman"/>
          <w:szCs w:val="24"/>
        </w:rPr>
        <w:t>, Cheltenham UK: Edward Elgar Publishing.</w:t>
      </w:r>
    </w:p>
    <w:p w:rsidR="007E6F37" w:rsidRPr="008000EC" w:rsidRDefault="007E6F37" w:rsidP="007E6F37">
      <w:pPr>
        <w:jc w:val="left"/>
        <w:rPr>
          <w:rFonts w:cs="Times New Roman"/>
          <w:szCs w:val="24"/>
          <w:lang w:val="en-US"/>
        </w:rPr>
      </w:pPr>
      <w:r w:rsidRPr="008000EC">
        <w:rPr>
          <w:rFonts w:cs="Times New Roman"/>
          <w:szCs w:val="24"/>
        </w:rPr>
        <w:t>Vandenbroek (2017)</w:t>
      </w:r>
      <w:r w:rsidR="005F26D5">
        <w:rPr>
          <w:rFonts w:cs="Times New Roman"/>
          <w:szCs w:val="24"/>
        </w:rPr>
        <w:t>,</w:t>
      </w:r>
      <w:r w:rsidRPr="008000EC">
        <w:rPr>
          <w:rFonts w:cs="Times New Roman"/>
          <w:szCs w:val="24"/>
        </w:rPr>
        <w:t xml:space="preserve"> </w:t>
      </w:r>
      <w:r w:rsidRPr="008000EC">
        <w:rPr>
          <w:rFonts w:cs="Times New Roman"/>
          <w:bCs/>
          <w:szCs w:val="24"/>
          <w:lang w:val="en-US"/>
        </w:rPr>
        <w:t>Underemployment Statistics: A Quick Guide: Research Paper Series 2016-2017, Parliamentary Library, Parliament of Australia.</w:t>
      </w:r>
    </w:p>
    <w:p w:rsidR="007E6F37" w:rsidRPr="008000EC" w:rsidRDefault="007E6F37" w:rsidP="00456603">
      <w:pPr>
        <w:jc w:val="left"/>
        <w:rPr>
          <w:rFonts w:eastAsia="Times New Roman" w:cs="Times New Roman"/>
          <w:b/>
          <w:bCs/>
          <w:szCs w:val="24"/>
        </w:rPr>
      </w:pPr>
      <w:r w:rsidRPr="008000EC">
        <w:rPr>
          <w:rFonts w:eastAsia="Times New Roman" w:cs="Times New Roman"/>
          <w:szCs w:val="24"/>
        </w:rPr>
        <w:t>Wilkinson, R. and Pickett, K. (2011)</w:t>
      </w:r>
      <w:r w:rsidR="005F26D5">
        <w:rPr>
          <w:rFonts w:eastAsia="Times New Roman" w:cs="Times New Roman"/>
          <w:szCs w:val="24"/>
        </w:rPr>
        <w:t>,</w:t>
      </w:r>
      <w:r w:rsidRPr="008000EC">
        <w:rPr>
          <w:rFonts w:eastAsia="Times New Roman" w:cs="Times New Roman"/>
          <w:szCs w:val="24"/>
        </w:rPr>
        <w:t xml:space="preserve"> </w:t>
      </w:r>
      <w:r w:rsidRPr="005F26D5">
        <w:rPr>
          <w:rFonts w:eastAsia="Times New Roman" w:cs="Times New Roman"/>
          <w:i/>
          <w:szCs w:val="24"/>
        </w:rPr>
        <w:t xml:space="preserve">The Spirit Level: </w:t>
      </w:r>
      <w:r w:rsidRPr="005F26D5">
        <w:rPr>
          <w:rFonts w:eastAsia="Times New Roman" w:cs="Times New Roman"/>
          <w:bCs/>
          <w:i/>
          <w:szCs w:val="24"/>
        </w:rPr>
        <w:t>Why Greater Equality Makes Societies Stronger</w:t>
      </w:r>
      <w:r w:rsidRPr="008000EC">
        <w:rPr>
          <w:rFonts w:eastAsia="Times New Roman" w:cs="Times New Roman"/>
          <w:bCs/>
          <w:szCs w:val="24"/>
        </w:rPr>
        <w:t xml:space="preserve">, </w:t>
      </w:r>
      <w:r w:rsidR="00456603">
        <w:rPr>
          <w:rFonts w:eastAsia="Times New Roman" w:cs="Times New Roman"/>
          <w:bCs/>
          <w:szCs w:val="24"/>
        </w:rPr>
        <w:t>New York: Bloomsbury Press.</w:t>
      </w:r>
    </w:p>
    <w:p w:rsidR="007E6F37" w:rsidRPr="008000EC" w:rsidRDefault="007E6F37" w:rsidP="007E6F37">
      <w:pPr>
        <w:jc w:val="left"/>
        <w:rPr>
          <w:rFonts w:cs="Times New Roman"/>
          <w:szCs w:val="24"/>
        </w:rPr>
      </w:pPr>
    </w:p>
    <w:p w:rsidR="002E5DBA" w:rsidRPr="008000EC" w:rsidRDefault="002E5DBA" w:rsidP="00DF1AFE">
      <w:pPr>
        <w:jc w:val="left"/>
        <w:rPr>
          <w:rFonts w:cs="Times New Roman"/>
          <w:szCs w:val="24"/>
        </w:rPr>
      </w:pPr>
    </w:p>
    <w:sectPr w:rsidR="002E5DBA" w:rsidRPr="008000EC" w:rsidSect="00E40830">
      <w:footerReference w:type="default" r:id="rId2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41E" w:rsidRDefault="00CD241E" w:rsidP="002E5DBA">
      <w:pPr>
        <w:spacing w:before="0" w:after="0"/>
      </w:pPr>
      <w:r>
        <w:separator/>
      </w:r>
    </w:p>
  </w:endnote>
  <w:endnote w:type="continuationSeparator" w:id="0">
    <w:p w:rsidR="00CD241E" w:rsidRDefault="00CD241E" w:rsidP="002E5D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6910"/>
      <w:docPartObj>
        <w:docPartGallery w:val="Page Numbers (Bottom of Page)"/>
        <w:docPartUnique/>
      </w:docPartObj>
    </w:sdtPr>
    <w:sdtEndPr/>
    <w:sdtContent>
      <w:p w:rsidR="00E40830" w:rsidRDefault="00CD241E">
        <w:pPr>
          <w:pStyle w:val="Footer"/>
          <w:jc w:val="center"/>
        </w:pPr>
        <w:r>
          <w:rPr>
            <w:noProof/>
          </w:rPr>
          <w:fldChar w:fldCharType="begin"/>
        </w:r>
        <w:r>
          <w:rPr>
            <w:noProof/>
          </w:rPr>
          <w:instrText xml:space="preserve"> PAGE   \* MERGEFORMAT </w:instrText>
        </w:r>
        <w:r>
          <w:rPr>
            <w:noProof/>
          </w:rPr>
          <w:fldChar w:fldCharType="separate"/>
        </w:r>
        <w:r w:rsidR="008559F5">
          <w:rPr>
            <w:noProof/>
          </w:rPr>
          <w:t>18</w:t>
        </w:r>
        <w:r>
          <w:rPr>
            <w:noProof/>
          </w:rPr>
          <w:fldChar w:fldCharType="end"/>
        </w:r>
      </w:p>
    </w:sdtContent>
  </w:sdt>
  <w:p w:rsidR="003266EE" w:rsidRDefault="00326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41E" w:rsidRDefault="00CD241E" w:rsidP="002E5DBA">
      <w:pPr>
        <w:spacing w:before="0" w:after="0"/>
      </w:pPr>
      <w:r>
        <w:separator/>
      </w:r>
    </w:p>
  </w:footnote>
  <w:footnote w:type="continuationSeparator" w:id="0">
    <w:p w:rsidR="00CD241E" w:rsidRDefault="00CD241E" w:rsidP="002E5DBA">
      <w:pPr>
        <w:spacing w:before="0" w:after="0"/>
      </w:pPr>
      <w:r>
        <w:continuationSeparator/>
      </w:r>
    </w:p>
  </w:footnote>
  <w:footnote w:id="1">
    <w:p w:rsidR="003A53AA" w:rsidRPr="003A53AA" w:rsidRDefault="003A53AA" w:rsidP="003A53AA">
      <w:pPr>
        <w:pStyle w:val="FootnoteText"/>
        <w:jc w:val="left"/>
        <w:rPr>
          <w:lang w:val="en-US"/>
        </w:rPr>
      </w:pPr>
      <w:r>
        <w:rPr>
          <w:rStyle w:val="FootnoteReference"/>
        </w:rPr>
        <w:footnoteRef/>
      </w:r>
      <w:r w:rsidRPr="009E0BE2">
        <w:rPr>
          <w:sz w:val="20"/>
          <w:szCs w:val="20"/>
        </w:rPr>
        <w:t xml:space="preserve"> ‘r’ is the correlation co-efficient and ‘p’ a measure of its statistical significance. ‘p’ values less than 0.05 are usually sought for significant levels of association between a pair of variables.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7756"/>
    <w:multiLevelType w:val="hybridMultilevel"/>
    <w:tmpl w:val="C096EB20"/>
    <w:lvl w:ilvl="0" w:tplc="362A6CE4">
      <w:start w:val="1"/>
      <w:numFmt w:val="bullet"/>
      <w:lvlText w:val="■"/>
      <w:lvlJc w:val="left"/>
      <w:pPr>
        <w:ind w:left="720" w:hanging="360"/>
      </w:pPr>
      <w:rPr>
        <w:rFonts w:ascii="Times New Roman" w:hAnsi="Times New Roman" w:cs="Times New Roman" w:hint="default"/>
        <w:color w:val="244061" w:themeColor="accent1" w:themeShade="8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471D0F"/>
    <w:multiLevelType w:val="hybridMultilevel"/>
    <w:tmpl w:val="0F3CC26A"/>
    <w:lvl w:ilvl="0" w:tplc="9F504320">
      <w:start w:val="1"/>
      <w:numFmt w:val="bullet"/>
      <w:lvlText w:val="■"/>
      <w:lvlJc w:val="left"/>
      <w:pPr>
        <w:ind w:left="720" w:hanging="360"/>
      </w:pPr>
      <w:rPr>
        <w:rFonts w:ascii="Times New Roman" w:hAnsi="Times New Roman" w:cs="Times New Roman" w:hint="default"/>
        <w:color w:val="244061" w:themeColor="accent1" w:themeShade="8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735A18"/>
    <w:multiLevelType w:val="hybridMultilevel"/>
    <w:tmpl w:val="0622898A"/>
    <w:lvl w:ilvl="0" w:tplc="F44CBAEA">
      <w:start w:val="1"/>
      <w:numFmt w:val="bullet"/>
      <w:lvlText w:val="•"/>
      <w:lvlJc w:val="left"/>
      <w:pPr>
        <w:tabs>
          <w:tab w:val="num" w:pos="720"/>
        </w:tabs>
        <w:ind w:left="720" w:hanging="360"/>
      </w:pPr>
      <w:rPr>
        <w:rFonts w:ascii="Arial" w:hAnsi="Arial" w:hint="default"/>
      </w:rPr>
    </w:lvl>
    <w:lvl w:ilvl="1" w:tplc="1E04D344" w:tentative="1">
      <w:start w:val="1"/>
      <w:numFmt w:val="bullet"/>
      <w:lvlText w:val="•"/>
      <w:lvlJc w:val="left"/>
      <w:pPr>
        <w:tabs>
          <w:tab w:val="num" w:pos="1440"/>
        </w:tabs>
        <w:ind w:left="1440" w:hanging="360"/>
      </w:pPr>
      <w:rPr>
        <w:rFonts w:ascii="Arial" w:hAnsi="Arial" w:hint="default"/>
      </w:rPr>
    </w:lvl>
    <w:lvl w:ilvl="2" w:tplc="8D96553C" w:tentative="1">
      <w:start w:val="1"/>
      <w:numFmt w:val="bullet"/>
      <w:lvlText w:val="•"/>
      <w:lvlJc w:val="left"/>
      <w:pPr>
        <w:tabs>
          <w:tab w:val="num" w:pos="2160"/>
        </w:tabs>
        <w:ind w:left="2160" w:hanging="360"/>
      </w:pPr>
      <w:rPr>
        <w:rFonts w:ascii="Arial" w:hAnsi="Arial" w:hint="default"/>
      </w:rPr>
    </w:lvl>
    <w:lvl w:ilvl="3" w:tplc="40042312" w:tentative="1">
      <w:start w:val="1"/>
      <w:numFmt w:val="bullet"/>
      <w:lvlText w:val="•"/>
      <w:lvlJc w:val="left"/>
      <w:pPr>
        <w:tabs>
          <w:tab w:val="num" w:pos="2880"/>
        </w:tabs>
        <w:ind w:left="2880" w:hanging="360"/>
      </w:pPr>
      <w:rPr>
        <w:rFonts w:ascii="Arial" w:hAnsi="Arial" w:hint="default"/>
      </w:rPr>
    </w:lvl>
    <w:lvl w:ilvl="4" w:tplc="E51C16FE" w:tentative="1">
      <w:start w:val="1"/>
      <w:numFmt w:val="bullet"/>
      <w:lvlText w:val="•"/>
      <w:lvlJc w:val="left"/>
      <w:pPr>
        <w:tabs>
          <w:tab w:val="num" w:pos="3600"/>
        </w:tabs>
        <w:ind w:left="3600" w:hanging="360"/>
      </w:pPr>
      <w:rPr>
        <w:rFonts w:ascii="Arial" w:hAnsi="Arial" w:hint="default"/>
      </w:rPr>
    </w:lvl>
    <w:lvl w:ilvl="5" w:tplc="69880444" w:tentative="1">
      <w:start w:val="1"/>
      <w:numFmt w:val="bullet"/>
      <w:lvlText w:val="•"/>
      <w:lvlJc w:val="left"/>
      <w:pPr>
        <w:tabs>
          <w:tab w:val="num" w:pos="4320"/>
        </w:tabs>
        <w:ind w:left="4320" w:hanging="360"/>
      </w:pPr>
      <w:rPr>
        <w:rFonts w:ascii="Arial" w:hAnsi="Arial" w:hint="default"/>
      </w:rPr>
    </w:lvl>
    <w:lvl w:ilvl="6" w:tplc="E772B7E4" w:tentative="1">
      <w:start w:val="1"/>
      <w:numFmt w:val="bullet"/>
      <w:lvlText w:val="•"/>
      <w:lvlJc w:val="left"/>
      <w:pPr>
        <w:tabs>
          <w:tab w:val="num" w:pos="5040"/>
        </w:tabs>
        <w:ind w:left="5040" w:hanging="360"/>
      </w:pPr>
      <w:rPr>
        <w:rFonts w:ascii="Arial" w:hAnsi="Arial" w:hint="default"/>
      </w:rPr>
    </w:lvl>
    <w:lvl w:ilvl="7" w:tplc="18B2AC4C" w:tentative="1">
      <w:start w:val="1"/>
      <w:numFmt w:val="bullet"/>
      <w:lvlText w:val="•"/>
      <w:lvlJc w:val="left"/>
      <w:pPr>
        <w:tabs>
          <w:tab w:val="num" w:pos="5760"/>
        </w:tabs>
        <w:ind w:left="5760" w:hanging="360"/>
      </w:pPr>
      <w:rPr>
        <w:rFonts w:ascii="Arial" w:hAnsi="Arial" w:hint="default"/>
      </w:rPr>
    </w:lvl>
    <w:lvl w:ilvl="8" w:tplc="832C96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E714C9"/>
    <w:multiLevelType w:val="hybridMultilevel"/>
    <w:tmpl w:val="0EB0EA34"/>
    <w:lvl w:ilvl="0" w:tplc="71C068D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00282B"/>
    <w:multiLevelType w:val="hybridMultilevel"/>
    <w:tmpl w:val="4CE0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4332F"/>
    <w:multiLevelType w:val="hybridMultilevel"/>
    <w:tmpl w:val="AE789C30"/>
    <w:lvl w:ilvl="0" w:tplc="9F504320">
      <w:start w:val="1"/>
      <w:numFmt w:val="bullet"/>
      <w:lvlText w:val="■"/>
      <w:lvlJc w:val="left"/>
      <w:pPr>
        <w:ind w:left="720" w:hanging="360"/>
      </w:pPr>
      <w:rPr>
        <w:rFonts w:ascii="Times New Roman" w:hAnsi="Times New Roman" w:cs="Times New Roman" w:hint="default"/>
        <w:color w:val="244061" w:themeColor="accent1" w:themeShade="8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6A3C0A"/>
    <w:multiLevelType w:val="hybridMultilevel"/>
    <w:tmpl w:val="3DFEBB9C"/>
    <w:lvl w:ilvl="0" w:tplc="9F504320">
      <w:start w:val="1"/>
      <w:numFmt w:val="bullet"/>
      <w:lvlText w:val="■"/>
      <w:lvlJc w:val="left"/>
      <w:pPr>
        <w:ind w:left="720" w:hanging="360"/>
      </w:pPr>
      <w:rPr>
        <w:rFonts w:ascii="Times New Roman" w:hAnsi="Times New Roman" w:cs="Times New Roman" w:hint="default"/>
        <w:color w:val="244061" w:themeColor="accent1" w:themeShade="8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747A2F"/>
    <w:multiLevelType w:val="hybridMultilevel"/>
    <w:tmpl w:val="5C940E7A"/>
    <w:lvl w:ilvl="0" w:tplc="6792E1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7196B"/>
    <w:multiLevelType w:val="hybridMultilevel"/>
    <w:tmpl w:val="C610D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890CCB"/>
    <w:multiLevelType w:val="hybridMultilevel"/>
    <w:tmpl w:val="EFCAB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7"/>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42"/>
    <w:rsid w:val="000009F1"/>
    <w:rsid w:val="00006511"/>
    <w:rsid w:val="0001376D"/>
    <w:rsid w:val="000232E8"/>
    <w:rsid w:val="000242D6"/>
    <w:rsid w:val="000339A7"/>
    <w:rsid w:val="00047711"/>
    <w:rsid w:val="00047A7A"/>
    <w:rsid w:val="000514AF"/>
    <w:rsid w:val="00056520"/>
    <w:rsid w:val="000641FC"/>
    <w:rsid w:val="0007210E"/>
    <w:rsid w:val="000818D0"/>
    <w:rsid w:val="00092EA0"/>
    <w:rsid w:val="00097C33"/>
    <w:rsid w:val="000A208D"/>
    <w:rsid w:val="000B6342"/>
    <w:rsid w:val="000C7B39"/>
    <w:rsid w:val="000D0275"/>
    <w:rsid w:val="000F3C08"/>
    <w:rsid w:val="00102D9B"/>
    <w:rsid w:val="00137979"/>
    <w:rsid w:val="00165EA1"/>
    <w:rsid w:val="001666E0"/>
    <w:rsid w:val="00173858"/>
    <w:rsid w:val="00180A61"/>
    <w:rsid w:val="001867E4"/>
    <w:rsid w:val="001A7C39"/>
    <w:rsid w:val="001A7F1F"/>
    <w:rsid w:val="001B36C4"/>
    <w:rsid w:val="001C397C"/>
    <w:rsid w:val="001C64CD"/>
    <w:rsid w:val="001C7F33"/>
    <w:rsid w:val="001E1287"/>
    <w:rsid w:val="001E5DA7"/>
    <w:rsid w:val="001F10F2"/>
    <w:rsid w:val="001F4FCD"/>
    <w:rsid w:val="002361AF"/>
    <w:rsid w:val="0025435F"/>
    <w:rsid w:val="00266DCF"/>
    <w:rsid w:val="00276436"/>
    <w:rsid w:val="00276E51"/>
    <w:rsid w:val="00277191"/>
    <w:rsid w:val="00293264"/>
    <w:rsid w:val="002B45AA"/>
    <w:rsid w:val="002B7D1C"/>
    <w:rsid w:val="002C09CA"/>
    <w:rsid w:val="002C178B"/>
    <w:rsid w:val="002E083D"/>
    <w:rsid w:val="002E4E4B"/>
    <w:rsid w:val="002E5DBA"/>
    <w:rsid w:val="002E7F41"/>
    <w:rsid w:val="002F66F0"/>
    <w:rsid w:val="0030271F"/>
    <w:rsid w:val="00315A02"/>
    <w:rsid w:val="003266EE"/>
    <w:rsid w:val="00327A42"/>
    <w:rsid w:val="00350B8F"/>
    <w:rsid w:val="00355A5C"/>
    <w:rsid w:val="003613EB"/>
    <w:rsid w:val="003631CC"/>
    <w:rsid w:val="0036545E"/>
    <w:rsid w:val="00367208"/>
    <w:rsid w:val="003A53AA"/>
    <w:rsid w:val="003B02D0"/>
    <w:rsid w:val="003C2C3E"/>
    <w:rsid w:val="003D474C"/>
    <w:rsid w:val="003E6487"/>
    <w:rsid w:val="003E7163"/>
    <w:rsid w:val="003F4A40"/>
    <w:rsid w:val="00407C85"/>
    <w:rsid w:val="00414D24"/>
    <w:rsid w:val="004232F9"/>
    <w:rsid w:val="00426346"/>
    <w:rsid w:val="00433977"/>
    <w:rsid w:val="00437899"/>
    <w:rsid w:val="00456603"/>
    <w:rsid w:val="00473CD1"/>
    <w:rsid w:val="004760FD"/>
    <w:rsid w:val="004913C4"/>
    <w:rsid w:val="004C0866"/>
    <w:rsid w:val="004C2DCC"/>
    <w:rsid w:val="004D122F"/>
    <w:rsid w:val="004F0DDA"/>
    <w:rsid w:val="004F7BAA"/>
    <w:rsid w:val="00517B36"/>
    <w:rsid w:val="0052459C"/>
    <w:rsid w:val="005265C4"/>
    <w:rsid w:val="0053510E"/>
    <w:rsid w:val="0053551D"/>
    <w:rsid w:val="00536666"/>
    <w:rsid w:val="005440D3"/>
    <w:rsid w:val="0055289C"/>
    <w:rsid w:val="00565A7A"/>
    <w:rsid w:val="00571805"/>
    <w:rsid w:val="005B003D"/>
    <w:rsid w:val="005D0127"/>
    <w:rsid w:val="005E06C1"/>
    <w:rsid w:val="005F26D5"/>
    <w:rsid w:val="005F70D1"/>
    <w:rsid w:val="00613BF6"/>
    <w:rsid w:val="00620174"/>
    <w:rsid w:val="006209EE"/>
    <w:rsid w:val="006622EE"/>
    <w:rsid w:val="006648F0"/>
    <w:rsid w:val="006649E1"/>
    <w:rsid w:val="00671B61"/>
    <w:rsid w:val="006750AD"/>
    <w:rsid w:val="0068569D"/>
    <w:rsid w:val="00687D2F"/>
    <w:rsid w:val="0069540A"/>
    <w:rsid w:val="006A05F4"/>
    <w:rsid w:val="006A4CE2"/>
    <w:rsid w:val="006B451C"/>
    <w:rsid w:val="006C726F"/>
    <w:rsid w:val="006E705C"/>
    <w:rsid w:val="006F0B8D"/>
    <w:rsid w:val="00705047"/>
    <w:rsid w:val="00735809"/>
    <w:rsid w:val="00740C86"/>
    <w:rsid w:val="007661EE"/>
    <w:rsid w:val="007860AE"/>
    <w:rsid w:val="00795E24"/>
    <w:rsid w:val="007C3C65"/>
    <w:rsid w:val="007D6FF3"/>
    <w:rsid w:val="007E6F37"/>
    <w:rsid w:val="008000EC"/>
    <w:rsid w:val="00811656"/>
    <w:rsid w:val="00811E0F"/>
    <w:rsid w:val="00812FE5"/>
    <w:rsid w:val="00825136"/>
    <w:rsid w:val="00825C39"/>
    <w:rsid w:val="00842767"/>
    <w:rsid w:val="008559F5"/>
    <w:rsid w:val="008A2640"/>
    <w:rsid w:val="008C2FD6"/>
    <w:rsid w:val="008C3405"/>
    <w:rsid w:val="008D2BA0"/>
    <w:rsid w:val="008E75D4"/>
    <w:rsid w:val="008F1138"/>
    <w:rsid w:val="00900B2B"/>
    <w:rsid w:val="00907D9E"/>
    <w:rsid w:val="00912E6D"/>
    <w:rsid w:val="00930B71"/>
    <w:rsid w:val="00931D35"/>
    <w:rsid w:val="009712F2"/>
    <w:rsid w:val="009765DD"/>
    <w:rsid w:val="00982F03"/>
    <w:rsid w:val="009A4658"/>
    <w:rsid w:val="009B11F8"/>
    <w:rsid w:val="009B6ACF"/>
    <w:rsid w:val="009C290A"/>
    <w:rsid w:val="009D7720"/>
    <w:rsid w:val="009E0BE2"/>
    <w:rsid w:val="009F11DA"/>
    <w:rsid w:val="00A21410"/>
    <w:rsid w:val="00A27D12"/>
    <w:rsid w:val="00A354D9"/>
    <w:rsid w:val="00A36B9B"/>
    <w:rsid w:val="00A81460"/>
    <w:rsid w:val="00AA384A"/>
    <w:rsid w:val="00AA7485"/>
    <w:rsid w:val="00AB2511"/>
    <w:rsid w:val="00AD7BE2"/>
    <w:rsid w:val="00AE2B7A"/>
    <w:rsid w:val="00AF722B"/>
    <w:rsid w:val="00B22B2D"/>
    <w:rsid w:val="00B41D63"/>
    <w:rsid w:val="00B71E8A"/>
    <w:rsid w:val="00B854F8"/>
    <w:rsid w:val="00B904DE"/>
    <w:rsid w:val="00B93396"/>
    <w:rsid w:val="00BC2636"/>
    <w:rsid w:val="00BD0079"/>
    <w:rsid w:val="00BE5C94"/>
    <w:rsid w:val="00BF015A"/>
    <w:rsid w:val="00BF5ADB"/>
    <w:rsid w:val="00C16BF4"/>
    <w:rsid w:val="00C20B73"/>
    <w:rsid w:val="00C239C1"/>
    <w:rsid w:val="00C33850"/>
    <w:rsid w:val="00C4075F"/>
    <w:rsid w:val="00C43C0B"/>
    <w:rsid w:val="00C50D35"/>
    <w:rsid w:val="00C54F1F"/>
    <w:rsid w:val="00C6286A"/>
    <w:rsid w:val="00C65507"/>
    <w:rsid w:val="00C8346B"/>
    <w:rsid w:val="00C84FCE"/>
    <w:rsid w:val="00C9763F"/>
    <w:rsid w:val="00CA2341"/>
    <w:rsid w:val="00CA7E71"/>
    <w:rsid w:val="00CB4835"/>
    <w:rsid w:val="00CC0ADA"/>
    <w:rsid w:val="00CD1BE3"/>
    <w:rsid w:val="00CD241E"/>
    <w:rsid w:val="00CE5BFF"/>
    <w:rsid w:val="00CF03E6"/>
    <w:rsid w:val="00CF7C9A"/>
    <w:rsid w:val="00D045A5"/>
    <w:rsid w:val="00D150B2"/>
    <w:rsid w:val="00D30573"/>
    <w:rsid w:val="00D512F9"/>
    <w:rsid w:val="00DB3E42"/>
    <w:rsid w:val="00DB65D8"/>
    <w:rsid w:val="00DD3694"/>
    <w:rsid w:val="00DD6DE1"/>
    <w:rsid w:val="00DE1995"/>
    <w:rsid w:val="00DE3AFD"/>
    <w:rsid w:val="00DF1240"/>
    <w:rsid w:val="00DF1AFE"/>
    <w:rsid w:val="00DF3F5B"/>
    <w:rsid w:val="00E00F01"/>
    <w:rsid w:val="00E02BAE"/>
    <w:rsid w:val="00E202C0"/>
    <w:rsid w:val="00E230E0"/>
    <w:rsid w:val="00E40830"/>
    <w:rsid w:val="00E43D6A"/>
    <w:rsid w:val="00E44C73"/>
    <w:rsid w:val="00E70DFD"/>
    <w:rsid w:val="00E74DFA"/>
    <w:rsid w:val="00EA0B49"/>
    <w:rsid w:val="00EB4B25"/>
    <w:rsid w:val="00EC3092"/>
    <w:rsid w:val="00F06384"/>
    <w:rsid w:val="00F168C7"/>
    <w:rsid w:val="00F16BC9"/>
    <w:rsid w:val="00F24EBB"/>
    <w:rsid w:val="00F3465B"/>
    <w:rsid w:val="00F37746"/>
    <w:rsid w:val="00F50D45"/>
    <w:rsid w:val="00F600CA"/>
    <w:rsid w:val="00F86FBB"/>
    <w:rsid w:val="00F9515B"/>
    <w:rsid w:val="00FA1FE1"/>
    <w:rsid w:val="00FC2C37"/>
    <w:rsid w:val="00FC4AE7"/>
    <w:rsid w:val="00FD0999"/>
    <w:rsid w:val="00FE70D8"/>
    <w:rsid w:val="00FF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8110FB4-764F-445C-92CE-D873A7C1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0EC"/>
    <w:pPr>
      <w:spacing w:before="120" w:after="120"/>
      <w:jc w:val="both"/>
    </w:pPr>
    <w:rPr>
      <w:rFonts w:ascii="Times New Roman" w:eastAsia="Calibri" w:hAnsi="Times New Roman" w:cs="Calibri"/>
      <w:color w:val="000000"/>
      <w:sz w:val="24"/>
      <w:lang w:val="en-AU"/>
    </w:rPr>
  </w:style>
  <w:style w:type="paragraph" w:styleId="Heading1">
    <w:name w:val="heading 1"/>
    <w:basedOn w:val="Normal"/>
    <w:next w:val="Normal"/>
    <w:link w:val="Heading1Char"/>
    <w:uiPriority w:val="9"/>
    <w:qFormat/>
    <w:rsid w:val="00DB3E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61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1B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E List Paragraph"/>
    <w:basedOn w:val="Normal"/>
    <w:link w:val="ListParagraphChar"/>
    <w:uiPriority w:val="34"/>
    <w:qFormat/>
    <w:rsid w:val="00DB3E42"/>
    <w:pPr>
      <w:ind w:left="720"/>
      <w:contextualSpacing/>
    </w:pPr>
  </w:style>
  <w:style w:type="character" w:customStyle="1" w:styleId="ListParagraphChar">
    <w:name w:val="List Paragraph Char"/>
    <w:aliases w:val="UE List Paragraph Char"/>
    <w:basedOn w:val="DefaultParagraphFont"/>
    <w:link w:val="ListParagraph"/>
    <w:uiPriority w:val="34"/>
    <w:rsid w:val="00DB3E42"/>
    <w:rPr>
      <w:rFonts w:ascii="Calibri" w:eastAsia="Calibri" w:hAnsi="Calibri" w:cs="Calibri"/>
      <w:color w:val="000000"/>
      <w:lang w:val="en-AU"/>
    </w:rPr>
  </w:style>
  <w:style w:type="table" w:styleId="TableGrid">
    <w:name w:val="Table Grid"/>
    <w:basedOn w:val="TableNormal"/>
    <w:uiPriority w:val="59"/>
    <w:rsid w:val="00DB3E42"/>
    <w:pPr>
      <w:spacing w:before="0" w:after="0"/>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3E42"/>
    <w:rPr>
      <w:rFonts w:asciiTheme="majorHAnsi" w:eastAsiaTheme="majorEastAsia" w:hAnsiTheme="majorHAnsi" w:cstheme="majorBidi"/>
      <w:b/>
      <w:bCs/>
      <w:color w:val="365F91" w:themeColor="accent1" w:themeShade="BF"/>
      <w:sz w:val="28"/>
      <w:szCs w:val="28"/>
      <w:lang w:val="en-AU"/>
    </w:rPr>
  </w:style>
  <w:style w:type="paragraph" w:styleId="BalloonText">
    <w:name w:val="Balloon Text"/>
    <w:basedOn w:val="Normal"/>
    <w:link w:val="BalloonTextChar"/>
    <w:uiPriority w:val="99"/>
    <w:semiHidden/>
    <w:unhideWhenUsed/>
    <w:rsid w:val="00DB3E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E42"/>
    <w:rPr>
      <w:rFonts w:ascii="Tahoma" w:eastAsia="Calibri" w:hAnsi="Tahoma" w:cs="Tahoma"/>
      <w:color w:val="000000"/>
      <w:sz w:val="16"/>
      <w:szCs w:val="16"/>
      <w:lang w:val="en-AU"/>
    </w:rPr>
  </w:style>
  <w:style w:type="character" w:customStyle="1" w:styleId="Heading2Char">
    <w:name w:val="Heading 2 Char"/>
    <w:basedOn w:val="DefaultParagraphFont"/>
    <w:link w:val="Heading2"/>
    <w:uiPriority w:val="9"/>
    <w:rsid w:val="002361AF"/>
    <w:rPr>
      <w:rFonts w:asciiTheme="majorHAnsi" w:eastAsiaTheme="majorEastAsia" w:hAnsiTheme="majorHAnsi" w:cstheme="majorBidi"/>
      <w:b/>
      <w:bCs/>
      <w:color w:val="4F81BD" w:themeColor="accent1"/>
      <w:sz w:val="26"/>
      <w:szCs w:val="26"/>
      <w:lang w:val="en-AU"/>
    </w:rPr>
  </w:style>
  <w:style w:type="paragraph" w:styleId="DocumentMap">
    <w:name w:val="Document Map"/>
    <w:basedOn w:val="Normal"/>
    <w:link w:val="DocumentMapChar"/>
    <w:uiPriority w:val="99"/>
    <w:semiHidden/>
    <w:unhideWhenUsed/>
    <w:rsid w:val="00812FE5"/>
    <w:pPr>
      <w:spacing w:before="0" w:after="0"/>
    </w:pPr>
    <w:rPr>
      <w:rFonts w:ascii="Lucida Grande" w:hAnsi="Lucida Grande"/>
      <w:szCs w:val="24"/>
    </w:rPr>
  </w:style>
  <w:style w:type="character" w:customStyle="1" w:styleId="DocumentMapChar">
    <w:name w:val="Document Map Char"/>
    <w:basedOn w:val="DefaultParagraphFont"/>
    <w:link w:val="DocumentMap"/>
    <w:uiPriority w:val="99"/>
    <w:semiHidden/>
    <w:rsid w:val="00812FE5"/>
    <w:rPr>
      <w:rFonts w:ascii="Lucida Grande" w:eastAsia="Calibri" w:hAnsi="Lucida Grande" w:cs="Calibri"/>
      <w:color w:val="000000"/>
      <w:sz w:val="24"/>
      <w:szCs w:val="24"/>
      <w:lang w:val="en-AU"/>
    </w:rPr>
  </w:style>
  <w:style w:type="character" w:styleId="CommentReference">
    <w:name w:val="annotation reference"/>
    <w:basedOn w:val="DefaultParagraphFont"/>
    <w:uiPriority w:val="99"/>
    <w:semiHidden/>
    <w:unhideWhenUsed/>
    <w:rsid w:val="002E083D"/>
    <w:rPr>
      <w:sz w:val="18"/>
      <w:szCs w:val="18"/>
    </w:rPr>
  </w:style>
  <w:style w:type="paragraph" w:styleId="CommentText">
    <w:name w:val="annotation text"/>
    <w:basedOn w:val="Normal"/>
    <w:link w:val="CommentTextChar"/>
    <w:uiPriority w:val="99"/>
    <w:semiHidden/>
    <w:unhideWhenUsed/>
    <w:rsid w:val="002E083D"/>
    <w:rPr>
      <w:szCs w:val="24"/>
    </w:rPr>
  </w:style>
  <w:style w:type="character" w:customStyle="1" w:styleId="CommentTextChar">
    <w:name w:val="Comment Text Char"/>
    <w:basedOn w:val="DefaultParagraphFont"/>
    <w:link w:val="CommentText"/>
    <w:uiPriority w:val="99"/>
    <w:semiHidden/>
    <w:rsid w:val="002E083D"/>
    <w:rPr>
      <w:rFonts w:ascii="Calibri" w:eastAsia="Calibri" w:hAnsi="Calibri" w:cs="Calibri"/>
      <w:color w:val="000000"/>
      <w:sz w:val="24"/>
      <w:szCs w:val="24"/>
      <w:lang w:val="en-AU"/>
    </w:rPr>
  </w:style>
  <w:style w:type="paragraph" w:styleId="CommentSubject">
    <w:name w:val="annotation subject"/>
    <w:basedOn w:val="CommentText"/>
    <w:next w:val="CommentText"/>
    <w:link w:val="CommentSubjectChar"/>
    <w:uiPriority w:val="99"/>
    <w:semiHidden/>
    <w:unhideWhenUsed/>
    <w:rsid w:val="002E083D"/>
    <w:rPr>
      <w:b/>
      <w:bCs/>
      <w:sz w:val="20"/>
      <w:szCs w:val="20"/>
    </w:rPr>
  </w:style>
  <w:style w:type="character" w:customStyle="1" w:styleId="CommentSubjectChar">
    <w:name w:val="Comment Subject Char"/>
    <w:basedOn w:val="CommentTextChar"/>
    <w:link w:val="CommentSubject"/>
    <w:uiPriority w:val="99"/>
    <w:semiHidden/>
    <w:rsid w:val="002E083D"/>
    <w:rPr>
      <w:rFonts w:ascii="Calibri" w:eastAsia="Calibri" w:hAnsi="Calibri" w:cs="Calibri"/>
      <w:b/>
      <w:bCs/>
      <w:color w:val="000000"/>
      <w:sz w:val="20"/>
      <w:szCs w:val="20"/>
      <w:lang w:val="en-AU"/>
    </w:rPr>
  </w:style>
  <w:style w:type="paragraph" w:styleId="Header">
    <w:name w:val="header"/>
    <w:basedOn w:val="Normal"/>
    <w:link w:val="HeaderChar"/>
    <w:uiPriority w:val="99"/>
    <w:semiHidden/>
    <w:unhideWhenUsed/>
    <w:rsid w:val="002E5DBA"/>
    <w:pPr>
      <w:tabs>
        <w:tab w:val="center" w:pos="4680"/>
        <w:tab w:val="right" w:pos="9360"/>
      </w:tabs>
      <w:spacing w:before="0" w:after="0"/>
    </w:pPr>
  </w:style>
  <w:style w:type="character" w:customStyle="1" w:styleId="HeaderChar">
    <w:name w:val="Header Char"/>
    <w:basedOn w:val="DefaultParagraphFont"/>
    <w:link w:val="Header"/>
    <w:uiPriority w:val="99"/>
    <w:semiHidden/>
    <w:rsid w:val="002E5DBA"/>
    <w:rPr>
      <w:rFonts w:ascii="Calibri" w:eastAsia="Calibri" w:hAnsi="Calibri" w:cs="Calibri"/>
      <w:color w:val="000000"/>
      <w:lang w:val="en-AU"/>
    </w:rPr>
  </w:style>
  <w:style w:type="paragraph" w:styleId="Footer">
    <w:name w:val="footer"/>
    <w:basedOn w:val="Normal"/>
    <w:link w:val="FooterChar"/>
    <w:uiPriority w:val="99"/>
    <w:unhideWhenUsed/>
    <w:rsid w:val="002E5DBA"/>
    <w:pPr>
      <w:tabs>
        <w:tab w:val="center" w:pos="4680"/>
        <w:tab w:val="right" w:pos="9360"/>
      </w:tabs>
      <w:spacing w:before="0" w:after="0"/>
    </w:pPr>
  </w:style>
  <w:style w:type="character" w:customStyle="1" w:styleId="FooterChar">
    <w:name w:val="Footer Char"/>
    <w:basedOn w:val="DefaultParagraphFont"/>
    <w:link w:val="Footer"/>
    <w:uiPriority w:val="99"/>
    <w:rsid w:val="002E5DBA"/>
    <w:rPr>
      <w:rFonts w:ascii="Calibri" w:eastAsia="Calibri" w:hAnsi="Calibri" w:cs="Calibri"/>
      <w:color w:val="000000"/>
      <w:lang w:val="en-AU"/>
    </w:rPr>
  </w:style>
  <w:style w:type="character" w:styleId="Hyperlink">
    <w:name w:val="Hyperlink"/>
    <w:aliases w:val="Hyperlink SAR"/>
    <w:basedOn w:val="DefaultParagraphFont"/>
    <w:uiPriority w:val="99"/>
    <w:unhideWhenUsed/>
    <w:rsid w:val="00DF3F5B"/>
    <w:rPr>
      <w:color w:val="0000FF" w:themeColor="hyperlink"/>
      <w:u w:val="single"/>
    </w:rPr>
  </w:style>
  <w:style w:type="character" w:customStyle="1" w:styleId="Heading3Char">
    <w:name w:val="Heading 3 Char"/>
    <w:basedOn w:val="DefaultParagraphFont"/>
    <w:link w:val="Heading3"/>
    <w:uiPriority w:val="9"/>
    <w:rsid w:val="00671B61"/>
    <w:rPr>
      <w:rFonts w:asciiTheme="majorHAnsi" w:eastAsiaTheme="majorEastAsia" w:hAnsiTheme="majorHAnsi" w:cstheme="majorBidi"/>
      <w:b/>
      <w:bCs/>
      <w:color w:val="4F81BD" w:themeColor="accent1"/>
      <w:lang w:val="en-AU"/>
    </w:rPr>
  </w:style>
  <w:style w:type="paragraph" w:styleId="NoSpacing">
    <w:name w:val="No Spacing"/>
    <w:uiPriority w:val="1"/>
    <w:qFormat/>
    <w:rsid w:val="00CF7C9A"/>
    <w:pPr>
      <w:spacing w:before="0" w:after="0"/>
      <w:jc w:val="both"/>
    </w:pPr>
    <w:rPr>
      <w:rFonts w:ascii="Calibri" w:eastAsia="Calibri" w:hAnsi="Calibri" w:cs="Calibri"/>
      <w:color w:val="000000"/>
      <w:lang w:val="en-AU"/>
    </w:rPr>
  </w:style>
  <w:style w:type="paragraph" w:styleId="FootnoteText">
    <w:name w:val="footnote text"/>
    <w:basedOn w:val="Normal"/>
    <w:link w:val="FootnoteTextChar"/>
    <w:uiPriority w:val="99"/>
    <w:unhideWhenUsed/>
    <w:rsid w:val="00173858"/>
    <w:pPr>
      <w:spacing w:before="0" w:after="0"/>
    </w:pPr>
    <w:rPr>
      <w:szCs w:val="24"/>
    </w:rPr>
  </w:style>
  <w:style w:type="character" w:customStyle="1" w:styleId="FootnoteTextChar">
    <w:name w:val="Footnote Text Char"/>
    <w:basedOn w:val="DefaultParagraphFont"/>
    <w:link w:val="FootnoteText"/>
    <w:uiPriority w:val="99"/>
    <w:rsid w:val="00173858"/>
    <w:rPr>
      <w:rFonts w:ascii="Times New Roman" w:eastAsia="Calibri" w:hAnsi="Times New Roman" w:cs="Calibri"/>
      <w:color w:val="000000"/>
      <w:sz w:val="24"/>
      <w:szCs w:val="24"/>
      <w:lang w:val="en-AU"/>
    </w:rPr>
  </w:style>
  <w:style w:type="character" w:styleId="FootnoteReference">
    <w:name w:val="footnote reference"/>
    <w:basedOn w:val="DefaultParagraphFont"/>
    <w:uiPriority w:val="99"/>
    <w:unhideWhenUsed/>
    <w:rsid w:val="00173858"/>
    <w:rPr>
      <w:vertAlign w:val="superscript"/>
    </w:rPr>
  </w:style>
  <w:style w:type="paragraph" w:styleId="TOC1">
    <w:name w:val="toc 1"/>
    <w:basedOn w:val="Normal"/>
    <w:next w:val="Normal"/>
    <w:autoRedefine/>
    <w:uiPriority w:val="39"/>
    <w:unhideWhenUsed/>
    <w:rsid w:val="00D045A5"/>
    <w:pPr>
      <w:spacing w:after="100"/>
    </w:pPr>
  </w:style>
  <w:style w:type="paragraph" w:styleId="TOC2">
    <w:name w:val="toc 2"/>
    <w:basedOn w:val="Normal"/>
    <w:next w:val="Normal"/>
    <w:autoRedefine/>
    <w:uiPriority w:val="39"/>
    <w:unhideWhenUsed/>
    <w:rsid w:val="00D045A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740669">
      <w:bodyDiv w:val="1"/>
      <w:marLeft w:val="0"/>
      <w:marRight w:val="0"/>
      <w:marTop w:val="0"/>
      <w:marBottom w:val="0"/>
      <w:divBdr>
        <w:top w:val="none" w:sz="0" w:space="0" w:color="auto"/>
        <w:left w:val="none" w:sz="0" w:space="0" w:color="auto"/>
        <w:bottom w:val="none" w:sz="0" w:space="0" w:color="auto"/>
        <w:right w:val="none" w:sz="0" w:space="0" w:color="auto"/>
      </w:divBdr>
      <w:divsChild>
        <w:div w:id="633566629">
          <w:marLeft w:val="360"/>
          <w:marRight w:val="0"/>
          <w:marTop w:val="115"/>
          <w:marBottom w:val="0"/>
          <w:divBdr>
            <w:top w:val="none" w:sz="0" w:space="0" w:color="auto"/>
            <w:left w:val="none" w:sz="0" w:space="0" w:color="auto"/>
            <w:bottom w:val="none" w:sz="0" w:space="0" w:color="auto"/>
            <w:right w:val="none" w:sz="0" w:space="0" w:color="auto"/>
          </w:divBdr>
        </w:div>
        <w:div w:id="2063291563">
          <w:marLeft w:val="360"/>
          <w:marRight w:val="0"/>
          <w:marTop w:val="115"/>
          <w:marBottom w:val="0"/>
          <w:divBdr>
            <w:top w:val="none" w:sz="0" w:space="0" w:color="auto"/>
            <w:left w:val="none" w:sz="0" w:space="0" w:color="auto"/>
            <w:bottom w:val="none" w:sz="0" w:space="0" w:color="auto"/>
            <w:right w:val="none" w:sz="0" w:space="0" w:color="auto"/>
          </w:divBdr>
        </w:div>
        <w:div w:id="254438141">
          <w:marLeft w:val="360"/>
          <w:marRight w:val="0"/>
          <w:marTop w:val="115"/>
          <w:marBottom w:val="0"/>
          <w:divBdr>
            <w:top w:val="none" w:sz="0" w:space="0" w:color="auto"/>
            <w:left w:val="none" w:sz="0" w:space="0" w:color="auto"/>
            <w:bottom w:val="none" w:sz="0" w:space="0" w:color="auto"/>
            <w:right w:val="none" w:sz="0" w:space="0" w:color="auto"/>
          </w:divBdr>
        </w:div>
        <w:div w:id="1873375558">
          <w:marLeft w:val="360"/>
          <w:marRight w:val="0"/>
          <w:marTop w:val="115"/>
          <w:marBottom w:val="0"/>
          <w:divBdr>
            <w:top w:val="none" w:sz="0" w:space="0" w:color="auto"/>
            <w:left w:val="none" w:sz="0" w:space="0" w:color="auto"/>
            <w:bottom w:val="none" w:sz="0" w:space="0" w:color="auto"/>
            <w:right w:val="none" w:sz="0" w:space="0" w:color="auto"/>
          </w:divBdr>
        </w:div>
        <w:div w:id="8142067">
          <w:marLeft w:val="36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chart" Target="charts/chart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hyperlink" Target="https://www.aed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http://www.abs.gov.au/websitedbs/D3310114.nsf/%20Home/2016%20QuickStats" TargetMode="External"/><Relationship Id="rId23" Type="http://schemas.openxmlformats.org/officeDocument/2006/relationships/hyperlink" Target="https://www2.health.vic.gov.au/about/reporting-planning-data/gis-and-planning-products/geographical-profile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PowerPoint_Slide.sldx"/><Relationship Id="rId22" Type="http://schemas.openxmlformats.org/officeDocument/2006/relationships/chart" Target="charts/chart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DoNotDelete_BKUP\Users%20Profile\John\Documents\John\MAV%20population%20distribution%20study\Data%20sheet%20for%20MAV%20study%2030%20Apri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MAV\Data%20sheet%20for%20MAV%20study%2030%20Apri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NotDelete_BKUP\Users%20Profile\John\Documents\John\MAV%20population%20distribution%20study\Data%20sheet%20for%20MAV%20study%2030%20Apri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NotDelete_BKUP\Users%20Profile\John\Documents\John\MAV%20population%20distribution%20study\OPen%20space%20data%20from%20VPA%2030%20Ma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NotDelete_BKUP\Users%20Profile\John\Documents\John\MAV%20population%20distribution%20study\Data%20sheet%20for%20MAV%20study%2030%20Apri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LASH%20DRIVE:Copy%20of%20Productivity%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'Devt vulnerability'!$A$2:$A$32</c:f>
              <c:strCache>
                <c:ptCount val="31"/>
                <c:pt idx="0">
                  <c:v>Brimbank </c:v>
                </c:pt>
                <c:pt idx="1">
                  <c:v>Greater Dandenong </c:v>
                </c:pt>
                <c:pt idx="2">
                  <c:v>Hume </c:v>
                </c:pt>
                <c:pt idx="3">
                  <c:v>Wyndham </c:v>
                </c:pt>
                <c:pt idx="4">
                  <c:v>Yarra </c:v>
                </c:pt>
                <c:pt idx="5">
                  <c:v>Melbourne </c:v>
                </c:pt>
                <c:pt idx="6">
                  <c:v>Casey </c:v>
                </c:pt>
                <c:pt idx="7">
                  <c:v>Melton </c:v>
                </c:pt>
                <c:pt idx="8">
                  <c:v>Frankston </c:v>
                </c:pt>
                <c:pt idx="9">
                  <c:v>Whittlesea </c:v>
                </c:pt>
                <c:pt idx="10">
                  <c:v>Moreland </c:v>
                </c:pt>
                <c:pt idx="11">
                  <c:v>Cardinia </c:v>
                </c:pt>
                <c:pt idx="12">
                  <c:v>Hobsons Bay </c:v>
                </c:pt>
                <c:pt idx="13">
                  <c:v>Maribyrnong </c:v>
                </c:pt>
                <c:pt idx="14">
                  <c:v>Mornington Peninsula </c:v>
                </c:pt>
                <c:pt idx="15">
                  <c:v>Yarra Ranges </c:v>
                </c:pt>
                <c:pt idx="16">
                  <c:v>Maroondah </c:v>
                </c:pt>
                <c:pt idx="17">
                  <c:v>Darebin </c:v>
                </c:pt>
                <c:pt idx="18">
                  <c:v>Manningham </c:v>
                </c:pt>
                <c:pt idx="19">
                  <c:v>Moonee Valley </c:v>
                </c:pt>
                <c:pt idx="20">
                  <c:v>Knox </c:v>
                </c:pt>
                <c:pt idx="21">
                  <c:v>Monash </c:v>
                </c:pt>
                <c:pt idx="22">
                  <c:v>Glen Eira </c:v>
                </c:pt>
                <c:pt idx="23">
                  <c:v>Port Phillip </c:v>
                </c:pt>
                <c:pt idx="24">
                  <c:v>Kingston </c:v>
                </c:pt>
                <c:pt idx="25">
                  <c:v>Banyule </c:v>
                </c:pt>
                <c:pt idx="26">
                  <c:v>Whitehorse </c:v>
                </c:pt>
                <c:pt idx="27">
                  <c:v>Stonnington </c:v>
                </c:pt>
                <c:pt idx="28">
                  <c:v>Boroondara </c:v>
                </c:pt>
                <c:pt idx="29">
                  <c:v>Nillumbik </c:v>
                </c:pt>
                <c:pt idx="30">
                  <c:v>Bayside </c:v>
                </c:pt>
              </c:strCache>
            </c:strRef>
          </c:cat>
          <c:val>
            <c:numRef>
              <c:f>'Devt vulnerability'!$B$2:$B$32</c:f>
              <c:numCache>
                <c:formatCode>General</c:formatCode>
                <c:ptCount val="31"/>
                <c:pt idx="0">
                  <c:v>31</c:v>
                </c:pt>
                <c:pt idx="1">
                  <c:v>28.3</c:v>
                </c:pt>
                <c:pt idx="2">
                  <c:v>27.1</c:v>
                </c:pt>
                <c:pt idx="3">
                  <c:v>26.4</c:v>
                </c:pt>
                <c:pt idx="4">
                  <c:v>25.6</c:v>
                </c:pt>
                <c:pt idx="5">
                  <c:v>23.5</c:v>
                </c:pt>
                <c:pt idx="6">
                  <c:v>22.5</c:v>
                </c:pt>
                <c:pt idx="7">
                  <c:v>21</c:v>
                </c:pt>
                <c:pt idx="8">
                  <c:v>20.9</c:v>
                </c:pt>
                <c:pt idx="9">
                  <c:v>20.9</c:v>
                </c:pt>
                <c:pt idx="10">
                  <c:v>20.8</c:v>
                </c:pt>
                <c:pt idx="11">
                  <c:v>20.2</c:v>
                </c:pt>
                <c:pt idx="12">
                  <c:v>19.5</c:v>
                </c:pt>
                <c:pt idx="13">
                  <c:v>18.899999999999999</c:v>
                </c:pt>
                <c:pt idx="14">
                  <c:v>18.8</c:v>
                </c:pt>
                <c:pt idx="15">
                  <c:v>17.100000000000001</c:v>
                </c:pt>
                <c:pt idx="16">
                  <c:v>16.3</c:v>
                </c:pt>
                <c:pt idx="17">
                  <c:v>16.2</c:v>
                </c:pt>
                <c:pt idx="18">
                  <c:v>16.2</c:v>
                </c:pt>
                <c:pt idx="19">
                  <c:v>15.9</c:v>
                </c:pt>
                <c:pt idx="20">
                  <c:v>15.8</c:v>
                </c:pt>
                <c:pt idx="21">
                  <c:v>15.1</c:v>
                </c:pt>
                <c:pt idx="22">
                  <c:v>14.2</c:v>
                </c:pt>
                <c:pt idx="23">
                  <c:v>13.9</c:v>
                </c:pt>
                <c:pt idx="24">
                  <c:v>13.7</c:v>
                </c:pt>
                <c:pt idx="25">
                  <c:v>13.3</c:v>
                </c:pt>
                <c:pt idx="26">
                  <c:v>13.3</c:v>
                </c:pt>
                <c:pt idx="27">
                  <c:v>12.3</c:v>
                </c:pt>
                <c:pt idx="28">
                  <c:v>11.7</c:v>
                </c:pt>
                <c:pt idx="29">
                  <c:v>11.1</c:v>
                </c:pt>
                <c:pt idx="30">
                  <c:v>10.1</c:v>
                </c:pt>
              </c:numCache>
            </c:numRef>
          </c:val>
          <c:extLst>
            <c:ext xmlns:c16="http://schemas.microsoft.com/office/drawing/2014/chart" uri="{C3380CC4-5D6E-409C-BE32-E72D297353CC}">
              <c16:uniqueId val="{00000000-63E2-46C0-B097-035B108D62E0}"/>
            </c:ext>
          </c:extLst>
        </c:ser>
        <c:dLbls>
          <c:showLegendKey val="0"/>
          <c:showVal val="0"/>
          <c:showCatName val="0"/>
          <c:showSerName val="0"/>
          <c:showPercent val="0"/>
          <c:showBubbleSize val="0"/>
        </c:dLbls>
        <c:gapWidth val="150"/>
        <c:axId val="51686784"/>
        <c:axId val="52012160"/>
      </c:barChart>
      <c:catAx>
        <c:axId val="51686784"/>
        <c:scaling>
          <c:orientation val="minMax"/>
        </c:scaling>
        <c:delete val="0"/>
        <c:axPos val="b"/>
        <c:numFmt formatCode="General" sourceLinked="0"/>
        <c:majorTickMark val="out"/>
        <c:minorTickMark val="none"/>
        <c:tickLblPos val="nextTo"/>
        <c:crossAx val="52012160"/>
        <c:crosses val="autoZero"/>
        <c:auto val="1"/>
        <c:lblAlgn val="ctr"/>
        <c:lblOffset val="100"/>
        <c:noMultiLvlLbl val="0"/>
      </c:catAx>
      <c:valAx>
        <c:axId val="52012160"/>
        <c:scaling>
          <c:orientation val="minMax"/>
        </c:scaling>
        <c:delete val="0"/>
        <c:axPos val="l"/>
        <c:majorGridlines/>
        <c:numFmt formatCode="General" sourceLinked="1"/>
        <c:majorTickMark val="out"/>
        <c:minorTickMark val="none"/>
        <c:tickLblPos val="nextTo"/>
        <c:crossAx val="5168678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'Youth Unemployment rate'!$B$3</c:f>
              <c:strCache>
                <c:ptCount val="1"/>
                <c:pt idx="0">
                  <c:v>Youth unemployment rate (%)</c:v>
                </c:pt>
              </c:strCache>
            </c:strRef>
          </c:tx>
          <c:invertIfNegative val="0"/>
          <c:cat>
            <c:strRef>
              <c:f>'Youth Unemployment rate'!$A$4:$A$34</c:f>
              <c:strCache>
                <c:ptCount val="31"/>
                <c:pt idx="0">
                  <c:v>Melbourne </c:v>
                </c:pt>
                <c:pt idx="1">
                  <c:v>Greater Dandenong </c:v>
                </c:pt>
                <c:pt idx="2">
                  <c:v>Monash </c:v>
                </c:pt>
                <c:pt idx="3">
                  <c:v>Brimbank </c:v>
                </c:pt>
                <c:pt idx="4">
                  <c:v>Wyndham </c:v>
                </c:pt>
                <c:pt idx="5">
                  <c:v>Maribyrnong </c:v>
                </c:pt>
                <c:pt idx="6">
                  <c:v>Hume </c:v>
                </c:pt>
                <c:pt idx="7">
                  <c:v>Whitehorse </c:v>
                </c:pt>
                <c:pt idx="8">
                  <c:v>Melton </c:v>
                </c:pt>
                <c:pt idx="9">
                  <c:v>Casey </c:v>
                </c:pt>
                <c:pt idx="10">
                  <c:v>Darebin </c:v>
                </c:pt>
                <c:pt idx="11">
                  <c:v>Whittlesea </c:v>
                </c:pt>
                <c:pt idx="12">
                  <c:v>Moreland </c:v>
                </c:pt>
                <c:pt idx="13">
                  <c:v>Glen Eira </c:v>
                </c:pt>
                <c:pt idx="14">
                  <c:v>Manningham </c:v>
                </c:pt>
                <c:pt idx="15">
                  <c:v>Hobsons Bay </c:v>
                </c:pt>
                <c:pt idx="16">
                  <c:v>Banyule </c:v>
                </c:pt>
                <c:pt idx="17">
                  <c:v>Frankston </c:v>
                </c:pt>
                <c:pt idx="18">
                  <c:v>Boroondara </c:v>
                </c:pt>
                <c:pt idx="19">
                  <c:v>Kingston </c:v>
                </c:pt>
                <c:pt idx="20">
                  <c:v>Knox </c:v>
                </c:pt>
                <c:pt idx="21">
                  <c:v>Cardinia </c:v>
                </c:pt>
                <c:pt idx="22">
                  <c:v>Stonnington </c:v>
                </c:pt>
                <c:pt idx="23">
                  <c:v>Moonee Valley </c:v>
                </c:pt>
                <c:pt idx="24">
                  <c:v>Bayside </c:v>
                </c:pt>
                <c:pt idx="25">
                  <c:v>Maroondah </c:v>
                </c:pt>
                <c:pt idx="26">
                  <c:v>Yarra </c:v>
                </c:pt>
                <c:pt idx="27">
                  <c:v>Yarra Ranges </c:v>
                </c:pt>
                <c:pt idx="28">
                  <c:v>Port Phillip </c:v>
                </c:pt>
                <c:pt idx="29">
                  <c:v>Nillumbik </c:v>
                </c:pt>
                <c:pt idx="30">
                  <c:v>Mornington Peninsula </c:v>
                </c:pt>
              </c:strCache>
            </c:strRef>
          </c:cat>
          <c:val>
            <c:numRef>
              <c:f>'Youth Unemployment rate'!$B$4:$B$34</c:f>
              <c:numCache>
                <c:formatCode>0.0</c:formatCode>
                <c:ptCount val="31"/>
                <c:pt idx="0">
                  <c:v>27.571306977612899</c:v>
                </c:pt>
                <c:pt idx="1">
                  <c:v>20.135522041893726</c:v>
                </c:pt>
                <c:pt idx="2">
                  <c:v>19.759312922053581</c:v>
                </c:pt>
                <c:pt idx="3">
                  <c:v>19.121015355693931</c:v>
                </c:pt>
                <c:pt idx="4">
                  <c:v>18.872492004060689</c:v>
                </c:pt>
                <c:pt idx="5">
                  <c:v>18.559426886533178</c:v>
                </c:pt>
                <c:pt idx="6">
                  <c:v>18.311854811475484</c:v>
                </c:pt>
                <c:pt idx="7">
                  <c:v>17.271666766019031</c:v>
                </c:pt>
                <c:pt idx="8">
                  <c:v>16.995011654775368</c:v>
                </c:pt>
                <c:pt idx="9">
                  <c:v>16.791111608067826</c:v>
                </c:pt>
                <c:pt idx="10">
                  <c:v>16.707805138517131</c:v>
                </c:pt>
                <c:pt idx="11">
                  <c:v>16.360490495328886</c:v>
                </c:pt>
                <c:pt idx="12">
                  <c:v>15.616856680079769</c:v>
                </c:pt>
                <c:pt idx="13">
                  <c:v>15.435930250477076</c:v>
                </c:pt>
                <c:pt idx="14">
                  <c:v>15.08700757271062</c:v>
                </c:pt>
                <c:pt idx="15">
                  <c:v>14.930401461102678</c:v>
                </c:pt>
                <c:pt idx="16">
                  <c:v>14.18299384292656</c:v>
                </c:pt>
                <c:pt idx="17">
                  <c:v>13.91915839949184</c:v>
                </c:pt>
                <c:pt idx="18">
                  <c:v>13.147700618809402</c:v>
                </c:pt>
                <c:pt idx="19">
                  <c:v>13.146291014573318</c:v>
                </c:pt>
                <c:pt idx="20">
                  <c:v>12.888147465596749</c:v>
                </c:pt>
                <c:pt idx="21">
                  <c:v>12.83733693059148</c:v>
                </c:pt>
                <c:pt idx="22">
                  <c:v>12.645122824388819</c:v>
                </c:pt>
                <c:pt idx="23">
                  <c:v>12.507806586681276</c:v>
                </c:pt>
                <c:pt idx="24">
                  <c:v>12.248014302559715</c:v>
                </c:pt>
                <c:pt idx="25">
                  <c:v>12.030847202677469</c:v>
                </c:pt>
                <c:pt idx="26">
                  <c:v>11.985171727222699</c:v>
                </c:pt>
                <c:pt idx="27">
                  <c:v>11.552803996542726</c:v>
                </c:pt>
                <c:pt idx="28">
                  <c:v>11.442043264378762</c:v>
                </c:pt>
                <c:pt idx="29">
                  <c:v>11.42575103852708</c:v>
                </c:pt>
                <c:pt idx="30">
                  <c:v>10.32684374557361</c:v>
                </c:pt>
              </c:numCache>
            </c:numRef>
          </c:val>
          <c:extLst>
            <c:ext xmlns:c16="http://schemas.microsoft.com/office/drawing/2014/chart" uri="{C3380CC4-5D6E-409C-BE32-E72D297353CC}">
              <c16:uniqueId val="{00000000-957F-4205-9773-4DEA07418FD6}"/>
            </c:ext>
          </c:extLst>
        </c:ser>
        <c:dLbls>
          <c:showLegendKey val="0"/>
          <c:showVal val="0"/>
          <c:showCatName val="0"/>
          <c:showSerName val="0"/>
          <c:showPercent val="0"/>
          <c:showBubbleSize val="0"/>
        </c:dLbls>
        <c:gapWidth val="150"/>
        <c:axId val="107578496"/>
        <c:axId val="120439168"/>
      </c:barChart>
      <c:catAx>
        <c:axId val="107578496"/>
        <c:scaling>
          <c:orientation val="minMax"/>
        </c:scaling>
        <c:delete val="0"/>
        <c:axPos val="b"/>
        <c:numFmt formatCode="General" sourceLinked="0"/>
        <c:majorTickMark val="out"/>
        <c:minorTickMark val="none"/>
        <c:tickLblPos val="nextTo"/>
        <c:crossAx val="120439168"/>
        <c:crosses val="autoZero"/>
        <c:auto val="1"/>
        <c:lblAlgn val="ctr"/>
        <c:lblOffset val="100"/>
        <c:noMultiLvlLbl val="0"/>
      </c:catAx>
      <c:valAx>
        <c:axId val="120439168"/>
        <c:scaling>
          <c:orientation val="minMax"/>
        </c:scaling>
        <c:delete val="0"/>
        <c:axPos val="l"/>
        <c:majorGridlines/>
        <c:numFmt formatCode="0.0" sourceLinked="1"/>
        <c:majorTickMark val="out"/>
        <c:minorTickMark val="none"/>
        <c:tickLblPos val="nextTo"/>
        <c:crossAx val="10757849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'Trust others'!$B$2</c:f>
              <c:strCache>
                <c:ptCount val="1"/>
                <c:pt idx="0">
                  <c:v>Trust others (%)</c:v>
                </c:pt>
              </c:strCache>
            </c:strRef>
          </c:tx>
          <c:invertIfNegative val="0"/>
          <c:cat>
            <c:strRef>
              <c:f>'Trust others'!$A$3:$A$33</c:f>
              <c:strCache>
                <c:ptCount val="31"/>
                <c:pt idx="0">
                  <c:v>Boroondara </c:v>
                </c:pt>
                <c:pt idx="1">
                  <c:v>Yarra </c:v>
                </c:pt>
                <c:pt idx="2">
                  <c:v>Bayside </c:v>
                </c:pt>
                <c:pt idx="3">
                  <c:v>Port Phillip </c:v>
                </c:pt>
                <c:pt idx="4">
                  <c:v>Whitehorse </c:v>
                </c:pt>
                <c:pt idx="5">
                  <c:v>Maroondah </c:v>
                </c:pt>
                <c:pt idx="6">
                  <c:v>Nillumbik </c:v>
                </c:pt>
                <c:pt idx="7">
                  <c:v>Kingston </c:v>
                </c:pt>
                <c:pt idx="8">
                  <c:v>Stonnington </c:v>
                </c:pt>
                <c:pt idx="9">
                  <c:v>Melbourne </c:v>
                </c:pt>
                <c:pt idx="10">
                  <c:v>Mornington Peninsula </c:v>
                </c:pt>
                <c:pt idx="11">
                  <c:v>Banyule </c:v>
                </c:pt>
                <c:pt idx="12">
                  <c:v>Glen Eira </c:v>
                </c:pt>
                <c:pt idx="13">
                  <c:v>Yarra Ranges </c:v>
                </c:pt>
                <c:pt idx="14">
                  <c:v>Moreland </c:v>
                </c:pt>
                <c:pt idx="15">
                  <c:v>Moonee Valley </c:v>
                </c:pt>
                <c:pt idx="16">
                  <c:v>Manningham </c:v>
                </c:pt>
                <c:pt idx="17">
                  <c:v>Cardinia </c:v>
                </c:pt>
                <c:pt idx="18">
                  <c:v>Frankston </c:v>
                </c:pt>
                <c:pt idx="19">
                  <c:v>Knox </c:v>
                </c:pt>
                <c:pt idx="20">
                  <c:v>Hume </c:v>
                </c:pt>
                <c:pt idx="21">
                  <c:v>Monash </c:v>
                </c:pt>
                <c:pt idx="22">
                  <c:v>Darebin </c:v>
                </c:pt>
                <c:pt idx="23">
                  <c:v>Hobsons Bay </c:v>
                </c:pt>
                <c:pt idx="24">
                  <c:v>Wyndham </c:v>
                </c:pt>
                <c:pt idx="25">
                  <c:v>Casey </c:v>
                </c:pt>
                <c:pt idx="26">
                  <c:v>Maribyrnong </c:v>
                </c:pt>
                <c:pt idx="27">
                  <c:v>Brimbank </c:v>
                </c:pt>
                <c:pt idx="28">
                  <c:v>Greater Dandenong </c:v>
                </c:pt>
                <c:pt idx="29">
                  <c:v>Melton </c:v>
                </c:pt>
                <c:pt idx="30">
                  <c:v>Whittlesea </c:v>
                </c:pt>
              </c:strCache>
            </c:strRef>
          </c:cat>
          <c:val>
            <c:numRef>
              <c:f>'Trust others'!$B$3:$B$33</c:f>
              <c:numCache>
                <c:formatCode>General</c:formatCode>
                <c:ptCount val="31"/>
                <c:pt idx="0">
                  <c:v>55.3</c:v>
                </c:pt>
                <c:pt idx="1">
                  <c:v>53</c:v>
                </c:pt>
                <c:pt idx="2">
                  <c:v>50.8</c:v>
                </c:pt>
                <c:pt idx="3">
                  <c:v>46.4</c:v>
                </c:pt>
                <c:pt idx="4">
                  <c:v>46</c:v>
                </c:pt>
                <c:pt idx="5">
                  <c:v>44.9</c:v>
                </c:pt>
                <c:pt idx="6">
                  <c:v>44.9</c:v>
                </c:pt>
                <c:pt idx="7">
                  <c:v>44.8</c:v>
                </c:pt>
                <c:pt idx="8">
                  <c:v>44.8</c:v>
                </c:pt>
                <c:pt idx="9">
                  <c:v>44</c:v>
                </c:pt>
                <c:pt idx="10">
                  <c:v>43</c:v>
                </c:pt>
                <c:pt idx="11">
                  <c:v>42.5</c:v>
                </c:pt>
                <c:pt idx="12">
                  <c:v>42.4</c:v>
                </c:pt>
                <c:pt idx="13">
                  <c:v>41.3</c:v>
                </c:pt>
                <c:pt idx="14">
                  <c:v>40.800000000000004</c:v>
                </c:pt>
                <c:pt idx="15">
                  <c:v>40.5</c:v>
                </c:pt>
                <c:pt idx="16">
                  <c:v>39.700000000000003</c:v>
                </c:pt>
                <c:pt idx="17">
                  <c:v>37.5</c:v>
                </c:pt>
                <c:pt idx="18">
                  <c:v>36.6</c:v>
                </c:pt>
                <c:pt idx="19">
                  <c:v>35.6</c:v>
                </c:pt>
                <c:pt idx="20">
                  <c:v>35.5</c:v>
                </c:pt>
                <c:pt idx="21">
                  <c:v>35.4</c:v>
                </c:pt>
                <c:pt idx="22">
                  <c:v>34.800000000000004</c:v>
                </c:pt>
                <c:pt idx="23">
                  <c:v>34.4</c:v>
                </c:pt>
                <c:pt idx="24">
                  <c:v>33.5</c:v>
                </c:pt>
                <c:pt idx="25">
                  <c:v>33.300000000000004</c:v>
                </c:pt>
                <c:pt idx="26">
                  <c:v>31</c:v>
                </c:pt>
                <c:pt idx="27">
                  <c:v>28.3</c:v>
                </c:pt>
                <c:pt idx="28">
                  <c:v>25.8</c:v>
                </c:pt>
                <c:pt idx="29">
                  <c:v>25.7</c:v>
                </c:pt>
                <c:pt idx="30">
                  <c:v>25.2</c:v>
                </c:pt>
              </c:numCache>
            </c:numRef>
          </c:val>
          <c:extLst>
            <c:ext xmlns:c16="http://schemas.microsoft.com/office/drawing/2014/chart" uri="{C3380CC4-5D6E-409C-BE32-E72D297353CC}">
              <c16:uniqueId val="{00000000-55D7-43CF-AE39-CE7A27204E9A}"/>
            </c:ext>
          </c:extLst>
        </c:ser>
        <c:dLbls>
          <c:showLegendKey val="0"/>
          <c:showVal val="0"/>
          <c:showCatName val="0"/>
          <c:showSerName val="0"/>
          <c:showPercent val="0"/>
          <c:showBubbleSize val="0"/>
        </c:dLbls>
        <c:gapWidth val="150"/>
        <c:axId val="49893376"/>
        <c:axId val="49894912"/>
      </c:barChart>
      <c:catAx>
        <c:axId val="49893376"/>
        <c:scaling>
          <c:orientation val="minMax"/>
        </c:scaling>
        <c:delete val="0"/>
        <c:axPos val="b"/>
        <c:numFmt formatCode="General" sourceLinked="0"/>
        <c:majorTickMark val="out"/>
        <c:minorTickMark val="none"/>
        <c:tickLblPos val="nextTo"/>
        <c:crossAx val="49894912"/>
        <c:crosses val="autoZero"/>
        <c:auto val="1"/>
        <c:lblAlgn val="ctr"/>
        <c:lblOffset val="100"/>
        <c:noMultiLvlLbl val="0"/>
      </c:catAx>
      <c:valAx>
        <c:axId val="49894912"/>
        <c:scaling>
          <c:orientation val="minMax"/>
        </c:scaling>
        <c:delete val="0"/>
        <c:axPos val="l"/>
        <c:majorGridlines/>
        <c:numFmt formatCode="General" sourceLinked="1"/>
        <c:majorTickMark val="out"/>
        <c:minorTickMark val="none"/>
        <c:tickLblPos val="nextTo"/>
        <c:crossAx val="4989337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'Per capita'!$T$2:$T$32</c:f>
              <c:strCache>
                <c:ptCount val="31"/>
                <c:pt idx="0">
                  <c:v>YARRA RANGES</c:v>
                </c:pt>
                <c:pt idx="1">
                  <c:v>CARDINIA</c:v>
                </c:pt>
                <c:pt idx="2">
                  <c:v>NILLUMBIK</c:v>
                </c:pt>
                <c:pt idx="3">
                  <c:v>CASEY</c:v>
                </c:pt>
                <c:pt idx="4">
                  <c:v>HOBSONS BAY</c:v>
                </c:pt>
                <c:pt idx="5">
                  <c:v>BRIMBANK</c:v>
                </c:pt>
                <c:pt idx="6">
                  <c:v>MORNINGTON</c:v>
                </c:pt>
                <c:pt idx="7">
                  <c:v>WHITTLESEA</c:v>
                </c:pt>
                <c:pt idx="8">
                  <c:v>FRANKSTON</c:v>
                </c:pt>
                <c:pt idx="9">
                  <c:v>MAROONDAH</c:v>
                </c:pt>
                <c:pt idx="10">
                  <c:v>WYNDHAM</c:v>
                </c:pt>
                <c:pt idx="11">
                  <c:v>MELBOURNE</c:v>
                </c:pt>
                <c:pt idx="12">
                  <c:v>MANNINGHAM</c:v>
                </c:pt>
                <c:pt idx="13">
                  <c:v>MELTON</c:v>
                </c:pt>
                <c:pt idx="14">
                  <c:v>BANYULE</c:v>
                </c:pt>
                <c:pt idx="15">
                  <c:v>HUME</c:v>
                </c:pt>
                <c:pt idx="16">
                  <c:v>KNOX</c:v>
                </c:pt>
                <c:pt idx="17">
                  <c:v>DAREBIN</c:v>
                </c:pt>
                <c:pt idx="18">
                  <c:v>KINGSTON</c:v>
                </c:pt>
                <c:pt idx="19">
                  <c:v>MOONEE VALLEY</c:v>
                </c:pt>
                <c:pt idx="20">
                  <c:v>GREATER DANDENONG</c:v>
                </c:pt>
                <c:pt idx="21">
                  <c:v>PORT PHILLIP</c:v>
                </c:pt>
                <c:pt idx="22">
                  <c:v>MARIBYRNONG</c:v>
                </c:pt>
                <c:pt idx="23">
                  <c:v>YARRA</c:v>
                </c:pt>
                <c:pt idx="24">
                  <c:v>MONASH</c:v>
                </c:pt>
                <c:pt idx="25">
                  <c:v>BOROONDARA</c:v>
                </c:pt>
                <c:pt idx="26">
                  <c:v>MORELAND</c:v>
                </c:pt>
                <c:pt idx="27">
                  <c:v>WHITEHORSE</c:v>
                </c:pt>
                <c:pt idx="28">
                  <c:v>BAYSIDE</c:v>
                </c:pt>
                <c:pt idx="29">
                  <c:v>GLEN EIRA</c:v>
                </c:pt>
                <c:pt idx="30">
                  <c:v>STONNINGTON</c:v>
                </c:pt>
              </c:strCache>
            </c:strRef>
          </c:cat>
          <c:val>
            <c:numRef>
              <c:f>'Per capita'!$U$2:$U$32</c:f>
              <c:numCache>
                <c:formatCode>General</c:formatCode>
                <c:ptCount val="31"/>
                <c:pt idx="0">
                  <c:v>9.2332736684867189</c:v>
                </c:pt>
                <c:pt idx="1">
                  <c:v>7.3666243277848702</c:v>
                </c:pt>
                <c:pt idx="2">
                  <c:v>5.5939841319228352</c:v>
                </c:pt>
                <c:pt idx="3">
                  <c:v>4.8255204595545385</c:v>
                </c:pt>
                <c:pt idx="4">
                  <c:v>4.50649199074868</c:v>
                </c:pt>
                <c:pt idx="5">
                  <c:v>4.2427051487063805</c:v>
                </c:pt>
                <c:pt idx="6">
                  <c:v>3.8719554649326677</c:v>
                </c:pt>
                <c:pt idx="7">
                  <c:v>3.7722283421765259</c:v>
                </c:pt>
                <c:pt idx="8">
                  <c:v>3.678143658922961</c:v>
                </c:pt>
                <c:pt idx="9">
                  <c:v>3.6778702903673484</c:v>
                </c:pt>
                <c:pt idx="10">
                  <c:v>3.6292264389183182</c:v>
                </c:pt>
                <c:pt idx="11">
                  <c:v>3.6188252381274082</c:v>
                </c:pt>
                <c:pt idx="12">
                  <c:v>3.3809913589689415</c:v>
                </c:pt>
                <c:pt idx="13">
                  <c:v>3.3187070102787328</c:v>
                </c:pt>
                <c:pt idx="14">
                  <c:v>2.950745929690735</c:v>
                </c:pt>
                <c:pt idx="15">
                  <c:v>2.8862825386132842</c:v>
                </c:pt>
                <c:pt idx="16">
                  <c:v>2.6949733918401648</c:v>
                </c:pt>
                <c:pt idx="17">
                  <c:v>2.6184212563378155</c:v>
                </c:pt>
                <c:pt idx="18">
                  <c:v>2.6038158002301546</c:v>
                </c:pt>
                <c:pt idx="19">
                  <c:v>2.4623650055298927</c:v>
                </c:pt>
                <c:pt idx="20">
                  <c:v>2.459440702818227</c:v>
                </c:pt>
                <c:pt idx="21">
                  <c:v>2.4061810276534201</c:v>
                </c:pt>
                <c:pt idx="22">
                  <c:v>2.2773544731268958</c:v>
                </c:pt>
                <c:pt idx="23">
                  <c:v>2.0484065110301994</c:v>
                </c:pt>
                <c:pt idx="24">
                  <c:v>2.0333787918071042</c:v>
                </c:pt>
                <c:pt idx="25">
                  <c:v>1.9669837224643525</c:v>
                </c:pt>
                <c:pt idx="26">
                  <c:v>1.8008501316164149</c:v>
                </c:pt>
                <c:pt idx="27">
                  <c:v>1.7874233507551716</c:v>
                </c:pt>
                <c:pt idx="28">
                  <c:v>1.6058197144164224</c:v>
                </c:pt>
                <c:pt idx="29">
                  <c:v>1.1457547043191154</c:v>
                </c:pt>
                <c:pt idx="30">
                  <c:v>1.1171576796946401</c:v>
                </c:pt>
              </c:numCache>
            </c:numRef>
          </c:val>
          <c:extLst>
            <c:ext xmlns:c16="http://schemas.microsoft.com/office/drawing/2014/chart" uri="{C3380CC4-5D6E-409C-BE32-E72D297353CC}">
              <c16:uniqueId val="{00000000-4AD5-49CB-8523-34D8E069FFDA}"/>
            </c:ext>
          </c:extLst>
        </c:ser>
        <c:dLbls>
          <c:showLegendKey val="0"/>
          <c:showVal val="0"/>
          <c:showCatName val="0"/>
          <c:showSerName val="0"/>
          <c:showPercent val="0"/>
          <c:showBubbleSize val="0"/>
        </c:dLbls>
        <c:gapWidth val="150"/>
        <c:axId val="49914240"/>
        <c:axId val="49915776"/>
      </c:barChart>
      <c:catAx>
        <c:axId val="49914240"/>
        <c:scaling>
          <c:orientation val="minMax"/>
        </c:scaling>
        <c:delete val="0"/>
        <c:axPos val="b"/>
        <c:numFmt formatCode="General" sourceLinked="0"/>
        <c:majorTickMark val="out"/>
        <c:minorTickMark val="none"/>
        <c:tickLblPos val="nextTo"/>
        <c:crossAx val="49915776"/>
        <c:crosses val="autoZero"/>
        <c:auto val="1"/>
        <c:lblAlgn val="ctr"/>
        <c:lblOffset val="100"/>
        <c:noMultiLvlLbl val="0"/>
      </c:catAx>
      <c:valAx>
        <c:axId val="49915776"/>
        <c:scaling>
          <c:orientation val="minMax"/>
        </c:scaling>
        <c:delete val="0"/>
        <c:axPos val="l"/>
        <c:majorGridlines/>
        <c:numFmt formatCode="General" sourceLinked="1"/>
        <c:majorTickMark val="out"/>
        <c:minorTickMark val="none"/>
        <c:tickLblPos val="nextTo"/>
        <c:crossAx val="499142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Cardio!$B$1</c:f>
              <c:strCache>
                <c:ptCount val="1"/>
                <c:pt idx="0">
                  <c:v>People reporting heart disease (%)</c:v>
                </c:pt>
              </c:strCache>
            </c:strRef>
          </c:tx>
          <c:invertIfNegative val="0"/>
          <c:cat>
            <c:strRef>
              <c:f>Cardio!$A$2:$A$32</c:f>
              <c:strCache>
                <c:ptCount val="31"/>
                <c:pt idx="0">
                  <c:v>Casey </c:v>
                </c:pt>
                <c:pt idx="1">
                  <c:v>Whittlesea </c:v>
                </c:pt>
                <c:pt idx="2">
                  <c:v>Greater Dandenong </c:v>
                </c:pt>
                <c:pt idx="3">
                  <c:v>Hobsons Bay </c:v>
                </c:pt>
                <c:pt idx="4">
                  <c:v>Moonee Valley </c:v>
                </c:pt>
                <c:pt idx="5">
                  <c:v>Whitehorse </c:v>
                </c:pt>
                <c:pt idx="6">
                  <c:v>Frankston </c:v>
                </c:pt>
                <c:pt idx="7">
                  <c:v>Manningham </c:v>
                </c:pt>
                <c:pt idx="8">
                  <c:v>Stonnington </c:v>
                </c:pt>
                <c:pt idx="9">
                  <c:v>Hume </c:v>
                </c:pt>
                <c:pt idx="10">
                  <c:v>Nillumbik </c:v>
                </c:pt>
                <c:pt idx="11">
                  <c:v>Yarra </c:v>
                </c:pt>
                <c:pt idx="12">
                  <c:v>Mornington Peninsula </c:v>
                </c:pt>
                <c:pt idx="13">
                  <c:v>Banyule </c:v>
                </c:pt>
                <c:pt idx="14">
                  <c:v>Cardinia </c:v>
                </c:pt>
                <c:pt idx="15">
                  <c:v>Maroondah </c:v>
                </c:pt>
                <c:pt idx="16">
                  <c:v>Moreland </c:v>
                </c:pt>
                <c:pt idx="17">
                  <c:v>Yarra Ranges </c:v>
                </c:pt>
                <c:pt idx="18">
                  <c:v>Darebin </c:v>
                </c:pt>
                <c:pt idx="19">
                  <c:v>Glen Eira </c:v>
                </c:pt>
                <c:pt idx="20">
                  <c:v>Knox </c:v>
                </c:pt>
                <c:pt idx="21">
                  <c:v>Kingston </c:v>
                </c:pt>
                <c:pt idx="22">
                  <c:v>Brimbank </c:v>
                </c:pt>
                <c:pt idx="23">
                  <c:v>Melbourne </c:v>
                </c:pt>
                <c:pt idx="24">
                  <c:v>Monash </c:v>
                </c:pt>
                <c:pt idx="25">
                  <c:v>Wyndham </c:v>
                </c:pt>
                <c:pt idx="26">
                  <c:v>Port Phillip </c:v>
                </c:pt>
                <c:pt idx="27">
                  <c:v>Bayside </c:v>
                </c:pt>
                <c:pt idx="28">
                  <c:v>Melton </c:v>
                </c:pt>
                <c:pt idx="29">
                  <c:v>Boroondara </c:v>
                </c:pt>
                <c:pt idx="30">
                  <c:v>Maribyrnong </c:v>
                </c:pt>
              </c:strCache>
            </c:strRef>
          </c:cat>
          <c:val>
            <c:numRef>
              <c:f>Cardio!$B$2:$B$32</c:f>
              <c:numCache>
                <c:formatCode>General</c:formatCode>
                <c:ptCount val="31"/>
                <c:pt idx="0">
                  <c:v>10.1</c:v>
                </c:pt>
                <c:pt idx="1">
                  <c:v>9.8000000000000007</c:v>
                </c:pt>
                <c:pt idx="2">
                  <c:v>9.1</c:v>
                </c:pt>
                <c:pt idx="3">
                  <c:v>8.1</c:v>
                </c:pt>
                <c:pt idx="4">
                  <c:v>8</c:v>
                </c:pt>
                <c:pt idx="5">
                  <c:v>7.7</c:v>
                </c:pt>
                <c:pt idx="6">
                  <c:v>7.6</c:v>
                </c:pt>
                <c:pt idx="7">
                  <c:v>7.5</c:v>
                </c:pt>
                <c:pt idx="8">
                  <c:v>7.5</c:v>
                </c:pt>
                <c:pt idx="9">
                  <c:v>7.4</c:v>
                </c:pt>
                <c:pt idx="10">
                  <c:v>7</c:v>
                </c:pt>
                <c:pt idx="11">
                  <c:v>7</c:v>
                </c:pt>
                <c:pt idx="12">
                  <c:v>6.9</c:v>
                </c:pt>
                <c:pt idx="13">
                  <c:v>6.8</c:v>
                </c:pt>
                <c:pt idx="14">
                  <c:v>6.8</c:v>
                </c:pt>
                <c:pt idx="15">
                  <c:v>6.8</c:v>
                </c:pt>
                <c:pt idx="16">
                  <c:v>6.7</c:v>
                </c:pt>
                <c:pt idx="17">
                  <c:v>6.7</c:v>
                </c:pt>
                <c:pt idx="18">
                  <c:v>6.6</c:v>
                </c:pt>
                <c:pt idx="19">
                  <c:v>6.5</c:v>
                </c:pt>
                <c:pt idx="20">
                  <c:v>6.4</c:v>
                </c:pt>
                <c:pt idx="21">
                  <c:v>6.3</c:v>
                </c:pt>
                <c:pt idx="22">
                  <c:v>6.2</c:v>
                </c:pt>
                <c:pt idx="23">
                  <c:v>6.2</c:v>
                </c:pt>
                <c:pt idx="24">
                  <c:v>5.8</c:v>
                </c:pt>
                <c:pt idx="25">
                  <c:v>5.6</c:v>
                </c:pt>
                <c:pt idx="26">
                  <c:v>5.5</c:v>
                </c:pt>
                <c:pt idx="27">
                  <c:v>5.3</c:v>
                </c:pt>
                <c:pt idx="28">
                  <c:v>5.3</c:v>
                </c:pt>
                <c:pt idx="29">
                  <c:v>4.8</c:v>
                </c:pt>
                <c:pt idx="30">
                  <c:v>3.9</c:v>
                </c:pt>
              </c:numCache>
            </c:numRef>
          </c:val>
          <c:extLst>
            <c:ext xmlns:c16="http://schemas.microsoft.com/office/drawing/2014/chart" uri="{C3380CC4-5D6E-409C-BE32-E72D297353CC}">
              <c16:uniqueId val="{00000000-5191-46E3-9E66-98FB9C974A10}"/>
            </c:ext>
          </c:extLst>
        </c:ser>
        <c:dLbls>
          <c:showLegendKey val="0"/>
          <c:showVal val="0"/>
          <c:showCatName val="0"/>
          <c:showSerName val="0"/>
          <c:showPercent val="0"/>
          <c:showBubbleSize val="0"/>
        </c:dLbls>
        <c:gapWidth val="150"/>
        <c:axId val="50472064"/>
        <c:axId val="50473600"/>
      </c:barChart>
      <c:catAx>
        <c:axId val="50472064"/>
        <c:scaling>
          <c:orientation val="minMax"/>
        </c:scaling>
        <c:delete val="0"/>
        <c:axPos val="b"/>
        <c:numFmt formatCode="General" sourceLinked="0"/>
        <c:majorTickMark val="out"/>
        <c:minorTickMark val="none"/>
        <c:tickLblPos val="nextTo"/>
        <c:crossAx val="50473600"/>
        <c:crosses val="autoZero"/>
        <c:auto val="1"/>
        <c:lblAlgn val="ctr"/>
        <c:lblOffset val="100"/>
        <c:noMultiLvlLbl val="0"/>
      </c:catAx>
      <c:valAx>
        <c:axId val="50473600"/>
        <c:scaling>
          <c:orientation val="minMax"/>
        </c:scaling>
        <c:delete val="0"/>
        <c:axPos val="l"/>
        <c:majorGridlines/>
        <c:numFmt formatCode="General" sourceLinked="1"/>
        <c:majorTickMark val="out"/>
        <c:minorTickMark val="none"/>
        <c:tickLblPos val="nextTo"/>
        <c:crossAx val="50472064"/>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'GRP per hour (UR)'!$M$3</c:f>
              <c:strCache>
                <c:ptCount val="1"/>
                <c:pt idx="0">
                  <c:v>Melbourne Metro</c:v>
                </c:pt>
              </c:strCache>
            </c:strRef>
          </c:tx>
          <c:spPr>
            <a:ln w="28575" cap="rnd">
              <a:solidFill>
                <a:schemeClr val="accent1"/>
              </a:solidFill>
              <a:round/>
            </a:ln>
            <a:effectLst/>
          </c:spPr>
          <c:marker>
            <c:symbol val="none"/>
          </c:marker>
          <c:cat>
            <c:numRef>
              <c:f>'GRP per hour (UR)'!$L$4:$L$29</c:f>
              <c:numCache>
                <c:formatCode>General</c:formatCode>
                <c:ptCount val="26"/>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numCache>
            </c:numRef>
          </c:cat>
          <c:val>
            <c:numRef>
              <c:f>'GRP per hour (UR)'!$M$4:$M$29</c:f>
              <c:numCache>
                <c:formatCode>0.0</c:formatCode>
                <c:ptCount val="26"/>
                <c:pt idx="0">
                  <c:v>44.746342287908362</c:v>
                </c:pt>
                <c:pt idx="1">
                  <c:v>46.41449455349597</c:v>
                </c:pt>
                <c:pt idx="2">
                  <c:v>47.619734497463895</c:v>
                </c:pt>
                <c:pt idx="3">
                  <c:v>47.948146511580006</c:v>
                </c:pt>
                <c:pt idx="4">
                  <c:v>48.171824983509495</c:v>
                </c:pt>
                <c:pt idx="5">
                  <c:v>50.963027461557203</c:v>
                </c:pt>
                <c:pt idx="6">
                  <c:v>52.714148225622843</c:v>
                </c:pt>
                <c:pt idx="7">
                  <c:v>55.352318403779478</c:v>
                </c:pt>
                <c:pt idx="8">
                  <c:v>55.896705618399331</c:v>
                </c:pt>
                <c:pt idx="9">
                  <c:v>56.463700845947429</c:v>
                </c:pt>
                <c:pt idx="10">
                  <c:v>59.475215597669127</c:v>
                </c:pt>
                <c:pt idx="11">
                  <c:v>61.459508533826003</c:v>
                </c:pt>
                <c:pt idx="12">
                  <c:v>63.263787483216376</c:v>
                </c:pt>
                <c:pt idx="13">
                  <c:v>63.393739844865628</c:v>
                </c:pt>
                <c:pt idx="14">
                  <c:v>63.313184749560897</c:v>
                </c:pt>
                <c:pt idx="15">
                  <c:v>64.729514058338324</c:v>
                </c:pt>
                <c:pt idx="16">
                  <c:v>65.510197413257742</c:v>
                </c:pt>
                <c:pt idx="17">
                  <c:v>65.911201598576525</c:v>
                </c:pt>
                <c:pt idx="18">
                  <c:v>66.044745548346867</c:v>
                </c:pt>
                <c:pt idx="19">
                  <c:v>65.722261315329348</c:v>
                </c:pt>
                <c:pt idx="20">
                  <c:v>65.759289733560038</c:v>
                </c:pt>
                <c:pt idx="21">
                  <c:v>66.58341979257618</c:v>
                </c:pt>
                <c:pt idx="22">
                  <c:v>67.372830912232843</c:v>
                </c:pt>
                <c:pt idx="23">
                  <c:v>68.929404281755467</c:v>
                </c:pt>
                <c:pt idx="24">
                  <c:v>69.668411740714348</c:v>
                </c:pt>
                <c:pt idx="25">
                  <c:v>69.969349228664569</c:v>
                </c:pt>
              </c:numCache>
            </c:numRef>
          </c:val>
          <c:smooth val="0"/>
          <c:extLst>
            <c:ext xmlns:c16="http://schemas.microsoft.com/office/drawing/2014/chart" uri="{C3380CC4-5D6E-409C-BE32-E72D297353CC}">
              <c16:uniqueId val="{00000000-752E-4FFB-B187-271E9C2A8008}"/>
            </c:ext>
          </c:extLst>
        </c:ser>
        <c:ser>
          <c:idx val="1"/>
          <c:order val="1"/>
          <c:tx>
            <c:strRef>
              <c:f>'GRP per hour (UR)'!$N$3</c:f>
              <c:strCache>
                <c:ptCount val="1"/>
                <c:pt idx="0">
                  <c:v>Regional Victoria</c:v>
                </c:pt>
              </c:strCache>
            </c:strRef>
          </c:tx>
          <c:spPr>
            <a:ln w="28575" cap="rnd">
              <a:solidFill>
                <a:schemeClr val="accent2"/>
              </a:solidFill>
              <a:round/>
            </a:ln>
            <a:effectLst/>
          </c:spPr>
          <c:marker>
            <c:symbol val="none"/>
          </c:marker>
          <c:cat>
            <c:numRef>
              <c:f>'GRP per hour (UR)'!$L$4:$L$29</c:f>
              <c:numCache>
                <c:formatCode>General</c:formatCode>
                <c:ptCount val="26"/>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numCache>
            </c:numRef>
          </c:cat>
          <c:val>
            <c:numRef>
              <c:f>'GRP per hour (UR)'!$N$4:$N$29</c:f>
              <c:numCache>
                <c:formatCode>0.0</c:formatCode>
                <c:ptCount val="26"/>
                <c:pt idx="0">
                  <c:v>57.648666114584501</c:v>
                </c:pt>
                <c:pt idx="1">
                  <c:v>59.609080173561843</c:v>
                </c:pt>
                <c:pt idx="2">
                  <c:v>59.876758581763944</c:v>
                </c:pt>
                <c:pt idx="3">
                  <c:v>58.977340278742794</c:v>
                </c:pt>
                <c:pt idx="4">
                  <c:v>59.001326829040707</c:v>
                </c:pt>
                <c:pt idx="5">
                  <c:v>61.431794251225895</c:v>
                </c:pt>
                <c:pt idx="6">
                  <c:v>63.859989614485144</c:v>
                </c:pt>
                <c:pt idx="7">
                  <c:v>64.300137581121518</c:v>
                </c:pt>
                <c:pt idx="8">
                  <c:v>64.410033337813502</c:v>
                </c:pt>
                <c:pt idx="9">
                  <c:v>64.182494434892888</c:v>
                </c:pt>
                <c:pt idx="10">
                  <c:v>65.394572661834502</c:v>
                </c:pt>
                <c:pt idx="11">
                  <c:v>64.622530996021453</c:v>
                </c:pt>
                <c:pt idx="12">
                  <c:v>62.918307102941526</c:v>
                </c:pt>
                <c:pt idx="13">
                  <c:v>60.938037149263877</c:v>
                </c:pt>
                <c:pt idx="14">
                  <c:v>59.495312299156474</c:v>
                </c:pt>
                <c:pt idx="15">
                  <c:v>58.380825127643611</c:v>
                </c:pt>
                <c:pt idx="16">
                  <c:v>57.692640755936445</c:v>
                </c:pt>
                <c:pt idx="17">
                  <c:v>58.814916166239975</c:v>
                </c:pt>
                <c:pt idx="18">
                  <c:v>57.988483274499245</c:v>
                </c:pt>
                <c:pt idx="19">
                  <c:v>56.566526697076128</c:v>
                </c:pt>
                <c:pt idx="20">
                  <c:v>55.644272061142672</c:v>
                </c:pt>
                <c:pt idx="21">
                  <c:v>55.794193850772203</c:v>
                </c:pt>
                <c:pt idx="22">
                  <c:v>55.554925960943045</c:v>
                </c:pt>
                <c:pt idx="23">
                  <c:v>56.470953057649879</c:v>
                </c:pt>
                <c:pt idx="24">
                  <c:v>56.941800098338994</c:v>
                </c:pt>
                <c:pt idx="25">
                  <c:v>56.490842870335101</c:v>
                </c:pt>
              </c:numCache>
            </c:numRef>
          </c:val>
          <c:smooth val="0"/>
          <c:extLst>
            <c:ext xmlns:c16="http://schemas.microsoft.com/office/drawing/2014/chart" uri="{C3380CC4-5D6E-409C-BE32-E72D297353CC}">
              <c16:uniqueId val="{00000001-752E-4FFB-B187-271E9C2A8008}"/>
            </c:ext>
          </c:extLst>
        </c:ser>
        <c:dLbls>
          <c:showLegendKey val="0"/>
          <c:showVal val="0"/>
          <c:showCatName val="0"/>
          <c:showSerName val="0"/>
          <c:showPercent val="0"/>
          <c:showBubbleSize val="0"/>
        </c:dLbls>
        <c:smooth val="0"/>
        <c:axId val="50499584"/>
        <c:axId val="50501120"/>
      </c:lineChart>
      <c:catAx>
        <c:axId val="5049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01120"/>
        <c:crosses val="autoZero"/>
        <c:auto val="1"/>
        <c:lblAlgn val="ctr"/>
        <c:lblOffset val="100"/>
        <c:noMultiLvlLbl val="0"/>
      </c:catAx>
      <c:valAx>
        <c:axId val="50501120"/>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9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http://mavis/sites/PlanningBuilding</xsnScope>
</customXsn>
</file>

<file path=customXml/item3.xml><?xml version="1.0" encoding="utf-8"?>
<ct:contentTypeSchema xmlns:ct="http://schemas.microsoft.com/office/2006/metadata/contentType" xmlns:ma="http://schemas.microsoft.com/office/2006/metadata/properties/metaAttributes" ct:_="" ma:_="" ma:contentTypeName="MAVIS Document" ma:contentTypeID="0x010100A63916B59885C64589760373C31B768A0004B34B8639012942B96AA3E29ACA7356" ma:contentTypeVersion="4" ma:contentTypeDescription="Create a new Blank document" ma:contentTypeScope="" ma:versionID="7fddc46fce6fd7a0ee3b770a7c12c7a9">
  <xsd:schema xmlns:xsd="http://www.w3.org/2001/XMLSchema" xmlns:xs="http://www.w3.org/2001/XMLSchema" xmlns:p="http://schemas.microsoft.com/office/2006/metadata/properties" xmlns:ns2="615def41-7751-4010-b362-92981ca2b47d" xmlns:ns3="d4717e75-1fe6-44bb-940c-e87eddaee751" targetNamespace="http://schemas.microsoft.com/office/2006/metadata/properties" ma:root="true" ma:fieldsID="6195648aa11cc0488b8c247af0ec936e" ns2:_="" ns3:_="">
    <xsd:import namespace="615def41-7751-4010-b362-92981ca2b47d"/>
    <xsd:import namespace="d4717e75-1fe6-44bb-940c-e87eddaee751"/>
    <xsd:element name="properties">
      <xsd:complexType>
        <xsd:sequence>
          <xsd:element name="documentManagement">
            <xsd:complexType>
              <xsd:all>
                <xsd:element ref="ns2:Document_x0020_Description" minOccurs="0"/>
                <xsd:element ref="ns2:c6737478ccd948a586c1dc536d869694" minOccurs="0"/>
                <xsd:element ref="ns2:TaxCatchAll" minOccurs="0"/>
                <xsd:element ref="ns2:f973f46a2b52404eaf540a6eb113474e" minOccurs="0"/>
                <xsd:element ref="ns2:ccdbd6b315344bc484b95fe7d71bf789" minOccurs="0"/>
                <xsd:element ref="ns2:ic50d44a10eb4f2c87117364eb8d18da" minOccurs="0"/>
                <xsd:element ref="ns2:b0e3ba5baca7469db485597164846b69" minOccurs="0"/>
                <xsd:element ref="ns3:d469bd51dc184e7a9e045be5cf986c6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def41-7751-4010-b362-92981ca2b47d"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c6737478ccd948a586c1dc536d869694" ma:index="14" nillable="true" ma:taxonomy="true" ma:internalName="c6737478ccd948a586c1dc536d869694" ma:taxonomyFieldName="Doc_x0020_Type" ma:displayName="Doc Type" ma:readOnly="false" ma:default="" ma:fieldId="{c6737478-ccd9-48a5-86c1-dc536d869694}"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abecc885-c956-43fe-a355-370208bcd942}" ma:internalName="TaxCatchAll" ma:showField="CatchAllData" ma:web="615def41-7751-4010-b362-92981ca2b47d">
      <xsd:complexType>
        <xsd:complexContent>
          <xsd:extension base="dms:MultiChoiceLookup">
            <xsd:sequence>
              <xsd:element name="Value" type="dms:Lookup" maxOccurs="unbounded" minOccurs="0" nillable="true"/>
            </xsd:sequence>
          </xsd:extension>
        </xsd:complexContent>
      </xsd:complexType>
    </xsd:element>
    <xsd:element name="f973f46a2b52404eaf540a6eb113474e" ma:index="16" nillable="true" ma:taxonomy="true" ma:internalName="f973f46a2b52404eaf540a6eb113474e" ma:taxonomyFieldName="Month" ma:displayName="Month" ma:readOnly="false" ma:default="" ma:fieldId="{f973f46a-2b52-404e-af54-0a6eb113474e}"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ccdbd6b315344bc484b95fe7d71bf789" ma:index="17" nillable="true" ma:taxonomy="true" ma:internalName="ccdbd6b315344bc484b95fe7d71bf789" ma:taxonomyFieldName="Year" ma:displayName="Year" ma:readOnly="false" ma:default="" ma:fieldId="{ccdbd6b3-1534-4bc4-84b9-5fe7d71bf789}"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ic50d44a10eb4f2c87117364eb8d18da" ma:index="18" nillable="true" ma:taxonomy="true" ma:internalName="ic50d44a10eb4f2c87117364eb8d18da" ma:taxonomyFieldName="Stakeholders" ma:displayName="Stakeholders" ma:readOnly="false" ma:default="" ma:fieldId="{2c50d44a-10eb-4f2c-8711-7364eb8d18da}"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b0e3ba5baca7469db485597164846b69" ma:index="19" nillable="true" ma:taxonomy="true" ma:internalName="b0e3ba5baca7469db485597164846b69" ma:taxonomyFieldName="Topic" ma:displayName="Topic" ma:readOnly="false" ma:default="" ma:fieldId="{b0e3ba5b-aca7-469d-b485-597164846b69}"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717e75-1fe6-44bb-940c-e87eddaee751" elementFormDefault="qualified">
    <xsd:import namespace="http://schemas.microsoft.com/office/2006/documentManagement/types"/>
    <xsd:import namespace="http://schemas.microsoft.com/office/infopath/2007/PartnerControls"/>
    <xsd:element name="d469bd51dc184e7a9e045be5cf986c6e" ma:index="21" nillable="true" ma:taxonomy="true" ma:internalName="d469bd51dc184e7a9e045be5cf986c6e" ma:taxonomyFieldName="Project" ma:displayName="Project" ma:default="" ma:fieldId="{d469bd51-dc18-4e7a-9e04-5be5cf986c6e}" ma:sspId="707edd6b-bcd8-4d82-9e36-5e836165b7db" ma:termSetId="6174bc78-a71b-43f6-bd40-f4b60f6e763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973f46a2b52404eaf540a6eb113474e xmlns="615def41-7751-4010-b362-92981ca2b47d">
      <Terms xmlns="http://schemas.microsoft.com/office/infopath/2007/PartnerControls">
        <TermInfo xmlns="http://schemas.microsoft.com/office/infopath/2007/PartnerControls">
          <TermName xmlns="http://schemas.microsoft.com/office/infopath/2007/PartnerControls">12. December</TermName>
          <TermId xmlns="http://schemas.microsoft.com/office/infopath/2007/PartnerControls">d372611b-bd43-489d-9df9-2700b3b1fa54</TermId>
        </TermInfo>
      </Terms>
    </f973f46a2b52404eaf540a6eb113474e>
    <TaxCatchAll xmlns="615def41-7751-4010-b362-92981ca2b47d">
      <Value>565</Value>
      <Value>59</Value>
      <Value>14</Value>
    </TaxCatchAll>
    <b0e3ba5baca7469db485597164846b69 xmlns="615def41-7751-4010-b362-92981ca2b47d">
      <Terms xmlns="http://schemas.microsoft.com/office/infopath/2007/PartnerControls"/>
    </b0e3ba5baca7469db485597164846b69>
    <Document_x0020_Description xmlns="615def41-7751-4010-b362-92981ca2b47d" xsi:nil="true"/>
    <ccdbd6b315344bc484b95fe7d71bf789 xmlns="615def41-7751-4010-b362-92981ca2b47d">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290e32a4-3e65-429b-86c1-ef52d42cd518</TermId>
        </TermInfo>
      </Terms>
    </ccdbd6b315344bc484b95fe7d71bf789>
    <d469bd51dc184e7a9e045be5cf986c6e xmlns="d4717e75-1fe6-44bb-940c-e87eddaee751">
      <Terms xmlns="http://schemas.microsoft.com/office/infopath/2007/PartnerControls"/>
    </d469bd51dc184e7a9e045be5cf986c6e>
    <c6737478ccd948a586c1dc536d869694 xmlns="615def41-7751-4010-b362-92981ca2b47d">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f0ba7185-0a2f-4a93-9e90-10f99e5b66d1</TermId>
        </TermInfo>
      </Terms>
    </c6737478ccd948a586c1dc536d869694>
    <ic50d44a10eb4f2c87117364eb8d18da xmlns="615def41-7751-4010-b362-92981ca2b47d">
      <Terms xmlns="http://schemas.microsoft.com/office/infopath/2007/PartnerControls"/>
    </ic50d44a10eb4f2c87117364eb8d18da>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28BD-86C2-4DA9-A5DC-6F01FE82E8A3}">
  <ds:schemaRefs>
    <ds:schemaRef ds:uri="http://schemas.microsoft.com/sharepoint/v3/contenttype/forms"/>
  </ds:schemaRefs>
</ds:datastoreItem>
</file>

<file path=customXml/itemProps2.xml><?xml version="1.0" encoding="utf-8"?>
<ds:datastoreItem xmlns:ds="http://schemas.openxmlformats.org/officeDocument/2006/customXml" ds:itemID="{23C55CEE-9A85-43FB-9B72-5B880F3150D9}">
  <ds:schemaRefs>
    <ds:schemaRef ds:uri="http://schemas.microsoft.com/office/2006/metadata/customXsn"/>
  </ds:schemaRefs>
</ds:datastoreItem>
</file>

<file path=customXml/itemProps3.xml><?xml version="1.0" encoding="utf-8"?>
<ds:datastoreItem xmlns:ds="http://schemas.openxmlformats.org/officeDocument/2006/customXml" ds:itemID="{AEBB64B9-0658-4774-AB6D-0E3E367B1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def41-7751-4010-b362-92981ca2b47d"/>
    <ds:schemaRef ds:uri="d4717e75-1fe6-44bb-940c-e87eddaee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88DA1-C89A-435C-B554-2553A3E85706}">
  <ds:schemaRefs>
    <ds:schemaRef ds:uri="http://schemas.microsoft.com/office/2006/metadata/properties"/>
    <ds:schemaRef ds:uri="http://schemas.microsoft.com/office/infopath/2007/PartnerControls"/>
    <ds:schemaRef ds:uri="615def41-7751-4010-b362-92981ca2b47d"/>
    <ds:schemaRef ds:uri="d4717e75-1fe6-44bb-940c-e87eddaee751"/>
  </ds:schemaRefs>
</ds:datastoreItem>
</file>

<file path=customXml/itemProps5.xml><?xml version="1.0" encoding="utf-8"?>
<ds:datastoreItem xmlns:ds="http://schemas.openxmlformats.org/officeDocument/2006/customXml" ds:itemID="{C13D5BA0-FA79-48DF-B344-915894F6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6009</Words>
  <Characters>34256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MAV Summary Report 18 December 2018.docx</vt:lpstr>
    </vt:vector>
  </TitlesOfParts>
  <Company/>
  <LinksUpToDate>false</LinksUpToDate>
  <CharactersWithSpaces>40185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Summary Report 18 December 2018.docx</dc:title>
  <dc:creator>John</dc:creator>
  <cp:lastModifiedBy>Michael Green</cp:lastModifiedBy>
  <cp:revision>2</cp:revision>
  <cp:lastPrinted>2018-10-13T04:20:00Z</cp:lastPrinted>
  <dcterms:created xsi:type="dcterms:W3CDTF">2019-02-28T01:28:00Z</dcterms:created>
  <dcterms:modified xsi:type="dcterms:W3CDTF">2019-02-28T01:28:00Z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0x010100A63916B59885C64589760373C31B768A0004B34B8639012942B96AA3E29ACA7356</vt:lpwstr>
  </property>
  <property fmtid="{D5CDD505-2E9C-101B-9397-08002B2CF9AE}" pid="3" name="Project">
    <vt:lpwstr/>
  </property>
  <property fmtid="{D5CDD505-2E9C-101B-9397-08002B2CF9AE}" pid="4" name="Topic">
    <vt:lpwstr/>
  </property>
  <property fmtid="{D5CDD505-2E9C-101B-9397-08002B2CF9AE}" pid="5" name="Year">
    <vt:lpwstr>565;#2018|290e32a4-3e65-429b-86c1-ef52d42cd518</vt:lpwstr>
  </property>
  <property fmtid="{D5CDD505-2E9C-101B-9397-08002B2CF9AE}" pid="6" name="Month">
    <vt:lpwstr>14;#12. December|d372611b-bd43-489d-9df9-2700b3b1fa54</vt:lpwstr>
  </property>
  <property fmtid="{D5CDD505-2E9C-101B-9397-08002B2CF9AE}" pid="7" name="Stakeholders">
    <vt:lpwstr/>
  </property>
  <property fmtid="{D5CDD505-2E9C-101B-9397-08002B2CF9AE}" pid="8" name="Doc Type">
    <vt:lpwstr>59;#Report|f0ba7185-0a2f-4a93-9e90-10f99e5b66d1</vt:lpwstr>
  </property>
</Properties>
</file>