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90A18" w14:textId="77777777" w:rsidR="00286BB4" w:rsidRDefault="00802A7E" w:rsidP="00286BB4">
      <w:r>
        <w:rPr>
          <w:noProof/>
          <w:lang w:eastAsia="en-AU"/>
        </w:rPr>
        <w:drawing>
          <wp:anchor distT="0" distB="0" distL="114300" distR="114300" simplePos="0" relativeHeight="251659264" behindDoc="0" locked="0" layoutInCell="1" allowOverlap="1" wp14:anchorId="70B61EDA" wp14:editId="15CA7E25">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anchor>
        </w:drawing>
      </w:r>
    </w:p>
    <w:p w14:paraId="31F4FA69" w14:textId="77777777" w:rsidR="00286BB4" w:rsidRDefault="00286BB4" w:rsidP="00286BB4"/>
    <w:p w14:paraId="1E3750C2" w14:textId="77777777" w:rsidR="00286BB4" w:rsidRDefault="00286BB4" w:rsidP="00286BB4">
      <w:pPr>
        <w:jc w:val="right"/>
      </w:pPr>
    </w:p>
    <w:p w14:paraId="4B21E84F" w14:textId="77777777" w:rsidR="00286BB4" w:rsidRDefault="00286BB4" w:rsidP="00286BB4">
      <w:pPr>
        <w:jc w:val="right"/>
      </w:pPr>
    </w:p>
    <w:p w14:paraId="6EDA03A0" w14:textId="77777777" w:rsidR="00286BB4" w:rsidRDefault="00286BB4" w:rsidP="00286BB4">
      <w:pPr>
        <w:jc w:val="right"/>
      </w:pPr>
    </w:p>
    <w:p w14:paraId="3CCA04AA" w14:textId="77777777" w:rsidR="00286BB4" w:rsidRDefault="00B42792" w:rsidP="00286BB4">
      <w:r>
        <w:rPr>
          <w:noProof/>
          <w:lang w:eastAsia="en-AU"/>
        </w:rPr>
        <mc:AlternateContent>
          <mc:Choice Requires="wps">
            <w:drawing>
              <wp:anchor distT="0" distB="0" distL="114296" distR="114296" simplePos="0" relativeHeight="251658240" behindDoc="0" locked="0" layoutInCell="1" allowOverlap="1" wp14:anchorId="1456091E" wp14:editId="4B62BE76">
                <wp:simplePos x="0" y="0"/>
                <wp:positionH relativeFrom="column">
                  <wp:posOffset>1167764</wp:posOffset>
                </wp:positionH>
                <wp:positionV relativeFrom="paragraph">
                  <wp:posOffset>-137160</wp:posOffset>
                </wp:positionV>
                <wp:extent cx="0" cy="6859905"/>
                <wp:effectExtent l="19050" t="0" r="19050" b="3619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DC4C2" id="Line 2" o:spid="_x0000_s1026" style="position:absolute;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2D21CB32" w14:textId="77777777" w:rsidR="00286BB4" w:rsidRDefault="00286BB4" w:rsidP="00286BB4">
      <w:pPr>
        <w:jc w:val="right"/>
      </w:pPr>
      <w:r>
        <w:br w:type="textWrapping" w:clear="all"/>
      </w:r>
    </w:p>
    <w:p w14:paraId="047D040D" w14:textId="77777777" w:rsidR="00286BB4" w:rsidRDefault="00286BB4" w:rsidP="00286BB4"/>
    <w:p w14:paraId="4B1113C1" w14:textId="77777777" w:rsidR="00286BB4" w:rsidRPr="000C3436" w:rsidRDefault="00197341"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rPr>
        <w:t>Managing e-waste in Victoria</w:t>
      </w:r>
    </w:p>
    <w:p w14:paraId="692FB352" w14:textId="77777777" w:rsidR="00286BB4" w:rsidRPr="00DA18E2" w:rsidRDefault="00DA18E2" w:rsidP="00F052E8">
      <w:pPr>
        <w:keepNext/>
        <w:pBdr>
          <w:top w:val="single" w:sz="6" w:space="1" w:color="FFFFFF"/>
          <w:left w:val="single" w:sz="6" w:space="1" w:color="FFFFFF"/>
          <w:bottom w:val="single" w:sz="6" w:space="1" w:color="FFFFFF"/>
          <w:right w:val="single" w:sz="6" w:space="0" w:color="FFFFFF"/>
        </w:pBdr>
        <w:jc w:val="right"/>
        <w:rPr>
          <w:rFonts w:cs="Arial"/>
          <w:b/>
          <w:bCs/>
          <w:sz w:val="32"/>
          <w:szCs w:val="32"/>
        </w:rPr>
      </w:pPr>
      <w:r>
        <w:rPr>
          <w:rFonts w:cs="Arial"/>
          <w:b/>
          <w:bCs/>
          <w:sz w:val="32"/>
          <w:szCs w:val="32"/>
        </w:rPr>
        <w:t>Policy Impact Assessment</w:t>
      </w:r>
    </w:p>
    <w:p w14:paraId="65FF3351"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0A60A529" w14:textId="340BC87B" w:rsidR="00286BB4" w:rsidRPr="0056479A" w:rsidRDefault="00CE2C7A" w:rsidP="00CB5C84">
      <w:pPr>
        <w:jc w:val="right"/>
        <w:rPr>
          <w:b/>
          <w:sz w:val="32"/>
          <w:szCs w:val="32"/>
        </w:rPr>
      </w:pPr>
      <w:r>
        <w:rPr>
          <w:b/>
          <w:sz w:val="32"/>
          <w:szCs w:val="32"/>
        </w:rPr>
        <w:t>S</w:t>
      </w:r>
      <w:r w:rsidR="00202861" w:rsidRPr="0056479A">
        <w:rPr>
          <w:b/>
          <w:sz w:val="32"/>
          <w:szCs w:val="32"/>
        </w:rPr>
        <w:t>ubmission</w:t>
      </w:r>
    </w:p>
    <w:p w14:paraId="38ACDD9A"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5ABE3044" w14:textId="77777777" w:rsidR="00F052E8" w:rsidRPr="00CB5C84" w:rsidRDefault="00F052E8" w:rsidP="00CB5C84">
      <w:pPr>
        <w:pStyle w:val="Title"/>
      </w:pPr>
    </w:p>
    <w:p w14:paraId="4D4E79F1" w14:textId="5C61B2AD" w:rsidR="00286BB4" w:rsidRPr="000C3436" w:rsidRDefault="00CE2C7A"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rPr>
        <w:t>Jan</w:t>
      </w:r>
      <w:r w:rsidR="00BE2CFF">
        <w:rPr>
          <w:rFonts w:cs="Arial"/>
          <w:b/>
          <w:szCs w:val="24"/>
        </w:rPr>
        <w:t>uary</w:t>
      </w:r>
      <w:r>
        <w:rPr>
          <w:rFonts w:cs="Arial"/>
          <w:b/>
          <w:szCs w:val="24"/>
        </w:rPr>
        <w:t xml:space="preserve"> 2018</w:t>
      </w:r>
    </w:p>
    <w:p w14:paraId="56A8F934" w14:textId="77777777" w:rsidR="00170172" w:rsidRDefault="00170172" w:rsidP="00286BB4">
      <w:pPr>
        <w:jc w:val="center"/>
      </w:pPr>
    </w:p>
    <w:p w14:paraId="2B6D13E3" w14:textId="77777777" w:rsidR="00286BB4" w:rsidRDefault="00286BB4" w:rsidP="00286BB4">
      <w:pPr>
        <w:jc w:val="center"/>
      </w:pPr>
    </w:p>
    <w:p w14:paraId="12A0B6B2" w14:textId="77777777" w:rsidR="00286BB4" w:rsidRPr="00DA18E2" w:rsidRDefault="00286BB4" w:rsidP="00DA18E2">
      <w:pPr>
        <w:spacing w:after="0" w:line="240" w:lineRule="auto"/>
        <w:jc w:val="center"/>
        <w:rPr>
          <w:color w:val="FF0000"/>
        </w:rPr>
      </w:pPr>
    </w:p>
    <w:p w14:paraId="7036EF75" w14:textId="77777777" w:rsidR="00286BB4" w:rsidRDefault="00286BB4" w:rsidP="00286BB4">
      <w:pPr>
        <w:jc w:val="center"/>
      </w:pPr>
    </w:p>
    <w:p w14:paraId="068D4EBF" w14:textId="77777777" w:rsidR="00286BB4" w:rsidRDefault="00286BB4" w:rsidP="00286BB4">
      <w:pPr>
        <w:jc w:val="center"/>
      </w:pPr>
    </w:p>
    <w:p w14:paraId="7612B6F2" w14:textId="77777777" w:rsidR="00286BB4" w:rsidRDefault="00286BB4" w:rsidP="00286BB4">
      <w:pPr>
        <w:jc w:val="center"/>
      </w:pPr>
    </w:p>
    <w:p w14:paraId="47015FA5" w14:textId="77777777" w:rsidR="00286BB4" w:rsidRDefault="00286BB4" w:rsidP="00286BB4">
      <w:pPr>
        <w:jc w:val="center"/>
      </w:pPr>
    </w:p>
    <w:p w14:paraId="07999115" w14:textId="77777777" w:rsidR="00286BB4" w:rsidRDefault="00286BB4" w:rsidP="00286BB4">
      <w:pPr>
        <w:jc w:val="center"/>
        <w:sectPr w:rsidR="00286BB4" w:rsidSect="00A86F9C">
          <w:footerReference w:type="default" r:id="rId13"/>
          <w:pgSz w:w="12240" w:h="15840"/>
          <w:pgMar w:top="1440" w:right="1440" w:bottom="1440" w:left="1440" w:header="708" w:footer="708" w:gutter="0"/>
          <w:cols w:space="708"/>
          <w:titlePg/>
          <w:docGrid w:linePitch="360"/>
        </w:sectPr>
      </w:pPr>
    </w:p>
    <w:p w14:paraId="295F8A87" w14:textId="77777777" w:rsidR="00286BB4" w:rsidRDefault="00286BB4" w:rsidP="00286BB4">
      <w:pPr>
        <w:jc w:val="center"/>
      </w:pPr>
    </w:p>
    <w:p w14:paraId="515223D9" w14:textId="77777777" w:rsidR="00286BB4" w:rsidRDefault="00286BB4" w:rsidP="00286BB4">
      <w:pPr>
        <w:jc w:val="center"/>
      </w:pPr>
    </w:p>
    <w:p w14:paraId="57362E9F" w14:textId="77777777" w:rsidR="00286BB4" w:rsidRDefault="00286BB4" w:rsidP="00940288"/>
    <w:p w14:paraId="54A76E17" w14:textId="77777777" w:rsidR="00940288" w:rsidRDefault="00940288" w:rsidP="00286BB4">
      <w:pPr>
        <w:jc w:val="center"/>
      </w:pPr>
    </w:p>
    <w:p w14:paraId="36374A83" w14:textId="77777777" w:rsidR="00940288" w:rsidRDefault="00940288" w:rsidP="00940288">
      <w:pPr>
        <w:pStyle w:val="DisclaimerBold"/>
      </w:pPr>
    </w:p>
    <w:p w14:paraId="02325B7C" w14:textId="77777777" w:rsidR="00940288" w:rsidRDefault="00940288" w:rsidP="00940288">
      <w:pPr>
        <w:pStyle w:val="DisclaimerBold"/>
      </w:pPr>
    </w:p>
    <w:p w14:paraId="60EC59FE" w14:textId="77777777" w:rsidR="00940288" w:rsidRDefault="00940288" w:rsidP="00940288">
      <w:pPr>
        <w:pStyle w:val="DisclaimerBold"/>
      </w:pPr>
    </w:p>
    <w:p w14:paraId="66455D16" w14:textId="77777777" w:rsidR="00940288" w:rsidRDefault="00940288" w:rsidP="00940288">
      <w:pPr>
        <w:pStyle w:val="DisclaimerBold"/>
      </w:pPr>
    </w:p>
    <w:p w14:paraId="0E10F07C" w14:textId="77777777" w:rsidR="00197341" w:rsidRDefault="00197341" w:rsidP="00940288">
      <w:pPr>
        <w:pStyle w:val="DisclaimerBold"/>
      </w:pPr>
    </w:p>
    <w:p w14:paraId="3AE67035" w14:textId="77777777" w:rsidR="00197341" w:rsidRDefault="00197341" w:rsidP="00940288">
      <w:pPr>
        <w:pStyle w:val="DisclaimerBold"/>
      </w:pPr>
    </w:p>
    <w:p w14:paraId="356B6CB5" w14:textId="77777777" w:rsidR="00197341" w:rsidRDefault="00197341" w:rsidP="00940288">
      <w:pPr>
        <w:pStyle w:val="DisclaimerBold"/>
      </w:pPr>
    </w:p>
    <w:p w14:paraId="75363238" w14:textId="77777777" w:rsidR="00197341" w:rsidRDefault="00197341" w:rsidP="00940288">
      <w:pPr>
        <w:pStyle w:val="DisclaimerBold"/>
      </w:pPr>
    </w:p>
    <w:p w14:paraId="3B317FB6" w14:textId="77777777" w:rsidR="00197341" w:rsidRDefault="00197341" w:rsidP="00940288">
      <w:pPr>
        <w:pStyle w:val="DisclaimerBold"/>
      </w:pPr>
    </w:p>
    <w:p w14:paraId="74FD3C36" w14:textId="77777777" w:rsidR="00197341" w:rsidRDefault="00197341" w:rsidP="00940288">
      <w:pPr>
        <w:pStyle w:val="DisclaimerBold"/>
      </w:pPr>
    </w:p>
    <w:p w14:paraId="31FBCE51" w14:textId="77777777" w:rsidR="00197341" w:rsidRDefault="00197341" w:rsidP="00940288">
      <w:pPr>
        <w:pStyle w:val="DisclaimerBold"/>
      </w:pPr>
    </w:p>
    <w:p w14:paraId="2426C614" w14:textId="77777777" w:rsidR="00197341" w:rsidRDefault="00197341" w:rsidP="00940288">
      <w:pPr>
        <w:pStyle w:val="DisclaimerBold"/>
      </w:pPr>
    </w:p>
    <w:p w14:paraId="7E89C022" w14:textId="77777777" w:rsidR="00197341" w:rsidRDefault="00197341" w:rsidP="00940288">
      <w:pPr>
        <w:pStyle w:val="DisclaimerBold"/>
      </w:pPr>
    </w:p>
    <w:p w14:paraId="059CD483" w14:textId="77777777" w:rsidR="00197341" w:rsidRDefault="00197341" w:rsidP="00940288">
      <w:pPr>
        <w:pStyle w:val="DisclaimerBold"/>
      </w:pPr>
    </w:p>
    <w:p w14:paraId="6C915850" w14:textId="77777777" w:rsidR="00197341" w:rsidRDefault="00197341" w:rsidP="00940288">
      <w:pPr>
        <w:pStyle w:val="DisclaimerBold"/>
      </w:pPr>
    </w:p>
    <w:p w14:paraId="1EF5F425" w14:textId="77777777" w:rsidR="00197341" w:rsidRDefault="00197341" w:rsidP="00940288">
      <w:pPr>
        <w:pStyle w:val="DisclaimerBold"/>
      </w:pPr>
    </w:p>
    <w:p w14:paraId="5CA3E550" w14:textId="77777777" w:rsidR="00197341" w:rsidRDefault="00197341" w:rsidP="00940288">
      <w:pPr>
        <w:pStyle w:val="DisclaimerBold"/>
      </w:pPr>
    </w:p>
    <w:p w14:paraId="16A11EE8" w14:textId="77777777" w:rsidR="00197341" w:rsidRDefault="00197341" w:rsidP="00940288">
      <w:pPr>
        <w:pStyle w:val="DisclaimerBold"/>
      </w:pPr>
    </w:p>
    <w:p w14:paraId="3E2B72E3" w14:textId="77777777" w:rsidR="00197341" w:rsidRDefault="00197341" w:rsidP="00940288">
      <w:pPr>
        <w:pStyle w:val="DisclaimerBold"/>
      </w:pPr>
    </w:p>
    <w:p w14:paraId="23E348AE" w14:textId="77777777" w:rsidR="00197341" w:rsidRDefault="00197341" w:rsidP="00940288">
      <w:pPr>
        <w:pStyle w:val="DisclaimerBold"/>
      </w:pPr>
    </w:p>
    <w:p w14:paraId="6168095C" w14:textId="77777777" w:rsidR="00197341" w:rsidRDefault="00197341" w:rsidP="00940288">
      <w:pPr>
        <w:pStyle w:val="DisclaimerBold"/>
      </w:pPr>
    </w:p>
    <w:p w14:paraId="6F3BF991" w14:textId="77777777" w:rsidR="00197341" w:rsidRDefault="00197341" w:rsidP="00940288">
      <w:pPr>
        <w:pStyle w:val="DisclaimerBold"/>
      </w:pPr>
    </w:p>
    <w:p w14:paraId="6AE22623" w14:textId="77777777" w:rsidR="00197341" w:rsidRDefault="00197341" w:rsidP="00940288">
      <w:pPr>
        <w:pStyle w:val="DisclaimerBold"/>
      </w:pPr>
    </w:p>
    <w:p w14:paraId="00DDED4D" w14:textId="77777777" w:rsidR="00197341" w:rsidRDefault="00197341" w:rsidP="00940288">
      <w:pPr>
        <w:pStyle w:val="DisclaimerBold"/>
      </w:pPr>
    </w:p>
    <w:p w14:paraId="5CE55BB1" w14:textId="77777777" w:rsidR="00197341" w:rsidRDefault="00197341" w:rsidP="00940288">
      <w:pPr>
        <w:pStyle w:val="DisclaimerBold"/>
      </w:pPr>
    </w:p>
    <w:p w14:paraId="65FB8265" w14:textId="77777777" w:rsidR="00197341" w:rsidRDefault="00197341" w:rsidP="00940288">
      <w:pPr>
        <w:pStyle w:val="DisclaimerBold"/>
      </w:pPr>
    </w:p>
    <w:p w14:paraId="7CC653F9" w14:textId="77777777" w:rsidR="00940288" w:rsidRDefault="00940288" w:rsidP="00117E72">
      <w:pPr>
        <w:pStyle w:val="DisclaimerBold"/>
        <w:ind w:left="0"/>
      </w:pPr>
    </w:p>
    <w:p w14:paraId="5F907E40" w14:textId="77777777" w:rsidR="00940288" w:rsidRDefault="00940288" w:rsidP="00940288">
      <w:pPr>
        <w:pStyle w:val="DisclaimerBold"/>
      </w:pPr>
    </w:p>
    <w:p w14:paraId="454854C3" w14:textId="77777777" w:rsidR="00940288" w:rsidRDefault="00940288" w:rsidP="00940288">
      <w:pPr>
        <w:pStyle w:val="DisclaimerBold"/>
      </w:pPr>
    </w:p>
    <w:p w14:paraId="02E88BD1" w14:textId="77777777" w:rsidR="00940288" w:rsidRDefault="00940288" w:rsidP="00940288">
      <w:pPr>
        <w:pStyle w:val="DisclaimerBold"/>
      </w:pPr>
    </w:p>
    <w:p w14:paraId="2E4895A3" w14:textId="4FA531D2" w:rsidR="00940288" w:rsidRDefault="00940288" w:rsidP="00940288">
      <w:pPr>
        <w:pStyle w:val="DisclaimerBold"/>
      </w:pPr>
      <w:r>
        <w:t>© Copyright Municipal Association of Victoria,</w:t>
      </w:r>
      <w:r w:rsidR="00FA5DE7">
        <w:t xml:space="preserve"> </w:t>
      </w:r>
      <w:r w:rsidR="00197341">
        <w:t>201</w:t>
      </w:r>
      <w:r w:rsidR="00CE2C7A">
        <w:t>8</w:t>
      </w:r>
      <w:r w:rsidR="00197341">
        <w:t>.</w:t>
      </w:r>
      <w:r>
        <w:t xml:space="preserve"> </w:t>
      </w:r>
    </w:p>
    <w:p w14:paraId="31A15759" w14:textId="77777777" w:rsidR="00940288" w:rsidRDefault="00940288" w:rsidP="00940288">
      <w:pPr>
        <w:pStyle w:val="Disclaimer"/>
      </w:pPr>
    </w:p>
    <w:p w14:paraId="53EFD08B" w14:textId="33B4BE61" w:rsidR="00940288" w:rsidRDefault="00940288" w:rsidP="00940288">
      <w:pPr>
        <w:pStyle w:val="Disclaimer"/>
      </w:pPr>
      <w:r>
        <w:t>The Municipal Association of Victoria</w:t>
      </w:r>
      <w:r w:rsidR="00117E72">
        <w:t xml:space="preserve"> (MAV)</w:t>
      </w:r>
      <w:r>
        <w:t xml:space="preserve"> is t</w:t>
      </w:r>
      <w:r w:rsidR="00CE2C7A">
        <w:t>he owner of the copyright in this publication.</w:t>
      </w:r>
    </w:p>
    <w:p w14:paraId="3541ADC9" w14:textId="77777777" w:rsidR="00CE2C7A" w:rsidRDefault="00CE2C7A" w:rsidP="00940288">
      <w:pPr>
        <w:pStyle w:val="Disclaimer"/>
      </w:pPr>
    </w:p>
    <w:p w14:paraId="32205317"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1D207718" w14:textId="77777777" w:rsidR="00940288" w:rsidRDefault="00940288" w:rsidP="00940288">
      <w:pPr>
        <w:pStyle w:val="Disclaimer"/>
      </w:pPr>
    </w:p>
    <w:p w14:paraId="0185901D" w14:textId="77777777" w:rsidR="00940288" w:rsidRDefault="00940288" w:rsidP="00940288">
      <w:pPr>
        <w:pStyle w:val="Disclaimer"/>
      </w:pPr>
      <w:r>
        <w:t xml:space="preserve">All requests to reproduce, store or transmit material contained in the publication should be addressed to </w:t>
      </w:r>
      <w:r w:rsidR="00197341">
        <w:t>the MAV</w:t>
      </w:r>
      <w:r>
        <w:t xml:space="preserve"> on </w:t>
      </w:r>
      <w:r w:rsidR="00197341">
        <w:t>(03) 9667 5555.</w:t>
      </w:r>
      <w:r w:rsidR="00117E72">
        <w:t xml:space="preserve"> </w:t>
      </w:r>
      <w:r>
        <w:t xml:space="preserve"> </w:t>
      </w:r>
    </w:p>
    <w:p w14:paraId="7BF66B71" w14:textId="77777777" w:rsidR="00117E72" w:rsidRDefault="00117E72" w:rsidP="00940288">
      <w:pPr>
        <w:pStyle w:val="Disclaimer"/>
      </w:pPr>
    </w:p>
    <w:p w14:paraId="3784D61F" w14:textId="77777777"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7E17433E" w14:textId="77777777" w:rsidR="00940288" w:rsidRDefault="00940288" w:rsidP="00940288">
      <w:pPr>
        <w:pStyle w:val="Disclaimer"/>
      </w:pPr>
    </w:p>
    <w:p w14:paraId="5D7B9583" w14:textId="77777777" w:rsidR="00286BB4" w:rsidRDefault="00286BB4" w:rsidP="00940288"/>
    <w:p w14:paraId="6923A352" w14:textId="77777777" w:rsidR="00E47927" w:rsidRDefault="00E47927" w:rsidP="00940288"/>
    <w:p w14:paraId="173D6DBD" w14:textId="77777777" w:rsidR="00E47927" w:rsidRPr="00E60810" w:rsidRDefault="009204DD" w:rsidP="00E60810">
      <w:pPr>
        <w:rPr>
          <w:sz w:val="28"/>
          <w:szCs w:val="28"/>
        </w:rPr>
      </w:pPr>
      <w:r w:rsidRPr="00E60810">
        <w:rPr>
          <w:sz w:val="28"/>
          <w:szCs w:val="28"/>
        </w:rPr>
        <w:lastRenderedPageBreak/>
        <w:t>Table of c</w:t>
      </w:r>
      <w:r w:rsidR="00E47927" w:rsidRPr="00E60810">
        <w:rPr>
          <w:sz w:val="28"/>
          <w:szCs w:val="28"/>
        </w:rPr>
        <w:t>ontents</w:t>
      </w:r>
    </w:p>
    <w:p w14:paraId="6E98A460" w14:textId="77777777" w:rsidR="00066862" w:rsidRDefault="00F1156F">
      <w:pPr>
        <w:pStyle w:val="TOC1"/>
        <w:tabs>
          <w:tab w:val="right" w:leader="dot" w:pos="9350"/>
        </w:tabs>
        <w:rPr>
          <w:rFonts w:asciiTheme="minorHAnsi" w:eastAsiaTheme="minorEastAsia" w:hAnsiTheme="minorHAnsi" w:cstheme="minorBidi"/>
          <w:i w:val="0"/>
          <w:noProof/>
          <w:lang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504473907" w:history="1">
        <w:r w:rsidR="00066862" w:rsidRPr="00E87423">
          <w:rPr>
            <w:rStyle w:val="Hyperlink"/>
            <w:noProof/>
          </w:rPr>
          <w:t>Executive summary</w:t>
        </w:r>
        <w:r w:rsidR="00066862">
          <w:rPr>
            <w:noProof/>
            <w:webHidden/>
          </w:rPr>
          <w:tab/>
        </w:r>
        <w:r w:rsidR="00066862">
          <w:rPr>
            <w:noProof/>
            <w:webHidden/>
          </w:rPr>
          <w:fldChar w:fldCharType="begin"/>
        </w:r>
        <w:r w:rsidR="00066862">
          <w:rPr>
            <w:noProof/>
            <w:webHidden/>
          </w:rPr>
          <w:instrText xml:space="preserve"> PAGEREF _Toc504473907 \h </w:instrText>
        </w:r>
        <w:r w:rsidR="00066862">
          <w:rPr>
            <w:noProof/>
            <w:webHidden/>
          </w:rPr>
        </w:r>
        <w:r w:rsidR="00066862">
          <w:rPr>
            <w:noProof/>
            <w:webHidden/>
          </w:rPr>
          <w:fldChar w:fldCharType="separate"/>
        </w:r>
        <w:r w:rsidR="00E27199">
          <w:rPr>
            <w:noProof/>
            <w:webHidden/>
          </w:rPr>
          <w:t>4</w:t>
        </w:r>
        <w:r w:rsidR="00066862">
          <w:rPr>
            <w:noProof/>
            <w:webHidden/>
          </w:rPr>
          <w:fldChar w:fldCharType="end"/>
        </w:r>
      </w:hyperlink>
    </w:p>
    <w:p w14:paraId="70E6EF22" w14:textId="77777777" w:rsidR="00066862" w:rsidRDefault="00A31341">
      <w:pPr>
        <w:pStyle w:val="TOC1"/>
        <w:tabs>
          <w:tab w:val="right" w:leader="dot" w:pos="9350"/>
        </w:tabs>
        <w:rPr>
          <w:rFonts w:asciiTheme="minorHAnsi" w:eastAsiaTheme="minorEastAsia" w:hAnsiTheme="minorHAnsi" w:cstheme="minorBidi"/>
          <w:i w:val="0"/>
          <w:noProof/>
          <w:lang w:eastAsia="en-AU"/>
        </w:rPr>
      </w:pPr>
      <w:hyperlink w:anchor="_Toc504473908" w:history="1">
        <w:r w:rsidR="00066862" w:rsidRPr="00E87423">
          <w:rPr>
            <w:rStyle w:val="Hyperlink"/>
            <w:noProof/>
          </w:rPr>
          <w:t>Introduction</w:t>
        </w:r>
        <w:r w:rsidR="00066862">
          <w:rPr>
            <w:noProof/>
            <w:webHidden/>
          </w:rPr>
          <w:tab/>
        </w:r>
        <w:r w:rsidR="00066862">
          <w:rPr>
            <w:noProof/>
            <w:webHidden/>
          </w:rPr>
          <w:fldChar w:fldCharType="begin"/>
        </w:r>
        <w:r w:rsidR="00066862">
          <w:rPr>
            <w:noProof/>
            <w:webHidden/>
          </w:rPr>
          <w:instrText xml:space="preserve"> PAGEREF _Toc504473908 \h </w:instrText>
        </w:r>
        <w:r w:rsidR="00066862">
          <w:rPr>
            <w:noProof/>
            <w:webHidden/>
          </w:rPr>
        </w:r>
        <w:r w:rsidR="00066862">
          <w:rPr>
            <w:noProof/>
            <w:webHidden/>
          </w:rPr>
          <w:fldChar w:fldCharType="separate"/>
        </w:r>
        <w:r w:rsidR="00E27199">
          <w:rPr>
            <w:noProof/>
            <w:webHidden/>
          </w:rPr>
          <w:t>6</w:t>
        </w:r>
        <w:r w:rsidR="00066862">
          <w:rPr>
            <w:noProof/>
            <w:webHidden/>
          </w:rPr>
          <w:fldChar w:fldCharType="end"/>
        </w:r>
      </w:hyperlink>
    </w:p>
    <w:p w14:paraId="6670D9B8" w14:textId="77777777" w:rsidR="00066862" w:rsidRDefault="00A31341">
      <w:pPr>
        <w:pStyle w:val="TOC1"/>
        <w:tabs>
          <w:tab w:val="right" w:leader="dot" w:pos="9350"/>
        </w:tabs>
        <w:rPr>
          <w:rFonts w:asciiTheme="minorHAnsi" w:eastAsiaTheme="minorEastAsia" w:hAnsiTheme="minorHAnsi" w:cstheme="minorBidi"/>
          <w:i w:val="0"/>
          <w:noProof/>
          <w:lang w:eastAsia="en-AU"/>
        </w:rPr>
      </w:pPr>
      <w:hyperlink w:anchor="_Toc504473909" w:history="1">
        <w:r w:rsidR="00066862" w:rsidRPr="00E87423">
          <w:rPr>
            <w:rStyle w:val="Hyperlink"/>
            <w:noProof/>
          </w:rPr>
          <w:t>E-waste recycling in Victoria</w:t>
        </w:r>
        <w:r w:rsidR="00066862">
          <w:rPr>
            <w:noProof/>
            <w:webHidden/>
          </w:rPr>
          <w:tab/>
        </w:r>
        <w:r w:rsidR="00066862">
          <w:rPr>
            <w:noProof/>
            <w:webHidden/>
          </w:rPr>
          <w:fldChar w:fldCharType="begin"/>
        </w:r>
        <w:r w:rsidR="00066862">
          <w:rPr>
            <w:noProof/>
            <w:webHidden/>
          </w:rPr>
          <w:instrText xml:space="preserve"> PAGEREF _Toc504473909 \h </w:instrText>
        </w:r>
        <w:r w:rsidR="00066862">
          <w:rPr>
            <w:noProof/>
            <w:webHidden/>
          </w:rPr>
        </w:r>
        <w:r w:rsidR="00066862">
          <w:rPr>
            <w:noProof/>
            <w:webHidden/>
          </w:rPr>
          <w:fldChar w:fldCharType="separate"/>
        </w:r>
        <w:r w:rsidR="00E27199">
          <w:rPr>
            <w:noProof/>
            <w:webHidden/>
          </w:rPr>
          <w:t>7</w:t>
        </w:r>
        <w:r w:rsidR="00066862">
          <w:rPr>
            <w:noProof/>
            <w:webHidden/>
          </w:rPr>
          <w:fldChar w:fldCharType="end"/>
        </w:r>
      </w:hyperlink>
    </w:p>
    <w:p w14:paraId="125D571E" w14:textId="77777777" w:rsidR="00066862" w:rsidRDefault="00A31341">
      <w:pPr>
        <w:pStyle w:val="TOC2"/>
        <w:tabs>
          <w:tab w:val="right" w:leader="dot" w:pos="9350"/>
        </w:tabs>
        <w:rPr>
          <w:rFonts w:asciiTheme="minorHAnsi" w:eastAsiaTheme="minorEastAsia" w:hAnsiTheme="minorHAnsi" w:cstheme="minorBidi"/>
          <w:noProof/>
          <w:lang w:eastAsia="en-AU"/>
        </w:rPr>
      </w:pPr>
      <w:hyperlink w:anchor="_Toc504473910" w:history="1">
        <w:r w:rsidR="00066862" w:rsidRPr="00E87423">
          <w:rPr>
            <w:rStyle w:val="Hyperlink"/>
            <w:noProof/>
          </w:rPr>
          <w:t>Product stewardship</w:t>
        </w:r>
        <w:r w:rsidR="00066862">
          <w:rPr>
            <w:noProof/>
            <w:webHidden/>
          </w:rPr>
          <w:tab/>
        </w:r>
        <w:r w:rsidR="00066862">
          <w:rPr>
            <w:noProof/>
            <w:webHidden/>
          </w:rPr>
          <w:fldChar w:fldCharType="begin"/>
        </w:r>
        <w:r w:rsidR="00066862">
          <w:rPr>
            <w:noProof/>
            <w:webHidden/>
          </w:rPr>
          <w:instrText xml:space="preserve"> PAGEREF _Toc504473910 \h </w:instrText>
        </w:r>
        <w:r w:rsidR="00066862">
          <w:rPr>
            <w:noProof/>
            <w:webHidden/>
          </w:rPr>
        </w:r>
        <w:r w:rsidR="00066862">
          <w:rPr>
            <w:noProof/>
            <w:webHidden/>
          </w:rPr>
          <w:fldChar w:fldCharType="separate"/>
        </w:r>
        <w:r w:rsidR="00E27199">
          <w:rPr>
            <w:noProof/>
            <w:webHidden/>
          </w:rPr>
          <w:t>7</w:t>
        </w:r>
        <w:r w:rsidR="00066862">
          <w:rPr>
            <w:noProof/>
            <w:webHidden/>
          </w:rPr>
          <w:fldChar w:fldCharType="end"/>
        </w:r>
      </w:hyperlink>
    </w:p>
    <w:p w14:paraId="21E3C343" w14:textId="77777777" w:rsidR="00066862" w:rsidRDefault="00A31341">
      <w:pPr>
        <w:pStyle w:val="TOC2"/>
        <w:tabs>
          <w:tab w:val="right" w:leader="dot" w:pos="9350"/>
        </w:tabs>
        <w:rPr>
          <w:rFonts w:asciiTheme="minorHAnsi" w:eastAsiaTheme="minorEastAsia" w:hAnsiTheme="minorHAnsi" w:cstheme="minorBidi"/>
          <w:noProof/>
          <w:lang w:eastAsia="en-AU"/>
        </w:rPr>
      </w:pPr>
      <w:hyperlink w:anchor="_Toc504473911" w:history="1">
        <w:r w:rsidR="00066862" w:rsidRPr="00E87423">
          <w:rPr>
            <w:rStyle w:val="Hyperlink"/>
            <w:noProof/>
          </w:rPr>
          <w:t>Business as usual</w:t>
        </w:r>
        <w:r w:rsidR="00066862">
          <w:rPr>
            <w:noProof/>
            <w:webHidden/>
          </w:rPr>
          <w:tab/>
        </w:r>
        <w:r w:rsidR="00066862">
          <w:rPr>
            <w:noProof/>
            <w:webHidden/>
          </w:rPr>
          <w:fldChar w:fldCharType="begin"/>
        </w:r>
        <w:r w:rsidR="00066862">
          <w:rPr>
            <w:noProof/>
            <w:webHidden/>
          </w:rPr>
          <w:instrText xml:space="preserve"> PAGEREF _Toc504473911 \h </w:instrText>
        </w:r>
        <w:r w:rsidR="00066862">
          <w:rPr>
            <w:noProof/>
            <w:webHidden/>
          </w:rPr>
        </w:r>
        <w:r w:rsidR="00066862">
          <w:rPr>
            <w:noProof/>
            <w:webHidden/>
          </w:rPr>
          <w:fldChar w:fldCharType="separate"/>
        </w:r>
        <w:r w:rsidR="00E27199">
          <w:rPr>
            <w:noProof/>
            <w:webHidden/>
          </w:rPr>
          <w:t>8</w:t>
        </w:r>
        <w:r w:rsidR="00066862">
          <w:rPr>
            <w:noProof/>
            <w:webHidden/>
          </w:rPr>
          <w:fldChar w:fldCharType="end"/>
        </w:r>
      </w:hyperlink>
    </w:p>
    <w:p w14:paraId="39C69F02" w14:textId="77777777" w:rsidR="00066862" w:rsidRDefault="00A31341">
      <w:pPr>
        <w:pStyle w:val="TOC1"/>
        <w:tabs>
          <w:tab w:val="right" w:leader="dot" w:pos="9350"/>
        </w:tabs>
        <w:rPr>
          <w:rFonts w:asciiTheme="minorHAnsi" w:eastAsiaTheme="minorEastAsia" w:hAnsiTheme="minorHAnsi" w:cstheme="minorBidi"/>
          <w:i w:val="0"/>
          <w:noProof/>
          <w:lang w:eastAsia="en-AU"/>
        </w:rPr>
      </w:pPr>
      <w:hyperlink w:anchor="_Toc504473912" w:history="1">
        <w:r w:rsidR="00066862" w:rsidRPr="00E87423">
          <w:rPr>
            <w:rStyle w:val="Hyperlink"/>
            <w:noProof/>
          </w:rPr>
          <w:t>Complementary measures</w:t>
        </w:r>
        <w:r w:rsidR="00066862">
          <w:rPr>
            <w:noProof/>
            <w:webHidden/>
          </w:rPr>
          <w:tab/>
        </w:r>
        <w:r w:rsidR="00066862">
          <w:rPr>
            <w:noProof/>
            <w:webHidden/>
          </w:rPr>
          <w:fldChar w:fldCharType="begin"/>
        </w:r>
        <w:r w:rsidR="00066862">
          <w:rPr>
            <w:noProof/>
            <w:webHidden/>
          </w:rPr>
          <w:instrText xml:space="preserve"> PAGEREF _Toc504473912 \h </w:instrText>
        </w:r>
        <w:r w:rsidR="00066862">
          <w:rPr>
            <w:noProof/>
            <w:webHidden/>
          </w:rPr>
        </w:r>
        <w:r w:rsidR="00066862">
          <w:rPr>
            <w:noProof/>
            <w:webHidden/>
          </w:rPr>
          <w:fldChar w:fldCharType="separate"/>
        </w:r>
        <w:r w:rsidR="00E27199">
          <w:rPr>
            <w:noProof/>
            <w:webHidden/>
          </w:rPr>
          <w:t>9</w:t>
        </w:r>
        <w:r w:rsidR="00066862">
          <w:rPr>
            <w:noProof/>
            <w:webHidden/>
          </w:rPr>
          <w:fldChar w:fldCharType="end"/>
        </w:r>
      </w:hyperlink>
    </w:p>
    <w:p w14:paraId="13CED603" w14:textId="77777777" w:rsidR="00066862" w:rsidRDefault="00A31341">
      <w:pPr>
        <w:pStyle w:val="TOC2"/>
        <w:tabs>
          <w:tab w:val="right" w:leader="dot" w:pos="9350"/>
        </w:tabs>
        <w:rPr>
          <w:rFonts w:asciiTheme="minorHAnsi" w:eastAsiaTheme="minorEastAsia" w:hAnsiTheme="minorHAnsi" w:cstheme="minorBidi"/>
          <w:noProof/>
          <w:lang w:eastAsia="en-AU"/>
        </w:rPr>
      </w:pPr>
      <w:hyperlink w:anchor="_Toc504473913" w:history="1">
        <w:r w:rsidR="00066862" w:rsidRPr="00E87423">
          <w:rPr>
            <w:rStyle w:val="Hyperlink"/>
            <w:noProof/>
          </w:rPr>
          <w:t>Collection and storage infrastructure</w:t>
        </w:r>
        <w:r w:rsidR="00066862">
          <w:rPr>
            <w:noProof/>
            <w:webHidden/>
          </w:rPr>
          <w:tab/>
        </w:r>
        <w:r w:rsidR="00066862">
          <w:rPr>
            <w:noProof/>
            <w:webHidden/>
          </w:rPr>
          <w:fldChar w:fldCharType="begin"/>
        </w:r>
        <w:r w:rsidR="00066862">
          <w:rPr>
            <w:noProof/>
            <w:webHidden/>
          </w:rPr>
          <w:instrText xml:space="preserve"> PAGEREF _Toc504473913 \h </w:instrText>
        </w:r>
        <w:r w:rsidR="00066862">
          <w:rPr>
            <w:noProof/>
            <w:webHidden/>
          </w:rPr>
        </w:r>
        <w:r w:rsidR="00066862">
          <w:rPr>
            <w:noProof/>
            <w:webHidden/>
          </w:rPr>
          <w:fldChar w:fldCharType="separate"/>
        </w:r>
        <w:r w:rsidR="00E27199">
          <w:rPr>
            <w:noProof/>
            <w:webHidden/>
          </w:rPr>
          <w:t>9</w:t>
        </w:r>
        <w:r w:rsidR="00066862">
          <w:rPr>
            <w:noProof/>
            <w:webHidden/>
          </w:rPr>
          <w:fldChar w:fldCharType="end"/>
        </w:r>
      </w:hyperlink>
    </w:p>
    <w:p w14:paraId="00F4F31B" w14:textId="77777777" w:rsidR="00066862" w:rsidRDefault="00A31341">
      <w:pPr>
        <w:pStyle w:val="TOC3"/>
        <w:tabs>
          <w:tab w:val="right" w:leader="dot" w:pos="9350"/>
        </w:tabs>
        <w:rPr>
          <w:rFonts w:asciiTheme="minorHAnsi" w:eastAsiaTheme="minorEastAsia" w:hAnsiTheme="minorHAnsi" w:cstheme="minorBidi"/>
          <w:noProof/>
          <w:lang w:eastAsia="en-AU"/>
        </w:rPr>
      </w:pPr>
      <w:hyperlink w:anchor="_Toc504473914" w:history="1">
        <w:r w:rsidR="00066862" w:rsidRPr="00E87423">
          <w:rPr>
            <w:rStyle w:val="Hyperlink"/>
            <w:noProof/>
          </w:rPr>
          <w:t>The collection network</w:t>
        </w:r>
        <w:r w:rsidR="00066862">
          <w:rPr>
            <w:noProof/>
            <w:webHidden/>
          </w:rPr>
          <w:tab/>
        </w:r>
        <w:r w:rsidR="00066862">
          <w:rPr>
            <w:noProof/>
            <w:webHidden/>
          </w:rPr>
          <w:fldChar w:fldCharType="begin"/>
        </w:r>
        <w:r w:rsidR="00066862">
          <w:rPr>
            <w:noProof/>
            <w:webHidden/>
          </w:rPr>
          <w:instrText xml:space="preserve"> PAGEREF _Toc504473914 \h </w:instrText>
        </w:r>
        <w:r w:rsidR="00066862">
          <w:rPr>
            <w:noProof/>
            <w:webHidden/>
          </w:rPr>
        </w:r>
        <w:r w:rsidR="00066862">
          <w:rPr>
            <w:noProof/>
            <w:webHidden/>
          </w:rPr>
          <w:fldChar w:fldCharType="separate"/>
        </w:r>
        <w:r w:rsidR="00E27199">
          <w:rPr>
            <w:noProof/>
            <w:webHidden/>
          </w:rPr>
          <w:t>9</w:t>
        </w:r>
        <w:r w:rsidR="00066862">
          <w:rPr>
            <w:noProof/>
            <w:webHidden/>
          </w:rPr>
          <w:fldChar w:fldCharType="end"/>
        </w:r>
      </w:hyperlink>
    </w:p>
    <w:p w14:paraId="501F0742" w14:textId="77777777" w:rsidR="00066862" w:rsidRDefault="00A31341">
      <w:pPr>
        <w:pStyle w:val="TOC3"/>
        <w:tabs>
          <w:tab w:val="right" w:leader="dot" w:pos="9350"/>
        </w:tabs>
        <w:rPr>
          <w:rFonts w:asciiTheme="minorHAnsi" w:eastAsiaTheme="minorEastAsia" w:hAnsiTheme="minorHAnsi" w:cstheme="minorBidi"/>
          <w:noProof/>
          <w:lang w:eastAsia="en-AU"/>
        </w:rPr>
      </w:pPr>
      <w:hyperlink w:anchor="_Toc504473915" w:history="1">
        <w:r w:rsidR="00066862" w:rsidRPr="00E87423">
          <w:rPr>
            <w:rStyle w:val="Hyperlink"/>
            <w:noProof/>
          </w:rPr>
          <w:t>Transfer stations</w:t>
        </w:r>
        <w:r w:rsidR="00066862">
          <w:rPr>
            <w:noProof/>
            <w:webHidden/>
          </w:rPr>
          <w:tab/>
        </w:r>
        <w:r w:rsidR="00066862">
          <w:rPr>
            <w:noProof/>
            <w:webHidden/>
          </w:rPr>
          <w:fldChar w:fldCharType="begin"/>
        </w:r>
        <w:r w:rsidR="00066862">
          <w:rPr>
            <w:noProof/>
            <w:webHidden/>
          </w:rPr>
          <w:instrText xml:space="preserve"> PAGEREF _Toc504473915 \h </w:instrText>
        </w:r>
        <w:r w:rsidR="00066862">
          <w:rPr>
            <w:noProof/>
            <w:webHidden/>
          </w:rPr>
        </w:r>
        <w:r w:rsidR="00066862">
          <w:rPr>
            <w:noProof/>
            <w:webHidden/>
          </w:rPr>
          <w:fldChar w:fldCharType="separate"/>
        </w:r>
        <w:r w:rsidR="00E27199">
          <w:rPr>
            <w:noProof/>
            <w:webHidden/>
          </w:rPr>
          <w:t>10</w:t>
        </w:r>
        <w:r w:rsidR="00066862">
          <w:rPr>
            <w:noProof/>
            <w:webHidden/>
          </w:rPr>
          <w:fldChar w:fldCharType="end"/>
        </w:r>
      </w:hyperlink>
    </w:p>
    <w:p w14:paraId="51664E83" w14:textId="77777777" w:rsidR="00066862" w:rsidRDefault="00A31341">
      <w:pPr>
        <w:pStyle w:val="TOC2"/>
        <w:tabs>
          <w:tab w:val="right" w:leader="dot" w:pos="9350"/>
        </w:tabs>
        <w:rPr>
          <w:rFonts w:asciiTheme="minorHAnsi" w:eastAsiaTheme="minorEastAsia" w:hAnsiTheme="minorHAnsi" w:cstheme="minorBidi"/>
          <w:noProof/>
          <w:lang w:eastAsia="en-AU"/>
        </w:rPr>
      </w:pPr>
      <w:hyperlink w:anchor="_Toc504473916" w:history="1">
        <w:r w:rsidR="00066862" w:rsidRPr="00E87423">
          <w:rPr>
            <w:rStyle w:val="Hyperlink"/>
            <w:noProof/>
          </w:rPr>
          <w:t>Sorting and transportation of e-waste</w:t>
        </w:r>
        <w:r w:rsidR="00066862">
          <w:rPr>
            <w:noProof/>
            <w:webHidden/>
          </w:rPr>
          <w:tab/>
        </w:r>
        <w:r w:rsidR="00066862">
          <w:rPr>
            <w:noProof/>
            <w:webHidden/>
          </w:rPr>
          <w:fldChar w:fldCharType="begin"/>
        </w:r>
        <w:r w:rsidR="00066862">
          <w:rPr>
            <w:noProof/>
            <w:webHidden/>
          </w:rPr>
          <w:instrText xml:space="preserve"> PAGEREF _Toc504473916 \h </w:instrText>
        </w:r>
        <w:r w:rsidR="00066862">
          <w:rPr>
            <w:noProof/>
            <w:webHidden/>
          </w:rPr>
        </w:r>
        <w:r w:rsidR="00066862">
          <w:rPr>
            <w:noProof/>
            <w:webHidden/>
          </w:rPr>
          <w:fldChar w:fldCharType="separate"/>
        </w:r>
        <w:r w:rsidR="00E27199">
          <w:rPr>
            <w:noProof/>
            <w:webHidden/>
          </w:rPr>
          <w:t>12</w:t>
        </w:r>
        <w:r w:rsidR="00066862">
          <w:rPr>
            <w:noProof/>
            <w:webHidden/>
          </w:rPr>
          <w:fldChar w:fldCharType="end"/>
        </w:r>
      </w:hyperlink>
    </w:p>
    <w:p w14:paraId="5CDECD3B" w14:textId="77777777" w:rsidR="00066862" w:rsidRDefault="00A31341">
      <w:pPr>
        <w:pStyle w:val="TOC2"/>
        <w:tabs>
          <w:tab w:val="right" w:leader="dot" w:pos="9350"/>
        </w:tabs>
        <w:rPr>
          <w:rFonts w:asciiTheme="minorHAnsi" w:eastAsiaTheme="minorEastAsia" w:hAnsiTheme="minorHAnsi" w:cstheme="minorBidi"/>
          <w:noProof/>
          <w:lang w:eastAsia="en-AU"/>
        </w:rPr>
      </w:pPr>
      <w:hyperlink w:anchor="_Toc504473917" w:history="1">
        <w:r w:rsidR="00066862" w:rsidRPr="00E87423">
          <w:rPr>
            <w:rStyle w:val="Hyperlink"/>
            <w:noProof/>
          </w:rPr>
          <w:t>Compliance costs</w:t>
        </w:r>
        <w:r w:rsidR="00066862">
          <w:rPr>
            <w:noProof/>
            <w:webHidden/>
          </w:rPr>
          <w:tab/>
        </w:r>
        <w:r w:rsidR="00066862">
          <w:rPr>
            <w:noProof/>
            <w:webHidden/>
          </w:rPr>
          <w:fldChar w:fldCharType="begin"/>
        </w:r>
        <w:r w:rsidR="00066862">
          <w:rPr>
            <w:noProof/>
            <w:webHidden/>
          </w:rPr>
          <w:instrText xml:space="preserve"> PAGEREF _Toc504473917 \h </w:instrText>
        </w:r>
        <w:r w:rsidR="00066862">
          <w:rPr>
            <w:noProof/>
            <w:webHidden/>
          </w:rPr>
        </w:r>
        <w:r w:rsidR="00066862">
          <w:rPr>
            <w:noProof/>
            <w:webHidden/>
          </w:rPr>
          <w:fldChar w:fldCharType="separate"/>
        </w:r>
        <w:r w:rsidR="00E27199">
          <w:rPr>
            <w:noProof/>
            <w:webHidden/>
          </w:rPr>
          <w:t>13</w:t>
        </w:r>
        <w:r w:rsidR="00066862">
          <w:rPr>
            <w:noProof/>
            <w:webHidden/>
          </w:rPr>
          <w:fldChar w:fldCharType="end"/>
        </w:r>
      </w:hyperlink>
    </w:p>
    <w:p w14:paraId="6A7441DF" w14:textId="77777777" w:rsidR="00066862" w:rsidRDefault="00A31341">
      <w:pPr>
        <w:pStyle w:val="TOC2"/>
        <w:tabs>
          <w:tab w:val="right" w:leader="dot" w:pos="9350"/>
        </w:tabs>
        <w:rPr>
          <w:rFonts w:asciiTheme="minorHAnsi" w:eastAsiaTheme="minorEastAsia" w:hAnsiTheme="minorHAnsi" w:cstheme="minorBidi"/>
          <w:noProof/>
          <w:lang w:eastAsia="en-AU"/>
        </w:rPr>
      </w:pPr>
      <w:hyperlink w:anchor="_Toc504473918" w:history="1">
        <w:r w:rsidR="00066862" w:rsidRPr="00E87423">
          <w:rPr>
            <w:rStyle w:val="Hyperlink"/>
            <w:noProof/>
          </w:rPr>
          <w:t>Market development / market risks</w:t>
        </w:r>
        <w:r w:rsidR="00066862">
          <w:rPr>
            <w:noProof/>
            <w:webHidden/>
          </w:rPr>
          <w:tab/>
        </w:r>
        <w:r w:rsidR="00066862">
          <w:rPr>
            <w:noProof/>
            <w:webHidden/>
          </w:rPr>
          <w:fldChar w:fldCharType="begin"/>
        </w:r>
        <w:r w:rsidR="00066862">
          <w:rPr>
            <w:noProof/>
            <w:webHidden/>
          </w:rPr>
          <w:instrText xml:space="preserve"> PAGEREF _Toc504473918 \h </w:instrText>
        </w:r>
        <w:r w:rsidR="00066862">
          <w:rPr>
            <w:noProof/>
            <w:webHidden/>
          </w:rPr>
        </w:r>
        <w:r w:rsidR="00066862">
          <w:rPr>
            <w:noProof/>
            <w:webHidden/>
          </w:rPr>
          <w:fldChar w:fldCharType="separate"/>
        </w:r>
        <w:r w:rsidR="00E27199">
          <w:rPr>
            <w:noProof/>
            <w:webHidden/>
          </w:rPr>
          <w:t>13</w:t>
        </w:r>
        <w:r w:rsidR="00066862">
          <w:rPr>
            <w:noProof/>
            <w:webHidden/>
          </w:rPr>
          <w:fldChar w:fldCharType="end"/>
        </w:r>
      </w:hyperlink>
    </w:p>
    <w:p w14:paraId="0910085E" w14:textId="77777777" w:rsidR="00066862" w:rsidRDefault="00A31341">
      <w:pPr>
        <w:pStyle w:val="TOC3"/>
        <w:tabs>
          <w:tab w:val="right" w:leader="dot" w:pos="9350"/>
        </w:tabs>
        <w:rPr>
          <w:rFonts w:asciiTheme="minorHAnsi" w:eastAsiaTheme="minorEastAsia" w:hAnsiTheme="minorHAnsi" w:cstheme="minorBidi"/>
          <w:noProof/>
          <w:lang w:eastAsia="en-AU"/>
        </w:rPr>
      </w:pPr>
      <w:hyperlink w:anchor="_Toc504473919" w:history="1">
        <w:r w:rsidR="00066862" w:rsidRPr="00E87423">
          <w:rPr>
            <w:rStyle w:val="Hyperlink"/>
            <w:noProof/>
          </w:rPr>
          <w:t>Global influences</w:t>
        </w:r>
        <w:r w:rsidR="00066862">
          <w:rPr>
            <w:noProof/>
            <w:webHidden/>
          </w:rPr>
          <w:tab/>
        </w:r>
        <w:r w:rsidR="00066862">
          <w:rPr>
            <w:noProof/>
            <w:webHidden/>
          </w:rPr>
          <w:fldChar w:fldCharType="begin"/>
        </w:r>
        <w:r w:rsidR="00066862">
          <w:rPr>
            <w:noProof/>
            <w:webHidden/>
          </w:rPr>
          <w:instrText xml:space="preserve"> PAGEREF _Toc504473919 \h </w:instrText>
        </w:r>
        <w:r w:rsidR="00066862">
          <w:rPr>
            <w:noProof/>
            <w:webHidden/>
          </w:rPr>
        </w:r>
        <w:r w:rsidR="00066862">
          <w:rPr>
            <w:noProof/>
            <w:webHidden/>
          </w:rPr>
          <w:fldChar w:fldCharType="separate"/>
        </w:r>
        <w:r w:rsidR="00E27199">
          <w:rPr>
            <w:noProof/>
            <w:webHidden/>
          </w:rPr>
          <w:t>14</w:t>
        </w:r>
        <w:r w:rsidR="00066862">
          <w:rPr>
            <w:noProof/>
            <w:webHidden/>
          </w:rPr>
          <w:fldChar w:fldCharType="end"/>
        </w:r>
      </w:hyperlink>
    </w:p>
    <w:p w14:paraId="471DB765" w14:textId="77777777" w:rsidR="00066862" w:rsidRDefault="00A31341">
      <w:pPr>
        <w:pStyle w:val="TOC2"/>
        <w:tabs>
          <w:tab w:val="right" w:leader="dot" w:pos="9350"/>
        </w:tabs>
        <w:rPr>
          <w:rFonts w:asciiTheme="minorHAnsi" w:eastAsiaTheme="minorEastAsia" w:hAnsiTheme="minorHAnsi" w:cstheme="minorBidi"/>
          <w:noProof/>
          <w:lang w:eastAsia="en-AU"/>
        </w:rPr>
      </w:pPr>
      <w:hyperlink w:anchor="_Toc504473920" w:history="1">
        <w:r w:rsidR="00066862" w:rsidRPr="00E87423">
          <w:rPr>
            <w:rStyle w:val="Hyperlink"/>
            <w:noProof/>
          </w:rPr>
          <w:t>Education program</w:t>
        </w:r>
        <w:r w:rsidR="00066862">
          <w:rPr>
            <w:noProof/>
            <w:webHidden/>
          </w:rPr>
          <w:tab/>
        </w:r>
        <w:r w:rsidR="00066862">
          <w:rPr>
            <w:noProof/>
            <w:webHidden/>
          </w:rPr>
          <w:fldChar w:fldCharType="begin"/>
        </w:r>
        <w:r w:rsidR="00066862">
          <w:rPr>
            <w:noProof/>
            <w:webHidden/>
          </w:rPr>
          <w:instrText xml:space="preserve"> PAGEREF _Toc504473920 \h </w:instrText>
        </w:r>
        <w:r w:rsidR="00066862">
          <w:rPr>
            <w:noProof/>
            <w:webHidden/>
          </w:rPr>
        </w:r>
        <w:r w:rsidR="00066862">
          <w:rPr>
            <w:noProof/>
            <w:webHidden/>
          </w:rPr>
          <w:fldChar w:fldCharType="separate"/>
        </w:r>
        <w:r w:rsidR="00E27199">
          <w:rPr>
            <w:noProof/>
            <w:webHidden/>
          </w:rPr>
          <w:t>15</w:t>
        </w:r>
        <w:r w:rsidR="00066862">
          <w:rPr>
            <w:noProof/>
            <w:webHidden/>
          </w:rPr>
          <w:fldChar w:fldCharType="end"/>
        </w:r>
      </w:hyperlink>
    </w:p>
    <w:p w14:paraId="5A116ED6" w14:textId="77777777" w:rsidR="00066862" w:rsidRDefault="00A31341">
      <w:pPr>
        <w:pStyle w:val="TOC2"/>
        <w:tabs>
          <w:tab w:val="right" w:leader="dot" w:pos="9350"/>
        </w:tabs>
        <w:rPr>
          <w:rFonts w:asciiTheme="minorHAnsi" w:eastAsiaTheme="minorEastAsia" w:hAnsiTheme="minorHAnsi" w:cstheme="minorBidi"/>
          <w:noProof/>
          <w:lang w:eastAsia="en-AU"/>
        </w:rPr>
      </w:pPr>
      <w:hyperlink w:anchor="_Toc504473921" w:history="1">
        <w:r w:rsidR="00066862" w:rsidRPr="00E87423">
          <w:rPr>
            <w:rStyle w:val="Hyperlink"/>
            <w:noProof/>
          </w:rPr>
          <w:t>Enforcement</w:t>
        </w:r>
        <w:r w:rsidR="00066862">
          <w:rPr>
            <w:noProof/>
            <w:webHidden/>
          </w:rPr>
          <w:tab/>
        </w:r>
        <w:r w:rsidR="00066862">
          <w:rPr>
            <w:noProof/>
            <w:webHidden/>
          </w:rPr>
          <w:fldChar w:fldCharType="begin"/>
        </w:r>
        <w:r w:rsidR="00066862">
          <w:rPr>
            <w:noProof/>
            <w:webHidden/>
          </w:rPr>
          <w:instrText xml:space="preserve"> PAGEREF _Toc504473921 \h </w:instrText>
        </w:r>
        <w:r w:rsidR="00066862">
          <w:rPr>
            <w:noProof/>
            <w:webHidden/>
          </w:rPr>
        </w:r>
        <w:r w:rsidR="00066862">
          <w:rPr>
            <w:noProof/>
            <w:webHidden/>
          </w:rPr>
          <w:fldChar w:fldCharType="separate"/>
        </w:r>
        <w:r w:rsidR="00E27199">
          <w:rPr>
            <w:noProof/>
            <w:webHidden/>
          </w:rPr>
          <w:t>15</w:t>
        </w:r>
        <w:r w:rsidR="00066862">
          <w:rPr>
            <w:noProof/>
            <w:webHidden/>
          </w:rPr>
          <w:fldChar w:fldCharType="end"/>
        </w:r>
      </w:hyperlink>
    </w:p>
    <w:p w14:paraId="69D5FD14" w14:textId="77777777" w:rsidR="00066862" w:rsidRDefault="00A31341">
      <w:pPr>
        <w:pStyle w:val="TOC1"/>
        <w:tabs>
          <w:tab w:val="right" w:leader="dot" w:pos="9350"/>
        </w:tabs>
        <w:rPr>
          <w:rFonts w:asciiTheme="minorHAnsi" w:eastAsiaTheme="minorEastAsia" w:hAnsiTheme="minorHAnsi" w:cstheme="minorBidi"/>
          <w:i w:val="0"/>
          <w:noProof/>
          <w:lang w:eastAsia="en-AU"/>
        </w:rPr>
      </w:pPr>
      <w:hyperlink w:anchor="_Toc504473922" w:history="1">
        <w:r w:rsidR="00066862" w:rsidRPr="00E87423">
          <w:rPr>
            <w:rStyle w:val="Hyperlink"/>
            <w:noProof/>
          </w:rPr>
          <w:t>Waste management policies</w:t>
        </w:r>
        <w:r w:rsidR="00066862">
          <w:rPr>
            <w:noProof/>
            <w:webHidden/>
          </w:rPr>
          <w:tab/>
        </w:r>
        <w:r w:rsidR="00066862">
          <w:rPr>
            <w:noProof/>
            <w:webHidden/>
          </w:rPr>
          <w:fldChar w:fldCharType="begin"/>
        </w:r>
        <w:r w:rsidR="00066862">
          <w:rPr>
            <w:noProof/>
            <w:webHidden/>
          </w:rPr>
          <w:instrText xml:space="preserve"> PAGEREF _Toc504473922 \h </w:instrText>
        </w:r>
        <w:r w:rsidR="00066862">
          <w:rPr>
            <w:noProof/>
            <w:webHidden/>
          </w:rPr>
        </w:r>
        <w:r w:rsidR="00066862">
          <w:rPr>
            <w:noProof/>
            <w:webHidden/>
          </w:rPr>
          <w:fldChar w:fldCharType="separate"/>
        </w:r>
        <w:r w:rsidR="00E27199">
          <w:rPr>
            <w:noProof/>
            <w:webHidden/>
          </w:rPr>
          <w:t>16</w:t>
        </w:r>
        <w:r w:rsidR="00066862">
          <w:rPr>
            <w:noProof/>
            <w:webHidden/>
          </w:rPr>
          <w:fldChar w:fldCharType="end"/>
        </w:r>
      </w:hyperlink>
    </w:p>
    <w:p w14:paraId="515AD356" w14:textId="77777777" w:rsidR="00066862" w:rsidRDefault="00A31341">
      <w:pPr>
        <w:pStyle w:val="TOC1"/>
        <w:tabs>
          <w:tab w:val="right" w:leader="dot" w:pos="9350"/>
        </w:tabs>
        <w:rPr>
          <w:rFonts w:asciiTheme="minorHAnsi" w:eastAsiaTheme="minorEastAsia" w:hAnsiTheme="minorHAnsi" w:cstheme="minorBidi"/>
          <w:i w:val="0"/>
          <w:noProof/>
          <w:lang w:eastAsia="en-AU"/>
        </w:rPr>
      </w:pPr>
      <w:hyperlink w:anchor="_Toc504473923" w:history="1">
        <w:r w:rsidR="00066862" w:rsidRPr="00E87423">
          <w:rPr>
            <w:rStyle w:val="Hyperlink"/>
            <w:noProof/>
          </w:rPr>
          <w:t>Evaluation</w:t>
        </w:r>
        <w:r w:rsidR="00066862">
          <w:rPr>
            <w:noProof/>
            <w:webHidden/>
          </w:rPr>
          <w:tab/>
        </w:r>
        <w:r w:rsidR="00066862">
          <w:rPr>
            <w:noProof/>
            <w:webHidden/>
          </w:rPr>
          <w:fldChar w:fldCharType="begin"/>
        </w:r>
        <w:r w:rsidR="00066862">
          <w:rPr>
            <w:noProof/>
            <w:webHidden/>
          </w:rPr>
          <w:instrText xml:space="preserve"> PAGEREF _Toc504473923 \h </w:instrText>
        </w:r>
        <w:r w:rsidR="00066862">
          <w:rPr>
            <w:noProof/>
            <w:webHidden/>
          </w:rPr>
        </w:r>
        <w:r w:rsidR="00066862">
          <w:rPr>
            <w:noProof/>
            <w:webHidden/>
          </w:rPr>
          <w:fldChar w:fldCharType="separate"/>
        </w:r>
        <w:r w:rsidR="00E27199">
          <w:rPr>
            <w:noProof/>
            <w:webHidden/>
          </w:rPr>
          <w:t>17</w:t>
        </w:r>
        <w:r w:rsidR="00066862">
          <w:rPr>
            <w:noProof/>
            <w:webHidden/>
          </w:rPr>
          <w:fldChar w:fldCharType="end"/>
        </w:r>
      </w:hyperlink>
    </w:p>
    <w:p w14:paraId="246A79BD" w14:textId="77777777" w:rsidR="00066862" w:rsidRDefault="00A31341">
      <w:pPr>
        <w:pStyle w:val="TOC1"/>
        <w:tabs>
          <w:tab w:val="right" w:leader="dot" w:pos="9350"/>
        </w:tabs>
        <w:rPr>
          <w:rFonts w:asciiTheme="minorHAnsi" w:eastAsiaTheme="minorEastAsia" w:hAnsiTheme="minorHAnsi" w:cstheme="minorBidi"/>
          <w:i w:val="0"/>
          <w:noProof/>
          <w:lang w:eastAsia="en-AU"/>
        </w:rPr>
      </w:pPr>
      <w:hyperlink w:anchor="_Toc504473924" w:history="1">
        <w:r w:rsidR="00066862" w:rsidRPr="00E87423">
          <w:rPr>
            <w:rStyle w:val="Hyperlink"/>
            <w:noProof/>
          </w:rPr>
          <w:t>Recommendations</w:t>
        </w:r>
        <w:r w:rsidR="00066862">
          <w:rPr>
            <w:noProof/>
            <w:webHidden/>
          </w:rPr>
          <w:tab/>
        </w:r>
        <w:r w:rsidR="00066862">
          <w:rPr>
            <w:noProof/>
            <w:webHidden/>
          </w:rPr>
          <w:fldChar w:fldCharType="begin"/>
        </w:r>
        <w:r w:rsidR="00066862">
          <w:rPr>
            <w:noProof/>
            <w:webHidden/>
          </w:rPr>
          <w:instrText xml:space="preserve"> PAGEREF _Toc504473924 \h </w:instrText>
        </w:r>
        <w:r w:rsidR="00066862">
          <w:rPr>
            <w:noProof/>
            <w:webHidden/>
          </w:rPr>
        </w:r>
        <w:r w:rsidR="00066862">
          <w:rPr>
            <w:noProof/>
            <w:webHidden/>
          </w:rPr>
          <w:fldChar w:fldCharType="separate"/>
        </w:r>
        <w:r w:rsidR="00E27199">
          <w:rPr>
            <w:noProof/>
            <w:webHidden/>
          </w:rPr>
          <w:t>17</w:t>
        </w:r>
        <w:r w:rsidR="00066862">
          <w:rPr>
            <w:noProof/>
            <w:webHidden/>
          </w:rPr>
          <w:fldChar w:fldCharType="end"/>
        </w:r>
      </w:hyperlink>
    </w:p>
    <w:p w14:paraId="29F2224C" w14:textId="77777777" w:rsidR="00E47927" w:rsidRPr="000C3436" w:rsidRDefault="00F1156F" w:rsidP="00940288">
      <w:pPr>
        <w:rPr>
          <w:rFonts w:cs="Arial"/>
        </w:rPr>
        <w:sectPr w:rsidR="00E47927" w:rsidRPr="000C3436" w:rsidSect="00170172">
          <w:headerReference w:type="default" r:id="rId14"/>
          <w:pgSz w:w="12240" w:h="15840"/>
          <w:pgMar w:top="1440" w:right="1440" w:bottom="1440" w:left="1440" w:header="708" w:footer="708" w:gutter="0"/>
          <w:cols w:space="708"/>
          <w:docGrid w:linePitch="360"/>
        </w:sectPr>
      </w:pPr>
      <w:r w:rsidRPr="000C3436">
        <w:rPr>
          <w:rFonts w:cs="Arial"/>
        </w:rPr>
        <w:fldChar w:fldCharType="end"/>
      </w:r>
    </w:p>
    <w:p w14:paraId="76F3BC33" w14:textId="77777777" w:rsidR="002431F0" w:rsidRDefault="00CB5C84" w:rsidP="00066862">
      <w:pPr>
        <w:pStyle w:val="Heading1"/>
        <w:numPr>
          <w:ilvl w:val="0"/>
          <w:numId w:val="0"/>
        </w:numPr>
        <w:spacing w:before="0" w:after="0" w:line="240" w:lineRule="auto"/>
      </w:pPr>
      <w:bookmarkStart w:id="0" w:name="_Toc248038849"/>
      <w:bookmarkStart w:id="1" w:name="_Toc504473907"/>
      <w:r>
        <w:lastRenderedPageBreak/>
        <w:t>Executive s</w:t>
      </w:r>
      <w:r w:rsidR="00207081" w:rsidRPr="00A86F9C">
        <w:t>ummary</w:t>
      </w:r>
      <w:bookmarkEnd w:id="0"/>
      <w:bookmarkEnd w:id="1"/>
    </w:p>
    <w:p w14:paraId="491A84CB" w14:textId="7F87EAE2" w:rsidR="00207081" w:rsidRPr="00066862" w:rsidRDefault="00F1156F" w:rsidP="00066862">
      <w:pPr>
        <w:pStyle w:val="Heading1"/>
        <w:numPr>
          <w:ilvl w:val="0"/>
          <w:numId w:val="0"/>
        </w:numPr>
        <w:spacing w:before="0" w:after="0" w:line="240" w:lineRule="auto"/>
        <w:rPr>
          <w:sz w:val="16"/>
          <w:szCs w:val="16"/>
        </w:rPr>
      </w:pPr>
      <w:r w:rsidRPr="00066862">
        <w:rPr>
          <w:sz w:val="16"/>
          <w:szCs w:val="16"/>
        </w:rPr>
        <w:fldChar w:fldCharType="begin"/>
      </w:r>
      <w:r w:rsidR="00AD6A6E" w:rsidRPr="00066862">
        <w:rPr>
          <w:sz w:val="16"/>
          <w:szCs w:val="16"/>
        </w:rPr>
        <w:instrText xml:space="preserve"> XE "1 Executive Summary" </w:instrText>
      </w:r>
      <w:r w:rsidRPr="00066862">
        <w:rPr>
          <w:sz w:val="16"/>
          <w:szCs w:val="16"/>
        </w:rPr>
        <w:fldChar w:fldCharType="end"/>
      </w:r>
      <w:r w:rsidRPr="00066862">
        <w:rPr>
          <w:sz w:val="16"/>
          <w:szCs w:val="16"/>
        </w:rPr>
        <w:fldChar w:fldCharType="begin"/>
      </w:r>
      <w:r w:rsidR="00CA0701" w:rsidRPr="00066862">
        <w:rPr>
          <w:sz w:val="16"/>
          <w:szCs w:val="16"/>
        </w:rPr>
        <w:instrText xml:space="preserve"> XE "1 Executive Summary" </w:instrText>
      </w:r>
      <w:r w:rsidRPr="00066862">
        <w:rPr>
          <w:sz w:val="16"/>
          <w:szCs w:val="16"/>
        </w:rPr>
        <w:fldChar w:fldCharType="end"/>
      </w:r>
    </w:p>
    <w:p w14:paraId="196528A7" w14:textId="77777777" w:rsidR="004671ED" w:rsidRDefault="004671ED" w:rsidP="00066862">
      <w:pPr>
        <w:spacing w:after="0"/>
        <w:ind w:right="158"/>
        <w:rPr>
          <w:rFonts w:cs="Arial"/>
        </w:rPr>
      </w:pPr>
      <w:r>
        <w:rPr>
          <w:rFonts w:cs="Arial"/>
        </w:rPr>
        <w:t xml:space="preserve">The Victorian Labor Party committed to </w:t>
      </w:r>
      <w:r w:rsidR="00486EA2">
        <w:rPr>
          <w:rFonts w:cs="Arial"/>
        </w:rPr>
        <w:t>an e-waste</w:t>
      </w:r>
      <w:r>
        <w:rPr>
          <w:rFonts w:cs="Arial"/>
        </w:rPr>
        <w:t xml:space="preserve"> landfill </w:t>
      </w:r>
      <w:r w:rsidR="00486EA2">
        <w:rPr>
          <w:rFonts w:cs="Arial"/>
        </w:rPr>
        <w:t xml:space="preserve">ban </w:t>
      </w:r>
      <w:r w:rsidR="00B42792">
        <w:rPr>
          <w:rFonts w:cs="Arial"/>
        </w:rPr>
        <w:t xml:space="preserve">in the lead up to the 2014 </w:t>
      </w:r>
      <w:r>
        <w:rPr>
          <w:rFonts w:cs="Arial"/>
        </w:rPr>
        <w:t>state election. While the</w:t>
      </w:r>
      <w:r w:rsidR="00B42792">
        <w:rPr>
          <w:rFonts w:cs="Arial"/>
        </w:rPr>
        <w:t xml:space="preserve"> Municipal Association of Victoria (</w:t>
      </w:r>
      <w:r>
        <w:rPr>
          <w:rFonts w:cs="Arial"/>
        </w:rPr>
        <w:t>MAV</w:t>
      </w:r>
      <w:r w:rsidR="00B42792">
        <w:rPr>
          <w:rFonts w:cs="Arial"/>
        </w:rPr>
        <w:t>)</w:t>
      </w:r>
      <w:r>
        <w:rPr>
          <w:rFonts w:cs="Arial"/>
        </w:rPr>
        <w:t xml:space="preserve"> strongly supports the goal of reducing waste to landfill, </w:t>
      </w:r>
      <w:r w:rsidR="003301BA">
        <w:rPr>
          <w:rFonts w:cs="Arial"/>
        </w:rPr>
        <w:t>it</w:t>
      </w:r>
      <w:r>
        <w:rPr>
          <w:rFonts w:cs="Arial"/>
        </w:rPr>
        <w:t xml:space="preserve"> </w:t>
      </w:r>
      <w:r w:rsidR="002F27BA">
        <w:rPr>
          <w:rFonts w:cs="Arial"/>
        </w:rPr>
        <w:t xml:space="preserve">is concerning </w:t>
      </w:r>
      <w:r>
        <w:rPr>
          <w:rFonts w:cs="Arial"/>
        </w:rPr>
        <w:t xml:space="preserve">that such a commitment was made prior to a public examination of the implications of such a ban, including the various costs and benefits. </w:t>
      </w:r>
    </w:p>
    <w:p w14:paraId="23CD05ED" w14:textId="77777777" w:rsidR="00066862" w:rsidRDefault="00066862" w:rsidP="002431F0">
      <w:pPr>
        <w:spacing w:after="0" w:line="277" w:lineRule="auto"/>
        <w:ind w:right="158"/>
        <w:rPr>
          <w:rFonts w:cs="Arial"/>
        </w:rPr>
      </w:pPr>
    </w:p>
    <w:p w14:paraId="58D55E64" w14:textId="77777777" w:rsidR="004671ED" w:rsidRDefault="004671ED" w:rsidP="004671ED">
      <w:pPr>
        <w:spacing w:line="277" w:lineRule="auto"/>
        <w:ind w:right="158"/>
        <w:rPr>
          <w:rFonts w:cs="Arial"/>
        </w:rPr>
      </w:pPr>
      <w:r>
        <w:rPr>
          <w:rFonts w:cs="Arial"/>
        </w:rPr>
        <w:t>The Policy Impact Assessment (PIA) recently released by</w:t>
      </w:r>
      <w:r w:rsidR="00B42792">
        <w:rPr>
          <w:rFonts w:cs="Arial"/>
        </w:rPr>
        <w:t xml:space="preserve"> the Department of Environment, Land, Water and Planning </w:t>
      </w:r>
      <w:r>
        <w:rPr>
          <w:rFonts w:cs="Arial"/>
        </w:rPr>
        <w:t xml:space="preserve">confirms our fears that that government </w:t>
      </w:r>
      <w:r w:rsidR="00B42792">
        <w:rPr>
          <w:rFonts w:cs="Arial"/>
        </w:rPr>
        <w:t>intends</w:t>
      </w:r>
      <w:r>
        <w:rPr>
          <w:rFonts w:cs="Arial"/>
        </w:rPr>
        <w:t xml:space="preserve"> to implement a policy that will potentially deliver few benefits at significant cost to councils and ratepayers. </w:t>
      </w:r>
    </w:p>
    <w:p w14:paraId="0C93065C" w14:textId="77777777" w:rsidR="00EA4326" w:rsidRDefault="00F76DA8" w:rsidP="00EA4326">
      <w:pPr>
        <w:tabs>
          <w:tab w:val="left" w:pos="2955"/>
        </w:tabs>
        <w:rPr>
          <w:rFonts w:cs="Arial"/>
        </w:rPr>
      </w:pPr>
      <w:r>
        <w:rPr>
          <w:rFonts w:cs="Arial"/>
        </w:rPr>
        <w:t xml:space="preserve">The MAV strongly believes </w:t>
      </w:r>
      <w:r w:rsidR="00B85B22">
        <w:rPr>
          <w:rFonts w:cs="Arial"/>
        </w:rPr>
        <w:t xml:space="preserve">the principle of </w:t>
      </w:r>
      <w:r>
        <w:rPr>
          <w:rFonts w:cs="Arial"/>
        </w:rPr>
        <w:t xml:space="preserve">product stewardship should underpin any e-waste landfill ban in Victoria. </w:t>
      </w:r>
      <w:r w:rsidR="00EA4326">
        <w:rPr>
          <w:rFonts w:cs="Arial"/>
        </w:rPr>
        <w:t xml:space="preserve">Product stewardship approaches </w:t>
      </w:r>
      <w:r w:rsidR="00486EA2">
        <w:rPr>
          <w:rFonts w:cs="Arial"/>
        </w:rPr>
        <w:t xml:space="preserve">are preferable because </w:t>
      </w:r>
      <w:r w:rsidR="004671ED">
        <w:rPr>
          <w:rFonts w:cs="Arial"/>
        </w:rPr>
        <w:t xml:space="preserve">they help ensure that most of </w:t>
      </w:r>
      <w:r w:rsidR="00744008">
        <w:rPr>
          <w:rFonts w:cs="Arial"/>
        </w:rPr>
        <w:t>the cost of e-waste recovery is</w:t>
      </w:r>
      <w:r w:rsidR="004671ED">
        <w:rPr>
          <w:rFonts w:cs="Arial"/>
        </w:rPr>
        <w:t xml:space="preserve"> </w:t>
      </w:r>
      <w:r w:rsidR="004671ED" w:rsidRPr="004671ED">
        <w:rPr>
          <w:rFonts w:cs="Arial"/>
        </w:rPr>
        <w:t xml:space="preserve">borne by those </w:t>
      </w:r>
      <w:r w:rsidR="004671ED">
        <w:rPr>
          <w:rFonts w:cs="Arial"/>
        </w:rPr>
        <w:t xml:space="preserve">importing, </w:t>
      </w:r>
      <w:r w:rsidR="004671ED" w:rsidRPr="004671ED">
        <w:rPr>
          <w:rFonts w:cs="Arial"/>
        </w:rPr>
        <w:t>produc</w:t>
      </w:r>
      <w:r w:rsidR="00486EA2">
        <w:rPr>
          <w:rFonts w:cs="Arial"/>
        </w:rPr>
        <w:t xml:space="preserve">ing, selling and purchasing </w:t>
      </w:r>
      <w:r w:rsidR="004671ED" w:rsidRPr="004671ED">
        <w:rPr>
          <w:rFonts w:cs="Arial"/>
        </w:rPr>
        <w:t>electronic goods</w:t>
      </w:r>
      <w:r w:rsidR="004671ED">
        <w:rPr>
          <w:rFonts w:cs="Arial"/>
        </w:rPr>
        <w:t xml:space="preserve">, instead of by ratepayers more broadly. </w:t>
      </w:r>
      <w:r w:rsidR="00EA4326">
        <w:rPr>
          <w:rFonts w:cs="Arial"/>
        </w:rPr>
        <w:t>They</w:t>
      </w:r>
      <w:r w:rsidR="004671ED">
        <w:rPr>
          <w:rFonts w:cs="Arial"/>
        </w:rPr>
        <w:t xml:space="preserve"> </w:t>
      </w:r>
      <w:r w:rsidR="00EA4326">
        <w:rPr>
          <w:rFonts w:cs="Arial"/>
        </w:rPr>
        <w:t>also have the ability to</w:t>
      </w:r>
      <w:r w:rsidR="00B85B22">
        <w:rPr>
          <w:rFonts w:cs="Arial"/>
        </w:rPr>
        <w:t xml:space="preserve"> </w:t>
      </w:r>
      <w:r w:rsidR="00C832C0">
        <w:rPr>
          <w:rFonts w:cs="Arial"/>
        </w:rPr>
        <w:t xml:space="preserve">drive industry to factor in end-of-life considerations into their product design. </w:t>
      </w:r>
    </w:p>
    <w:p w14:paraId="7F67BDB3" w14:textId="77777777" w:rsidR="004671ED" w:rsidRPr="004671ED" w:rsidRDefault="00C832C0" w:rsidP="00EA4326">
      <w:pPr>
        <w:tabs>
          <w:tab w:val="left" w:pos="2955"/>
        </w:tabs>
        <w:rPr>
          <w:rFonts w:cs="Arial"/>
        </w:rPr>
      </w:pPr>
      <w:r>
        <w:rPr>
          <w:rFonts w:cs="Arial"/>
        </w:rPr>
        <w:t>Victorian councils already participate in a number of product stewardship schemes, including for televisions, computers and computer paraphernalia, batteries, mobile phones</w:t>
      </w:r>
      <w:r w:rsidR="00F76DA8">
        <w:rPr>
          <w:rFonts w:cs="Arial"/>
        </w:rPr>
        <w:t>,</w:t>
      </w:r>
      <w:r>
        <w:rPr>
          <w:rFonts w:cs="Arial"/>
        </w:rPr>
        <w:t xml:space="preserve"> and printer cartridges</w:t>
      </w:r>
      <w:r w:rsidR="00A65F10">
        <w:rPr>
          <w:rFonts w:cs="Arial"/>
        </w:rPr>
        <w:t xml:space="preserve">. </w:t>
      </w:r>
      <w:r w:rsidR="00EA4326">
        <w:rPr>
          <w:rFonts w:cs="Arial"/>
        </w:rPr>
        <w:t xml:space="preserve">Councils have made clear that they would similarly support schemes for a broader array of e-waste, and they </w:t>
      </w:r>
      <w:r w:rsidR="00744008">
        <w:rPr>
          <w:rFonts w:cs="Arial"/>
        </w:rPr>
        <w:t>welcome</w:t>
      </w:r>
      <w:r>
        <w:rPr>
          <w:rFonts w:cs="Arial"/>
        </w:rPr>
        <w:t xml:space="preserve"> and applaud the Victorian government’s efforts to establish a </w:t>
      </w:r>
      <w:r w:rsidR="00744008">
        <w:rPr>
          <w:rFonts w:cs="Arial"/>
        </w:rPr>
        <w:t xml:space="preserve">product stewardship </w:t>
      </w:r>
      <w:r w:rsidR="002F27BA">
        <w:rPr>
          <w:rFonts w:cs="Arial"/>
        </w:rPr>
        <w:t>scheme for</w:t>
      </w:r>
      <w:r w:rsidR="00235AC2">
        <w:rPr>
          <w:rFonts w:cs="Arial"/>
        </w:rPr>
        <w:t xml:space="preserve"> </w:t>
      </w:r>
      <w:r>
        <w:rPr>
          <w:rFonts w:cs="Arial"/>
        </w:rPr>
        <w:t xml:space="preserve">photovoltaic (PV) panels. </w:t>
      </w:r>
    </w:p>
    <w:p w14:paraId="49E58AC4" w14:textId="0AA8B785" w:rsidR="004C3A41" w:rsidRDefault="00C832C0" w:rsidP="004C3A41">
      <w:pPr>
        <w:tabs>
          <w:tab w:val="left" w:pos="363"/>
        </w:tabs>
        <w:spacing w:after="0"/>
        <w:rPr>
          <w:rFonts w:cs="Arial"/>
        </w:rPr>
      </w:pPr>
      <w:r>
        <w:rPr>
          <w:rFonts w:cs="Arial"/>
        </w:rPr>
        <w:t xml:space="preserve">The government has made clear that it intends to introduce its landfill ban on 1 July 2018. </w:t>
      </w:r>
      <w:r w:rsidR="004B503E">
        <w:rPr>
          <w:rFonts w:cs="Arial"/>
        </w:rPr>
        <w:t xml:space="preserve">This </w:t>
      </w:r>
      <w:r w:rsidR="00486EA2">
        <w:rPr>
          <w:rFonts w:cs="Arial"/>
        </w:rPr>
        <w:t xml:space="preserve">is highly concerning given </w:t>
      </w:r>
      <w:r w:rsidR="004B503E">
        <w:rPr>
          <w:rFonts w:cs="Arial"/>
        </w:rPr>
        <w:t xml:space="preserve">issues and challenges </w:t>
      </w:r>
      <w:r w:rsidR="00486EA2">
        <w:rPr>
          <w:rFonts w:cs="Arial"/>
        </w:rPr>
        <w:t xml:space="preserve">highlighted by the PIA </w:t>
      </w:r>
      <w:r w:rsidR="004B503E">
        <w:rPr>
          <w:rFonts w:cs="Arial"/>
        </w:rPr>
        <w:t xml:space="preserve">that still need to be worked through. </w:t>
      </w:r>
    </w:p>
    <w:p w14:paraId="06095C18" w14:textId="77777777" w:rsidR="004C3A41" w:rsidRDefault="004C3A41" w:rsidP="004C3A41">
      <w:pPr>
        <w:tabs>
          <w:tab w:val="left" w:pos="363"/>
        </w:tabs>
        <w:spacing w:after="0"/>
        <w:rPr>
          <w:rFonts w:cs="Arial"/>
        </w:rPr>
      </w:pPr>
    </w:p>
    <w:p w14:paraId="609F650E" w14:textId="79B5C14C" w:rsidR="00C71147" w:rsidRDefault="000171B5" w:rsidP="00235AC2">
      <w:pPr>
        <w:tabs>
          <w:tab w:val="left" w:pos="363"/>
        </w:tabs>
        <w:rPr>
          <w:rFonts w:cs="Arial"/>
        </w:rPr>
      </w:pPr>
      <w:r>
        <w:rPr>
          <w:rFonts w:cs="Arial"/>
        </w:rPr>
        <w:t>It is clear from t</w:t>
      </w:r>
      <w:r w:rsidR="00235AC2">
        <w:rPr>
          <w:rFonts w:cs="Arial"/>
        </w:rPr>
        <w:t>he PIA</w:t>
      </w:r>
      <w:r>
        <w:rPr>
          <w:rFonts w:cs="Arial"/>
        </w:rPr>
        <w:t xml:space="preserve"> that implementation of the ban will result in substantial </w:t>
      </w:r>
      <w:r w:rsidR="002F27BA">
        <w:rPr>
          <w:rFonts w:cs="Arial"/>
        </w:rPr>
        <w:t xml:space="preserve">known and </w:t>
      </w:r>
      <w:r>
        <w:rPr>
          <w:rFonts w:cs="Arial"/>
        </w:rPr>
        <w:t>unknown additional cost</w:t>
      </w:r>
      <w:r w:rsidR="00EA4326">
        <w:rPr>
          <w:rFonts w:cs="Arial"/>
        </w:rPr>
        <w:t>s</w:t>
      </w:r>
      <w:r>
        <w:rPr>
          <w:rFonts w:cs="Arial"/>
        </w:rPr>
        <w:t xml:space="preserve"> to councils and ratepayers. Councils will need to update w</w:t>
      </w:r>
      <w:r w:rsidR="004C3A41">
        <w:rPr>
          <w:rFonts w:cs="Arial"/>
        </w:rPr>
        <w:t xml:space="preserve">aste management plans, </w:t>
      </w:r>
      <w:r>
        <w:rPr>
          <w:rFonts w:cs="Arial"/>
        </w:rPr>
        <w:t>renegotiate</w:t>
      </w:r>
      <w:r w:rsidR="004C3A41">
        <w:rPr>
          <w:rFonts w:cs="Arial"/>
        </w:rPr>
        <w:t xml:space="preserve"> and </w:t>
      </w:r>
      <w:r>
        <w:rPr>
          <w:rFonts w:cs="Arial"/>
        </w:rPr>
        <w:t xml:space="preserve">enter into </w:t>
      </w:r>
      <w:r w:rsidR="004C3A41">
        <w:rPr>
          <w:rFonts w:cs="Arial"/>
        </w:rPr>
        <w:t xml:space="preserve">new </w:t>
      </w:r>
      <w:r w:rsidR="00AD3693">
        <w:rPr>
          <w:rFonts w:cs="Arial"/>
        </w:rPr>
        <w:t>contracts,</w:t>
      </w:r>
      <w:r>
        <w:rPr>
          <w:rFonts w:cs="Arial"/>
        </w:rPr>
        <w:t xml:space="preserve"> upgrade waste infrastructure</w:t>
      </w:r>
      <w:r w:rsidR="004C3A41">
        <w:rPr>
          <w:rFonts w:cs="Arial"/>
        </w:rPr>
        <w:t>,</w:t>
      </w:r>
      <w:r>
        <w:rPr>
          <w:rFonts w:cs="Arial"/>
        </w:rPr>
        <w:t xml:space="preserve"> increase staffing at transfer station collection points,</w:t>
      </w:r>
      <w:r w:rsidR="004C3A41">
        <w:rPr>
          <w:rFonts w:cs="Arial"/>
        </w:rPr>
        <w:t xml:space="preserve"> and </w:t>
      </w:r>
      <w:r>
        <w:rPr>
          <w:rFonts w:cs="Arial"/>
        </w:rPr>
        <w:t xml:space="preserve">rework council waste </w:t>
      </w:r>
      <w:r w:rsidR="004C3A41">
        <w:rPr>
          <w:rFonts w:cs="Arial"/>
        </w:rPr>
        <w:t xml:space="preserve">information and </w:t>
      </w:r>
      <w:r>
        <w:rPr>
          <w:rFonts w:cs="Arial"/>
        </w:rPr>
        <w:t>education materials</w:t>
      </w:r>
      <w:r w:rsidR="004C3A41">
        <w:rPr>
          <w:rFonts w:cs="Arial"/>
        </w:rPr>
        <w:t xml:space="preserve">. </w:t>
      </w:r>
      <w:r>
        <w:rPr>
          <w:rFonts w:cs="Arial"/>
        </w:rPr>
        <w:t>T</w:t>
      </w:r>
      <w:r w:rsidR="00D823E7">
        <w:rPr>
          <w:rFonts w:cs="Arial"/>
        </w:rPr>
        <w:t xml:space="preserve">he bulk of these costs </w:t>
      </w:r>
      <w:r>
        <w:rPr>
          <w:rFonts w:cs="Arial"/>
        </w:rPr>
        <w:t xml:space="preserve">councils are expected to accept </w:t>
      </w:r>
      <w:r w:rsidR="004C3A41">
        <w:rPr>
          <w:rFonts w:cs="Arial"/>
        </w:rPr>
        <w:t xml:space="preserve">without any support from the </w:t>
      </w:r>
      <w:r w:rsidR="008A2E60">
        <w:rPr>
          <w:rFonts w:cs="Arial"/>
        </w:rPr>
        <w:t>S</w:t>
      </w:r>
      <w:r w:rsidR="004C3A41">
        <w:rPr>
          <w:rFonts w:cs="Arial"/>
        </w:rPr>
        <w:t>tate. P</w:t>
      </w:r>
      <w:r w:rsidR="004B503E">
        <w:rPr>
          <w:rFonts w:cs="Arial"/>
        </w:rPr>
        <w:t>ut simply, this is a cost shift to councils.</w:t>
      </w:r>
      <w:r w:rsidR="00C71147">
        <w:rPr>
          <w:rFonts w:cs="Arial"/>
        </w:rPr>
        <w:t xml:space="preserve"> In a rate-capping environment, </w:t>
      </w:r>
      <w:r w:rsidR="00066862">
        <w:rPr>
          <w:rFonts w:cs="Arial"/>
        </w:rPr>
        <w:t xml:space="preserve">the State should be clear that </w:t>
      </w:r>
      <w:r w:rsidR="00C71147">
        <w:rPr>
          <w:rFonts w:cs="Arial"/>
        </w:rPr>
        <w:t xml:space="preserve">these new and additional costs will place pressure on other council services. </w:t>
      </w:r>
    </w:p>
    <w:p w14:paraId="2772F1FB" w14:textId="4F86169F" w:rsidR="004B503E" w:rsidRPr="00235AC2" w:rsidRDefault="004C3A41" w:rsidP="00235AC2">
      <w:pPr>
        <w:tabs>
          <w:tab w:val="left" w:pos="363"/>
        </w:tabs>
        <w:rPr>
          <w:rFonts w:cs="Arial"/>
        </w:rPr>
      </w:pPr>
      <w:r>
        <w:rPr>
          <w:rFonts w:cs="Arial"/>
        </w:rPr>
        <w:t xml:space="preserve">The PIA </w:t>
      </w:r>
      <w:r w:rsidR="00BA1915">
        <w:rPr>
          <w:rFonts w:cs="Arial"/>
        </w:rPr>
        <w:t xml:space="preserve">notes that </w:t>
      </w:r>
      <w:r w:rsidR="00235AC2">
        <w:rPr>
          <w:rFonts w:cs="Arial"/>
        </w:rPr>
        <w:t xml:space="preserve">provision of an easily </w:t>
      </w:r>
      <w:r w:rsidR="00AD3693">
        <w:rPr>
          <w:rFonts w:cs="Arial"/>
        </w:rPr>
        <w:t>accessible</w:t>
      </w:r>
      <w:r w:rsidR="00235AC2">
        <w:rPr>
          <w:rFonts w:cs="Arial"/>
        </w:rPr>
        <w:t xml:space="preserve"> and </w:t>
      </w:r>
      <w:r w:rsidR="004B503E" w:rsidRPr="00235AC2">
        <w:rPr>
          <w:rFonts w:cs="Arial"/>
        </w:rPr>
        <w:t xml:space="preserve">convenient </w:t>
      </w:r>
      <w:r w:rsidR="00AD3693">
        <w:rPr>
          <w:rFonts w:cs="Arial"/>
        </w:rPr>
        <w:t>network</w:t>
      </w:r>
      <w:r w:rsidR="00235AC2">
        <w:rPr>
          <w:rFonts w:cs="Arial"/>
        </w:rPr>
        <w:t xml:space="preserve"> of </w:t>
      </w:r>
      <w:r w:rsidR="004B503E" w:rsidRPr="00235AC2">
        <w:rPr>
          <w:rFonts w:cs="Arial"/>
        </w:rPr>
        <w:t xml:space="preserve">collection </w:t>
      </w:r>
      <w:r w:rsidR="00235AC2">
        <w:rPr>
          <w:rFonts w:cs="Arial"/>
        </w:rPr>
        <w:t>point</w:t>
      </w:r>
      <w:r w:rsidR="00B42792">
        <w:rPr>
          <w:rFonts w:cs="Arial"/>
        </w:rPr>
        <w:t>s</w:t>
      </w:r>
      <w:r w:rsidR="00235AC2">
        <w:rPr>
          <w:rFonts w:cs="Arial"/>
        </w:rPr>
        <w:t xml:space="preserve"> will be</w:t>
      </w:r>
      <w:r w:rsidR="004B503E" w:rsidRPr="00235AC2">
        <w:rPr>
          <w:rFonts w:cs="Arial"/>
        </w:rPr>
        <w:t xml:space="preserve"> essential </w:t>
      </w:r>
      <w:r w:rsidR="00235AC2">
        <w:rPr>
          <w:rFonts w:cs="Arial"/>
        </w:rPr>
        <w:t>to the success of the ban</w:t>
      </w:r>
      <w:r w:rsidR="00BA1915">
        <w:rPr>
          <w:rFonts w:cs="Arial"/>
        </w:rPr>
        <w:t>. Despite this</w:t>
      </w:r>
      <w:r w:rsidR="00235AC2">
        <w:rPr>
          <w:rFonts w:cs="Arial"/>
        </w:rPr>
        <w:t xml:space="preserve">, </w:t>
      </w:r>
      <w:r w:rsidR="004B503E" w:rsidRPr="00235AC2">
        <w:rPr>
          <w:rFonts w:cs="Arial"/>
        </w:rPr>
        <w:t xml:space="preserve">it is clear that </w:t>
      </w:r>
      <w:r w:rsidR="000171B5">
        <w:rPr>
          <w:rFonts w:cs="Arial"/>
        </w:rPr>
        <w:t xml:space="preserve">the </w:t>
      </w:r>
      <w:r w:rsidR="00EE3F6A">
        <w:rPr>
          <w:rFonts w:cs="Arial"/>
        </w:rPr>
        <w:t xml:space="preserve">State intends to introduce the </w:t>
      </w:r>
      <w:r w:rsidR="000171B5">
        <w:rPr>
          <w:rFonts w:cs="Arial"/>
        </w:rPr>
        <w:t xml:space="preserve">ban </w:t>
      </w:r>
      <w:r w:rsidR="00EE3F6A">
        <w:rPr>
          <w:rFonts w:cs="Arial"/>
        </w:rPr>
        <w:t>b</w:t>
      </w:r>
      <w:r w:rsidR="000171B5">
        <w:rPr>
          <w:rFonts w:cs="Arial"/>
        </w:rPr>
        <w:t>efore all of the necessary</w:t>
      </w:r>
      <w:r w:rsidR="000171B5" w:rsidRPr="00583FD4">
        <w:rPr>
          <w:rFonts w:cs="Arial"/>
        </w:rPr>
        <w:t xml:space="preserve"> e-waste infrastructure and collection points are in place</w:t>
      </w:r>
      <w:r w:rsidR="004B503E" w:rsidRPr="00235AC2">
        <w:rPr>
          <w:rFonts w:cs="Arial"/>
        </w:rPr>
        <w:t>.  S</w:t>
      </w:r>
      <w:r w:rsidR="00B42792">
        <w:rPr>
          <w:rFonts w:cs="Arial"/>
        </w:rPr>
        <w:t xml:space="preserve">ustainability </w:t>
      </w:r>
      <w:r w:rsidR="004B503E" w:rsidRPr="00235AC2">
        <w:rPr>
          <w:rFonts w:cs="Arial"/>
        </w:rPr>
        <w:t>V</w:t>
      </w:r>
      <w:r w:rsidR="00B42792">
        <w:rPr>
          <w:rFonts w:cs="Arial"/>
        </w:rPr>
        <w:t>ictoria</w:t>
      </w:r>
      <w:r w:rsidR="00BA1915">
        <w:rPr>
          <w:rFonts w:cs="Arial"/>
        </w:rPr>
        <w:t xml:space="preserve">’s </w:t>
      </w:r>
      <w:r w:rsidR="004B503E" w:rsidRPr="00235AC2">
        <w:rPr>
          <w:rFonts w:cs="Arial"/>
        </w:rPr>
        <w:t>$15 million</w:t>
      </w:r>
      <w:r w:rsidR="00486EA2" w:rsidRPr="00235AC2">
        <w:rPr>
          <w:rFonts w:cs="Arial"/>
        </w:rPr>
        <w:t xml:space="preserve"> e-waste</w:t>
      </w:r>
      <w:r w:rsidR="004B503E" w:rsidRPr="00235AC2">
        <w:rPr>
          <w:rFonts w:cs="Arial"/>
        </w:rPr>
        <w:t xml:space="preserve"> infrastructure upgrade program will not be rolled out until after 1 July 2018. As a result</w:t>
      </w:r>
      <w:r w:rsidR="00BA1915">
        <w:rPr>
          <w:rFonts w:cs="Arial"/>
        </w:rPr>
        <w:t xml:space="preserve"> many council transfer stations, upon which the ban relies, </w:t>
      </w:r>
      <w:r w:rsidR="004B503E" w:rsidRPr="00235AC2">
        <w:rPr>
          <w:rFonts w:cs="Arial"/>
        </w:rPr>
        <w:t xml:space="preserve">will not meet the relevant standards for safe handling and storage </w:t>
      </w:r>
      <w:r w:rsidR="00923D15">
        <w:rPr>
          <w:rFonts w:cs="Arial"/>
        </w:rPr>
        <w:t xml:space="preserve">for e-waste </w:t>
      </w:r>
      <w:r w:rsidR="00EE3F6A">
        <w:rPr>
          <w:rFonts w:cs="Arial"/>
        </w:rPr>
        <w:t>when the ban enters into force</w:t>
      </w:r>
      <w:r w:rsidR="004B503E" w:rsidRPr="00235AC2">
        <w:rPr>
          <w:rFonts w:cs="Arial"/>
        </w:rPr>
        <w:t>. Councils without transfer stations or with populations not easily able to access transfer stations will likely need to establish and manage alternative collection points at their own cost.</w:t>
      </w:r>
    </w:p>
    <w:p w14:paraId="7FB9FDA6" w14:textId="00AD5F61" w:rsidR="004B503E" w:rsidRPr="00235AC2" w:rsidRDefault="00AD3693" w:rsidP="00235AC2">
      <w:pPr>
        <w:tabs>
          <w:tab w:val="left" w:pos="363"/>
        </w:tabs>
        <w:rPr>
          <w:rFonts w:cs="Arial"/>
        </w:rPr>
      </w:pPr>
      <w:r>
        <w:rPr>
          <w:rFonts w:cs="Arial"/>
        </w:rPr>
        <w:t>Recent</w:t>
      </w:r>
      <w:r w:rsidR="00BA1915">
        <w:rPr>
          <w:rFonts w:cs="Arial"/>
        </w:rPr>
        <w:t xml:space="preserve"> research undertaken</w:t>
      </w:r>
      <w:r w:rsidR="003301BA">
        <w:rPr>
          <w:rFonts w:cs="Arial"/>
        </w:rPr>
        <w:t xml:space="preserve"> by Behaviour</w:t>
      </w:r>
      <w:r w:rsidR="00BA1915">
        <w:rPr>
          <w:rFonts w:cs="Arial"/>
        </w:rPr>
        <w:t>Works</w:t>
      </w:r>
      <w:r w:rsidR="0039735A">
        <w:rPr>
          <w:rFonts w:cs="Arial"/>
        </w:rPr>
        <w:t xml:space="preserve"> Australia</w:t>
      </w:r>
      <w:r w:rsidR="008A2E60">
        <w:rPr>
          <w:rFonts w:cs="Arial"/>
        </w:rPr>
        <w:t xml:space="preserve"> for the S</w:t>
      </w:r>
      <w:r w:rsidR="00BA1915">
        <w:rPr>
          <w:rFonts w:cs="Arial"/>
        </w:rPr>
        <w:t xml:space="preserve">tate found that </w:t>
      </w:r>
      <w:r w:rsidR="00923D15">
        <w:rPr>
          <w:rFonts w:cs="Arial"/>
        </w:rPr>
        <w:t>most Victorians don’t</w:t>
      </w:r>
      <w:r w:rsidR="004B503E" w:rsidRPr="00235AC2">
        <w:rPr>
          <w:rFonts w:cs="Arial"/>
        </w:rPr>
        <w:t xml:space="preserve"> know what “e-waste” is let alone how to safely dispose of it</w:t>
      </w:r>
      <w:r w:rsidR="00BA1915">
        <w:rPr>
          <w:rFonts w:cs="Arial"/>
        </w:rPr>
        <w:t xml:space="preserve">. </w:t>
      </w:r>
      <w:r w:rsidR="00923D15">
        <w:rPr>
          <w:rFonts w:cs="Arial"/>
        </w:rPr>
        <w:t>Citing this research, t</w:t>
      </w:r>
      <w:r w:rsidR="00BA1915">
        <w:rPr>
          <w:rFonts w:cs="Arial"/>
        </w:rPr>
        <w:t xml:space="preserve">he PIA notes that a </w:t>
      </w:r>
      <w:r w:rsidR="00BA1915">
        <w:rPr>
          <w:rFonts w:cs="Arial"/>
        </w:rPr>
        <w:lastRenderedPageBreak/>
        <w:t xml:space="preserve">comprehensive </w:t>
      </w:r>
      <w:r w:rsidR="00923D15">
        <w:rPr>
          <w:rFonts w:cs="Arial"/>
        </w:rPr>
        <w:t xml:space="preserve">and ongoing </w:t>
      </w:r>
      <w:r w:rsidR="00BA1915">
        <w:rPr>
          <w:rFonts w:cs="Arial"/>
        </w:rPr>
        <w:t xml:space="preserve">education campaign will be </w:t>
      </w:r>
      <w:r>
        <w:rPr>
          <w:rFonts w:cs="Arial"/>
        </w:rPr>
        <w:t>critical</w:t>
      </w:r>
      <w:r w:rsidR="00BA1915">
        <w:rPr>
          <w:rFonts w:cs="Arial"/>
        </w:rPr>
        <w:t xml:space="preserve"> to help Victorians understand their obligations under the ban. Despite this</w:t>
      </w:r>
      <w:r w:rsidR="004B503E" w:rsidRPr="00235AC2">
        <w:rPr>
          <w:rFonts w:cs="Arial"/>
        </w:rPr>
        <w:t xml:space="preserve">, </w:t>
      </w:r>
      <w:r w:rsidR="00BA1915">
        <w:rPr>
          <w:rFonts w:cs="Arial"/>
        </w:rPr>
        <w:t xml:space="preserve">the government has allocated </w:t>
      </w:r>
      <w:r w:rsidR="004B503E" w:rsidRPr="00235AC2">
        <w:rPr>
          <w:rFonts w:cs="Arial"/>
        </w:rPr>
        <w:t>a mere $1.5 million dollars over three year</w:t>
      </w:r>
      <w:r w:rsidR="003301BA">
        <w:rPr>
          <w:rFonts w:cs="Arial"/>
        </w:rPr>
        <w:t>s for education and information to support implementation of the ban</w:t>
      </w:r>
      <w:r w:rsidR="004B503E" w:rsidRPr="00235AC2">
        <w:rPr>
          <w:rFonts w:cs="Arial"/>
        </w:rPr>
        <w:t>.</w:t>
      </w:r>
      <w:r w:rsidR="000171B5">
        <w:rPr>
          <w:rFonts w:cs="Arial"/>
        </w:rPr>
        <w:t xml:space="preserve"> This allocation is manifestly inadequate</w:t>
      </w:r>
      <w:r>
        <w:rPr>
          <w:rFonts w:cs="Arial"/>
        </w:rPr>
        <w:t xml:space="preserve"> and, importantly, is at odds with </w:t>
      </w:r>
      <w:r w:rsidR="004B503E" w:rsidRPr="00235AC2">
        <w:rPr>
          <w:rFonts w:cs="Arial"/>
        </w:rPr>
        <w:t>the</w:t>
      </w:r>
      <w:r>
        <w:rPr>
          <w:rFonts w:cs="Arial"/>
        </w:rPr>
        <w:t xml:space="preserve"> PIA </w:t>
      </w:r>
      <w:r w:rsidR="004B503E" w:rsidRPr="00235AC2">
        <w:rPr>
          <w:rFonts w:cs="Arial"/>
        </w:rPr>
        <w:t>cost benefit analysis</w:t>
      </w:r>
      <w:r>
        <w:rPr>
          <w:rFonts w:cs="Arial"/>
        </w:rPr>
        <w:t xml:space="preserve"> which </w:t>
      </w:r>
      <w:r w:rsidR="004B503E" w:rsidRPr="00235AC2">
        <w:rPr>
          <w:rFonts w:cs="Arial"/>
        </w:rPr>
        <w:t xml:space="preserve">assumes a spend of $1 million per year for three years and $500,000 </w:t>
      </w:r>
      <w:r w:rsidR="00432B14">
        <w:rPr>
          <w:rFonts w:cs="Arial"/>
        </w:rPr>
        <w:t xml:space="preserve">per year </w:t>
      </w:r>
      <w:r w:rsidR="004B503E" w:rsidRPr="00235AC2">
        <w:rPr>
          <w:rFonts w:cs="Arial"/>
        </w:rPr>
        <w:t xml:space="preserve">thereafter. </w:t>
      </w:r>
    </w:p>
    <w:p w14:paraId="1D44D6D9" w14:textId="37CFA122" w:rsidR="009C35F0" w:rsidRDefault="009C35F0" w:rsidP="004B503E">
      <w:pPr>
        <w:tabs>
          <w:tab w:val="left" w:pos="2955"/>
        </w:tabs>
        <w:rPr>
          <w:rFonts w:cs="Arial"/>
        </w:rPr>
      </w:pPr>
      <w:r w:rsidRPr="004B503E">
        <w:rPr>
          <w:rFonts w:cs="Arial"/>
        </w:rPr>
        <w:t xml:space="preserve">There are several unknowns in relation to the readiness and capacity of </w:t>
      </w:r>
      <w:r w:rsidR="004B503E">
        <w:rPr>
          <w:rFonts w:cs="Arial"/>
        </w:rPr>
        <w:t xml:space="preserve">e-waste </w:t>
      </w:r>
      <w:r w:rsidRPr="004B503E">
        <w:rPr>
          <w:rFonts w:cs="Arial"/>
        </w:rPr>
        <w:t>reprocessors to deal with a significant and sustained increase in e-waste feedstock</w:t>
      </w:r>
      <w:r w:rsidR="004B503E">
        <w:rPr>
          <w:rFonts w:cs="Arial"/>
        </w:rPr>
        <w:t xml:space="preserve">. </w:t>
      </w:r>
      <w:r>
        <w:rPr>
          <w:rFonts w:cs="Arial"/>
        </w:rPr>
        <w:t xml:space="preserve">The recycling market is volatile and influenced by a range of </w:t>
      </w:r>
      <w:r w:rsidR="004B503E">
        <w:rPr>
          <w:rFonts w:cs="Arial"/>
        </w:rPr>
        <w:t xml:space="preserve">global </w:t>
      </w:r>
      <w:r>
        <w:rPr>
          <w:rFonts w:cs="Arial"/>
        </w:rPr>
        <w:t xml:space="preserve">factors. </w:t>
      </w:r>
      <w:r w:rsidR="00486EA2">
        <w:rPr>
          <w:rFonts w:cs="Arial"/>
        </w:rPr>
        <w:t>China’s r</w:t>
      </w:r>
      <w:r w:rsidR="0028710F">
        <w:rPr>
          <w:rFonts w:cs="Arial"/>
        </w:rPr>
        <w:t xml:space="preserve">ecent </w:t>
      </w:r>
      <w:r w:rsidR="00486EA2">
        <w:rPr>
          <w:rFonts w:cs="Arial"/>
        </w:rPr>
        <w:t>decision to ban</w:t>
      </w:r>
      <w:r w:rsidR="0028710F">
        <w:rPr>
          <w:rFonts w:cs="Arial"/>
        </w:rPr>
        <w:t xml:space="preserve"> certain waste product importation highlight</w:t>
      </w:r>
      <w:r w:rsidR="00486EA2">
        <w:rPr>
          <w:rFonts w:cs="Arial"/>
        </w:rPr>
        <w:t>s</w:t>
      </w:r>
      <w:r w:rsidR="0028710F">
        <w:rPr>
          <w:rFonts w:cs="Arial"/>
        </w:rPr>
        <w:t xml:space="preserve"> the exposure of the recycling industry</w:t>
      </w:r>
      <w:r w:rsidR="00B42792">
        <w:rPr>
          <w:rFonts w:cs="Arial"/>
        </w:rPr>
        <w:t xml:space="preserve"> to factors outside of local control</w:t>
      </w:r>
      <w:r w:rsidR="0028710F">
        <w:rPr>
          <w:rFonts w:cs="Arial"/>
        </w:rPr>
        <w:t xml:space="preserve">.  </w:t>
      </w:r>
      <w:r>
        <w:rPr>
          <w:rFonts w:cs="Arial"/>
        </w:rPr>
        <w:t xml:space="preserve">As the collectors of e-waste, councils </w:t>
      </w:r>
      <w:r w:rsidR="00486EA2">
        <w:rPr>
          <w:rFonts w:cs="Arial"/>
        </w:rPr>
        <w:t xml:space="preserve">(and therefore ratepayers) </w:t>
      </w:r>
      <w:r w:rsidR="0028710F">
        <w:rPr>
          <w:rFonts w:cs="Arial"/>
        </w:rPr>
        <w:t xml:space="preserve">will </w:t>
      </w:r>
      <w:r>
        <w:rPr>
          <w:rFonts w:cs="Arial"/>
        </w:rPr>
        <w:t xml:space="preserve">carry </w:t>
      </w:r>
      <w:r w:rsidR="00C7173C">
        <w:rPr>
          <w:rFonts w:cs="Arial"/>
        </w:rPr>
        <w:t xml:space="preserve">a significant amount of </w:t>
      </w:r>
      <w:r>
        <w:rPr>
          <w:rFonts w:cs="Arial"/>
        </w:rPr>
        <w:t>risk if the</w:t>
      </w:r>
      <w:r w:rsidR="000171B5">
        <w:rPr>
          <w:rFonts w:cs="Arial"/>
        </w:rPr>
        <w:t xml:space="preserve"> market does weaken</w:t>
      </w:r>
      <w:r w:rsidR="00C7173C">
        <w:rPr>
          <w:rFonts w:cs="Arial"/>
        </w:rPr>
        <w:t xml:space="preserve"> and councils are</w:t>
      </w:r>
      <w:r w:rsidR="00B42792">
        <w:rPr>
          <w:rFonts w:cs="Arial"/>
        </w:rPr>
        <w:t xml:space="preserve"> unable to </w:t>
      </w:r>
      <w:r w:rsidR="00CE2C7A">
        <w:rPr>
          <w:rFonts w:cs="Arial"/>
        </w:rPr>
        <w:t xml:space="preserve">pass on </w:t>
      </w:r>
      <w:r w:rsidR="00B42792">
        <w:rPr>
          <w:rFonts w:cs="Arial"/>
        </w:rPr>
        <w:t>collected</w:t>
      </w:r>
      <w:r>
        <w:rPr>
          <w:rFonts w:cs="Arial"/>
        </w:rPr>
        <w:t xml:space="preserve"> e-waste to reprocessors at a reasonable cost.</w:t>
      </w:r>
      <w:r w:rsidR="00392535">
        <w:rPr>
          <w:rFonts w:cs="Arial"/>
        </w:rPr>
        <w:t xml:space="preserve"> </w:t>
      </w:r>
      <w:r w:rsidR="00B42792">
        <w:rPr>
          <w:rFonts w:cs="Arial"/>
        </w:rPr>
        <w:t>State i</w:t>
      </w:r>
      <w:r w:rsidR="00392535">
        <w:rPr>
          <w:rFonts w:cs="Arial"/>
        </w:rPr>
        <w:t xml:space="preserve">nvestment in market development is essential. </w:t>
      </w:r>
    </w:p>
    <w:p w14:paraId="74F2FAF3" w14:textId="77777777" w:rsidR="00F53DA3" w:rsidRDefault="00F53DA3" w:rsidP="00F53DA3">
      <w:r>
        <w:t xml:space="preserve">E-waste currently comprises approximately one per cent of the waste going to landfill in Australia. Notwithstanding the fact that e-waste is one of the fastest growing waste streams and there are multiple good reasons to support keeping </w:t>
      </w:r>
      <w:r w:rsidR="00BA1915">
        <w:t>it</w:t>
      </w:r>
      <w:r>
        <w:t xml:space="preserve"> out of landfill, it is also one waste stream where alternative, industry-led, effective responses can and are being pursued. </w:t>
      </w:r>
    </w:p>
    <w:p w14:paraId="0D07726E" w14:textId="71BD8AD3" w:rsidR="00EE3F6A" w:rsidRPr="00EE3F6A" w:rsidRDefault="00EE3F6A" w:rsidP="00B557FD">
      <w:pPr>
        <w:spacing w:after="0"/>
        <w:rPr>
          <w:b/>
        </w:rPr>
      </w:pPr>
      <w:r w:rsidRPr="00EE3F6A">
        <w:rPr>
          <w:b/>
        </w:rPr>
        <w:t>Recommendations</w:t>
      </w:r>
    </w:p>
    <w:p w14:paraId="28923E5B" w14:textId="77777777" w:rsidR="00F53DA3" w:rsidRPr="00F53DA3" w:rsidRDefault="00F53DA3" w:rsidP="00F53DA3">
      <w:r>
        <w:t xml:space="preserve">We call on the government to rethink its proposed approach to the landfill ban and instead </w:t>
      </w:r>
      <w:r w:rsidR="00235AC2">
        <w:t xml:space="preserve">focus its efforts on </w:t>
      </w:r>
      <w:r>
        <w:t xml:space="preserve">supporting and advocating for expansion of </w:t>
      </w:r>
      <w:r w:rsidR="00235AC2">
        <w:t xml:space="preserve">e-waste </w:t>
      </w:r>
      <w:r>
        <w:t xml:space="preserve">product stewardship </w:t>
      </w:r>
      <w:r w:rsidR="00392535">
        <w:t>program</w:t>
      </w:r>
      <w:r>
        <w:t xml:space="preserve">s. The review of the </w:t>
      </w:r>
      <w:r w:rsidRPr="00071376">
        <w:rPr>
          <w:i/>
        </w:rPr>
        <w:t>Product Stewardship Act 2011</w:t>
      </w:r>
      <w:r w:rsidR="00235AC2">
        <w:rPr>
          <w:i/>
        </w:rPr>
        <w:t>,</w:t>
      </w:r>
      <w:r>
        <w:rPr>
          <w:i/>
        </w:rPr>
        <w:t xml:space="preserve"> </w:t>
      </w:r>
      <w:r w:rsidRPr="00F53DA3">
        <w:t>currently underway</w:t>
      </w:r>
      <w:r w:rsidR="00235AC2">
        <w:t>,</w:t>
      </w:r>
      <w:r w:rsidRPr="00F53DA3">
        <w:t xml:space="preserve"> provides a timely and tangible opportunity for the Victorian government to improve e-waste recycling rates. </w:t>
      </w:r>
    </w:p>
    <w:p w14:paraId="0D6EE920" w14:textId="77777777" w:rsidR="00486EA2" w:rsidRDefault="00F53DA3" w:rsidP="00392535">
      <w:pPr>
        <w:tabs>
          <w:tab w:val="left" w:pos="2955"/>
        </w:tabs>
        <w:spacing w:after="0"/>
        <w:rPr>
          <w:rFonts w:cs="Arial"/>
        </w:rPr>
      </w:pPr>
      <w:r>
        <w:rPr>
          <w:rFonts w:cs="Arial"/>
        </w:rPr>
        <w:t xml:space="preserve">If the government is determined to pursue its proposed approach to the ban then we consider the following to be essential in order to </w:t>
      </w:r>
      <w:r w:rsidR="00BA1915">
        <w:rPr>
          <w:rFonts w:cs="Arial"/>
        </w:rPr>
        <w:t>offer the ban some chance of success without imposing an undue</w:t>
      </w:r>
      <w:r w:rsidR="000171B5">
        <w:rPr>
          <w:rFonts w:cs="Arial"/>
        </w:rPr>
        <w:t xml:space="preserve"> and unreasonable</w:t>
      </w:r>
      <w:r w:rsidR="00BA1915">
        <w:rPr>
          <w:rFonts w:cs="Arial"/>
        </w:rPr>
        <w:t xml:space="preserve"> burden on councils and ratepayers:</w:t>
      </w:r>
    </w:p>
    <w:p w14:paraId="72F22FB6" w14:textId="77777777" w:rsidR="004671ED" w:rsidRDefault="004671ED" w:rsidP="00392535">
      <w:pPr>
        <w:pStyle w:val="ListParagraph"/>
        <w:numPr>
          <w:ilvl w:val="0"/>
          <w:numId w:val="10"/>
        </w:numPr>
        <w:tabs>
          <w:tab w:val="left" w:pos="363"/>
        </w:tabs>
        <w:spacing w:after="0"/>
        <w:rPr>
          <w:rFonts w:cs="Arial"/>
        </w:rPr>
      </w:pPr>
      <w:r>
        <w:rPr>
          <w:rFonts w:cs="Arial"/>
        </w:rPr>
        <w:t>delay entry into force of the ban until the $15 million Sustainability Victoria infrastructure support program has been rolled out and all priority collection points have been upgraded to meet the relevant standards for safe handling and storage</w:t>
      </w:r>
    </w:p>
    <w:p w14:paraId="501D5712" w14:textId="77777777" w:rsidR="004671ED" w:rsidRDefault="004671ED" w:rsidP="004671ED">
      <w:pPr>
        <w:pStyle w:val="ListParagraph"/>
        <w:numPr>
          <w:ilvl w:val="0"/>
          <w:numId w:val="10"/>
        </w:numPr>
        <w:tabs>
          <w:tab w:val="left" w:pos="363"/>
        </w:tabs>
        <w:rPr>
          <w:rFonts w:cs="Arial"/>
        </w:rPr>
      </w:pPr>
      <w:r>
        <w:rPr>
          <w:rFonts w:cs="Arial"/>
        </w:rPr>
        <w:t>allocate funding from the Sustainability Fund to:</w:t>
      </w:r>
    </w:p>
    <w:p w14:paraId="10A2346B" w14:textId="77777777" w:rsidR="004671ED" w:rsidRDefault="004671ED" w:rsidP="004671ED">
      <w:pPr>
        <w:pStyle w:val="ListParagraph"/>
        <w:numPr>
          <w:ilvl w:val="1"/>
          <w:numId w:val="10"/>
        </w:numPr>
        <w:tabs>
          <w:tab w:val="left" w:pos="363"/>
        </w:tabs>
        <w:rPr>
          <w:rFonts w:cs="Arial"/>
        </w:rPr>
      </w:pPr>
      <w:r>
        <w:rPr>
          <w:rFonts w:cs="Arial"/>
        </w:rPr>
        <w:t>support councils to provide additional collection points that are safe and readily accessible to the Victorian community</w:t>
      </w:r>
    </w:p>
    <w:p w14:paraId="39C1AF68" w14:textId="77777777" w:rsidR="004671ED" w:rsidRDefault="004671ED" w:rsidP="004671ED">
      <w:pPr>
        <w:pStyle w:val="ListParagraph"/>
        <w:numPr>
          <w:ilvl w:val="1"/>
          <w:numId w:val="10"/>
        </w:numPr>
        <w:tabs>
          <w:tab w:val="left" w:pos="363"/>
        </w:tabs>
        <w:rPr>
          <w:rFonts w:cs="Arial"/>
        </w:rPr>
      </w:pPr>
      <w:r w:rsidRPr="006A7F5C">
        <w:rPr>
          <w:rFonts w:cs="Arial"/>
        </w:rPr>
        <w:t xml:space="preserve">compensate councils for any reasonable additional waste management costs borne by councils as a </w:t>
      </w:r>
      <w:r>
        <w:rPr>
          <w:rFonts w:cs="Arial"/>
        </w:rPr>
        <w:t xml:space="preserve">direct </w:t>
      </w:r>
      <w:r w:rsidRPr="006A7F5C">
        <w:rPr>
          <w:rFonts w:cs="Arial"/>
        </w:rPr>
        <w:t>result of the ban for the first 24 months of the ban</w:t>
      </w:r>
    </w:p>
    <w:p w14:paraId="56730E02" w14:textId="77777777" w:rsidR="004671ED" w:rsidRPr="003D19BB" w:rsidRDefault="004671ED" w:rsidP="004671ED">
      <w:pPr>
        <w:pStyle w:val="ListParagraph"/>
        <w:numPr>
          <w:ilvl w:val="0"/>
          <w:numId w:val="10"/>
        </w:numPr>
        <w:tabs>
          <w:tab w:val="left" w:pos="363"/>
        </w:tabs>
        <w:rPr>
          <w:rFonts w:cs="Arial"/>
        </w:rPr>
      </w:pPr>
      <w:r>
        <w:rPr>
          <w:rFonts w:cs="Arial"/>
        </w:rPr>
        <w:t>work with retailers to establish collection points at outlets that sell electronic goods</w:t>
      </w:r>
    </w:p>
    <w:p w14:paraId="16ED4BC7" w14:textId="77777777" w:rsidR="004671ED" w:rsidRDefault="004671ED" w:rsidP="004671ED">
      <w:pPr>
        <w:pStyle w:val="ListParagraph"/>
        <w:numPr>
          <w:ilvl w:val="0"/>
          <w:numId w:val="10"/>
        </w:numPr>
        <w:tabs>
          <w:tab w:val="left" w:pos="363"/>
        </w:tabs>
        <w:rPr>
          <w:rFonts w:cs="Arial"/>
        </w:rPr>
      </w:pPr>
      <w:r>
        <w:rPr>
          <w:rFonts w:cs="Arial"/>
        </w:rPr>
        <w:t>increase the funding allocation for the education and information campaign for the ban to</w:t>
      </w:r>
      <w:r w:rsidR="00B42792">
        <w:rPr>
          <w:rFonts w:cs="Arial"/>
        </w:rPr>
        <w:t xml:space="preserve"> at least $3 million over three years, as per the cost benefit analysis, to</w:t>
      </w:r>
      <w:r>
        <w:rPr>
          <w:rFonts w:cs="Arial"/>
        </w:rPr>
        <w:t xml:space="preserve"> enable implementation of a clear, consistent and effective campaign across Victoria</w:t>
      </w:r>
    </w:p>
    <w:p w14:paraId="2880DE19" w14:textId="77777777" w:rsidR="004671ED" w:rsidRPr="006A7F5C" w:rsidRDefault="000171B5" w:rsidP="004671ED">
      <w:pPr>
        <w:pStyle w:val="ListParagraph"/>
        <w:numPr>
          <w:ilvl w:val="0"/>
          <w:numId w:val="10"/>
        </w:numPr>
        <w:tabs>
          <w:tab w:val="left" w:pos="363"/>
        </w:tabs>
        <w:rPr>
          <w:rFonts w:cs="Arial"/>
        </w:rPr>
      </w:pPr>
      <w:r>
        <w:rPr>
          <w:rFonts w:cs="Arial"/>
        </w:rPr>
        <w:t>strengthen</w:t>
      </w:r>
      <w:r w:rsidR="004671ED">
        <w:rPr>
          <w:rFonts w:cs="Arial"/>
        </w:rPr>
        <w:t xml:space="preserve"> advocacy to the Australian government to expand existing product stewardship schemes and establish new schemes so that the costs associated with recycling e-waste are borne by those produ</w:t>
      </w:r>
      <w:r w:rsidR="005F169A">
        <w:rPr>
          <w:rFonts w:cs="Arial"/>
        </w:rPr>
        <w:t>cing, selling and purchasing th</w:t>
      </w:r>
      <w:r w:rsidR="004671ED">
        <w:rPr>
          <w:rFonts w:cs="Arial"/>
        </w:rPr>
        <w:t>e products</w:t>
      </w:r>
      <w:r w:rsidR="005F169A">
        <w:rPr>
          <w:rFonts w:cs="Arial"/>
        </w:rPr>
        <w:t>.</w:t>
      </w:r>
    </w:p>
    <w:p w14:paraId="72D51F86" w14:textId="77777777" w:rsidR="00197341" w:rsidRDefault="00271AF4" w:rsidP="002C3865">
      <w:pPr>
        <w:pStyle w:val="Heading1"/>
        <w:numPr>
          <w:ilvl w:val="0"/>
          <w:numId w:val="0"/>
        </w:numPr>
      </w:pPr>
      <w:bookmarkStart w:id="2" w:name="_Toc248038850"/>
      <w:bookmarkStart w:id="3" w:name="_Toc504473908"/>
      <w:r w:rsidRPr="00A86F9C">
        <w:lastRenderedPageBreak/>
        <w:t>Introductio</w:t>
      </w:r>
      <w:r w:rsidR="00AD6A6E" w:rsidRPr="00A86F9C">
        <w:t>n</w:t>
      </w:r>
      <w:bookmarkEnd w:id="2"/>
      <w:bookmarkEnd w:id="3"/>
    </w:p>
    <w:p w14:paraId="75274B97" w14:textId="77777777" w:rsidR="00197341" w:rsidRPr="00572AAB" w:rsidRDefault="00197341" w:rsidP="00197341">
      <w:pPr>
        <w:rPr>
          <w:rFonts w:cs="Arial"/>
        </w:rPr>
      </w:pPr>
      <w:r w:rsidRPr="00572AAB">
        <w:rPr>
          <w:rFonts w:cs="Arial"/>
        </w:rPr>
        <w:t>The Municipal Association of Victoria (MAV) welcomes the opportunity to provide a submission in response to the Department of Environment, Land, Water and Planning (DELWP) `</w:t>
      </w:r>
      <w:r>
        <w:rPr>
          <w:rFonts w:cs="Arial"/>
        </w:rPr>
        <w:t>Managing e-waste in Victoria</w:t>
      </w:r>
      <w:r w:rsidRPr="00572AAB">
        <w:rPr>
          <w:rFonts w:cs="Arial"/>
        </w:rPr>
        <w:t xml:space="preserve">’ </w:t>
      </w:r>
      <w:r>
        <w:rPr>
          <w:rFonts w:cs="Arial"/>
        </w:rPr>
        <w:t>Policy Impact Assessment</w:t>
      </w:r>
      <w:r w:rsidR="00583FD4">
        <w:rPr>
          <w:rFonts w:cs="Arial"/>
        </w:rPr>
        <w:t xml:space="preserve"> and the associated draft waste policies. This submission also provides our views on the e-waste landfill ban support programs being delivered through Sustainability Victoria (SV)</w:t>
      </w:r>
      <w:r w:rsidR="004C7C59">
        <w:rPr>
          <w:rFonts w:cs="Arial"/>
        </w:rPr>
        <w:t>.</w:t>
      </w:r>
    </w:p>
    <w:p w14:paraId="7F8BE00E" w14:textId="77777777" w:rsidR="00197341" w:rsidRDefault="00197341" w:rsidP="00197341">
      <w:pPr>
        <w:spacing w:line="277" w:lineRule="auto"/>
        <w:ind w:right="158"/>
        <w:rPr>
          <w:rFonts w:cs="Arial"/>
        </w:rPr>
      </w:pPr>
      <w:r w:rsidRPr="00572AAB">
        <w:rPr>
          <w:rFonts w:cs="Arial"/>
        </w:rPr>
        <w:t xml:space="preserve">The MAV is the statutory peak body for local government in Victoria. </w:t>
      </w:r>
      <w:r w:rsidRPr="00572AAB">
        <w:rPr>
          <w:rFonts w:eastAsia="Arial" w:cs="Arial"/>
          <w:spacing w:val="2"/>
        </w:rPr>
        <w:t>F</w:t>
      </w:r>
      <w:r w:rsidRPr="00572AAB">
        <w:rPr>
          <w:rFonts w:eastAsia="Arial" w:cs="Arial"/>
        </w:rPr>
        <w:t>o</w:t>
      </w:r>
      <w:r w:rsidRPr="00572AAB">
        <w:rPr>
          <w:rFonts w:eastAsia="Arial" w:cs="Arial"/>
          <w:spacing w:val="-2"/>
        </w:rPr>
        <w:t>r</w:t>
      </w:r>
      <w:r w:rsidRPr="00572AAB">
        <w:rPr>
          <w:rFonts w:eastAsia="Arial" w:cs="Arial"/>
          <w:spacing w:val="1"/>
        </w:rPr>
        <w:t>m</w:t>
      </w:r>
      <w:r w:rsidRPr="00572AAB">
        <w:rPr>
          <w:rFonts w:eastAsia="Arial" w:cs="Arial"/>
        </w:rPr>
        <w:t>ed</w:t>
      </w:r>
      <w:r w:rsidRPr="00572AAB">
        <w:rPr>
          <w:rFonts w:eastAsia="Arial" w:cs="Arial"/>
          <w:spacing w:val="-2"/>
        </w:rPr>
        <w:t xml:space="preserve"> </w:t>
      </w:r>
      <w:r w:rsidRPr="00572AAB">
        <w:rPr>
          <w:rFonts w:eastAsia="Arial" w:cs="Arial"/>
          <w:spacing w:val="1"/>
        </w:rPr>
        <w:t>i</w:t>
      </w:r>
      <w:r w:rsidRPr="00572AAB">
        <w:rPr>
          <w:rFonts w:eastAsia="Arial" w:cs="Arial"/>
        </w:rPr>
        <w:t>n</w:t>
      </w:r>
      <w:r w:rsidRPr="00572AAB">
        <w:rPr>
          <w:rFonts w:eastAsia="Arial" w:cs="Arial"/>
          <w:spacing w:val="-2"/>
        </w:rPr>
        <w:t xml:space="preserve"> </w:t>
      </w:r>
      <w:r w:rsidRPr="00572AAB">
        <w:rPr>
          <w:rFonts w:eastAsia="Arial" w:cs="Arial"/>
        </w:rPr>
        <w:t>1</w:t>
      </w:r>
      <w:r w:rsidRPr="00572AAB">
        <w:rPr>
          <w:rFonts w:eastAsia="Arial" w:cs="Arial"/>
          <w:spacing w:val="-3"/>
        </w:rPr>
        <w:t>8</w:t>
      </w:r>
      <w:r w:rsidRPr="00572AAB">
        <w:rPr>
          <w:rFonts w:eastAsia="Arial" w:cs="Arial"/>
        </w:rPr>
        <w:t>7</w:t>
      </w:r>
      <w:r w:rsidRPr="00572AAB">
        <w:rPr>
          <w:rFonts w:eastAsia="Arial" w:cs="Arial"/>
          <w:spacing w:val="-1"/>
        </w:rPr>
        <w:t>9</w:t>
      </w:r>
      <w:r w:rsidRPr="00572AAB">
        <w:rPr>
          <w:rFonts w:eastAsia="Arial" w:cs="Arial"/>
        </w:rPr>
        <w:t>,</w:t>
      </w:r>
      <w:r w:rsidRPr="00572AAB">
        <w:rPr>
          <w:rFonts w:eastAsia="Arial" w:cs="Arial"/>
          <w:spacing w:val="2"/>
        </w:rPr>
        <w:t xml:space="preserve"> </w:t>
      </w:r>
      <w:r w:rsidRPr="00572AAB">
        <w:rPr>
          <w:rFonts w:eastAsia="Arial" w:cs="Arial"/>
          <w:spacing w:val="-3"/>
        </w:rPr>
        <w:t>w</w:t>
      </w:r>
      <w:r w:rsidRPr="00572AAB">
        <w:rPr>
          <w:rFonts w:eastAsia="Arial" w:cs="Arial"/>
        </w:rPr>
        <w:t>e have a</w:t>
      </w:r>
      <w:r w:rsidRPr="00572AAB">
        <w:rPr>
          <w:rFonts w:eastAsia="Arial" w:cs="Arial"/>
          <w:spacing w:val="-1"/>
        </w:rPr>
        <w:t xml:space="preserve"> </w:t>
      </w:r>
      <w:r w:rsidRPr="00572AAB">
        <w:rPr>
          <w:rFonts w:eastAsia="Arial" w:cs="Arial"/>
          <w:spacing w:val="1"/>
        </w:rPr>
        <w:t>l</w:t>
      </w:r>
      <w:r w:rsidRPr="00572AAB">
        <w:rPr>
          <w:rFonts w:eastAsia="Arial" w:cs="Arial"/>
        </w:rPr>
        <w:t>o</w:t>
      </w:r>
      <w:r w:rsidRPr="00572AAB">
        <w:rPr>
          <w:rFonts w:eastAsia="Arial" w:cs="Arial"/>
          <w:spacing w:val="-1"/>
        </w:rPr>
        <w:t>n</w:t>
      </w:r>
      <w:r w:rsidRPr="00572AAB">
        <w:rPr>
          <w:rFonts w:eastAsia="Arial" w:cs="Arial"/>
        </w:rPr>
        <w:t>g</w:t>
      </w:r>
      <w:r w:rsidRPr="00572AAB">
        <w:rPr>
          <w:rFonts w:eastAsia="Arial" w:cs="Arial"/>
          <w:spacing w:val="-2"/>
        </w:rPr>
        <w:t xml:space="preserve"> </w:t>
      </w:r>
      <w:r w:rsidRPr="00572AAB">
        <w:rPr>
          <w:rFonts w:eastAsia="Arial" w:cs="Arial"/>
        </w:rPr>
        <w:t>a</w:t>
      </w:r>
      <w:r w:rsidRPr="00572AAB">
        <w:rPr>
          <w:rFonts w:eastAsia="Arial" w:cs="Arial"/>
          <w:spacing w:val="-1"/>
        </w:rPr>
        <w:t>n</w:t>
      </w:r>
      <w:r w:rsidRPr="00572AAB">
        <w:rPr>
          <w:rFonts w:eastAsia="Arial" w:cs="Arial"/>
        </w:rPr>
        <w:t>d</w:t>
      </w:r>
      <w:r w:rsidRPr="00572AAB">
        <w:rPr>
          <w:rFonts w:eastAsia="Arial" w:cs="Arial"/>
          <w:spacing w:val="-4"/>
        </w:rPr>
        <w:t xml:space="preserve"> </w:t>
      </w:r>
      <w:r w:rsidRPr="00572AAB">
        <w:rPr>
          <w:rFonts w:eastAsia="Arial" w:cs="Arial"/>
        </w:rPr>
        <w:t xml:space="preserve">proud </w:t>
      </w:r>
      <w:r w:rsidRPr="00572AAB">
        <w:rPr>
          <w:rFonts w:eastAsia="Arial" w:cs="Arial"/>
          <w:spacing w:val="1"/>
        </w:rPr>
        <w:t>tr</w:t>
      </w:r>
      <w:r w:rsidRPr="00572AAB">
        <w:rPr>
          <w:rFonts w:eastAsia="Arial" w:cs="Arial"/>
        </w:rPr>
        <w:t>a</w:t>
      </w:r>
      <w:r w:rsidRPr="00572AAB">
        <w:rPr>
          <w:rFonts w:eastAsia="Arial" w:cs="Arial"/>
          <w:spacing w:val="-3"/>
        </w:rPr>
        <w:t>d</w:t>
      </w:r>
      <w:r w:rsidRPr="00572AAB">
        <w:rPr>
          <w:rFonts w:eastAsia="Arial" w:cs="Arial"/>
          <w:spacing w:val="1"/>
        </w:rPr>
        <w:t>i</w:t>
      </w:r>
      <w:r w:rsidRPr="00572AAB">
        <w:rPr>
          <w:rFonts w:eastAsia="Arial" w:cs="Arial"/>
          <w:spacing w:val="-1"/>
        </w:rPr>
        <w:t>t</w:t>
      </w:r>
      <w:r w:rsidRPr="00572AAB">
        <w:rPr>
          <w:rFonts w:eastAsia="Arial" w:cs="Arial"/>
          <w:spacing w:val="1"/>
        </w:rPr>
        <w:t>i</w:t>
      </w:r>
      <w:r w:rsidRPr="00572AAB">
        <w:rPr>
          <w:rFonts w:eastAsia="Arial" w:cs="Arial"/>
        </w:rPr>
        <w:t xml:space="preserve">on </w:t>
      </w:r>
      <w:r w:rsidRPr="00572AAB">
        <w:rPr>
          <w:rFonts w:eastAsia="Arial" w:cs="Arial"/>
          <w:spacing w:val="-3"/>
        </w:rPr>
        <w:t>o</w:t>
      </w:r>
      <w:r w:rsidRPr="00572AAB">
        <w:rPr>
          <w:rFonts w:eastAsia="Arial" w:cs="Arial"/>
        </w:rPr>
        <w:t>f su</w:t>
      </w:r>
      <w:r w:rsidRPr="00572AAB">
        <w:rPr>
          <w:rFonts w:eastAsia="Arial" w:cs="Arial"/>
          <w:spacing w:val="-1"/>
        </w:rPr>
        <w:t>p</w:t>
      </w:r>
      <w:r w:rsidRPr="00572AAB">
        <w:rPr>
          <w:rFonts w:eastAsia="Arial" w:cs="Arial"/>
        </w:rPr>
        <w:t>p</w:t>
      </w:r>
      <w:r w:rsidRPr="00572AAB">
        <w:rPr>
          <w:rFonts w:eastAsia="Arial" w:cs="Arial"/>
          <w:spacing w:val="-1"/>
        </w:rPr>
        <w:t>o</w:t>
      </w:r>
      <w:r w:rsidRPr="00572AAB">
        <w:rPr>
          <w:rFonts w:eastAsia="Arial" w:cs="Arial"/>
          <w:spacing w:val="-2"/>
        </w:rPr>
        <w:t>r</w:t>
      </w:r>
      <w:r w:rsidRPr="00572AAB">
        <w:rPr>
          <w:rFonts w:eastAsia="Arial" w:cs="Arial"/>
          <w:spacing w:val="1"/>
        </w:rPr>
        <w:t>ti</w:t>
      </w:r>
      <w:r w:rsidRPr="00572AAB">
        <w:rPr>
          <w:rFonts w:eastAsia="Arial" w:cs="Arial"/>
        </w:rPr>
        <w:t>ng</w:t>
      </w:r>
      <w:r w:rsidRPr="00572AAB">
        <w:rPr>
          <w:rFonts w:eastAsia="Arial" w:cs="Arial"/>
          <w:spacing w:val="-2"/>
        </w:rPr>
        <w:t xml:space="preserve"> </w:t>
      </w:r>
      <w:r w:rsidRPr="00572AAB">
        <w:rPr>
          <w:rFonts w:eastAsia="Arial" w:cs="Arial"/>
        </w:rPr>
        <w:t>c</w:t>
      </w:r>
      <w:r w:rsidRPr="00572AAB">
        <w:rPr>
          <w:rFonts w:eastAsia="Arial" w:cs="Arial"/>
          <w:spacing w:val="-3"/>
        </w:rPr>
        <w:t>o</w:t>
      </w:r>
      <w:r w:rsidRPr="00572AAB">
        <w:rPr>
          <w:rFonts w:eastAsia="Arial" w:cs="Arial"/>
        </w:rPr>
        <w:t>u</w:t>
      </w:r>
      <w:r w:rsidRPr="00572AAB">
        <w:rPr>
          <w:rFonts w:eastAsia="Arial" w:cs="Arial"/>
          <w:spacing w:val="-1"/>
        </w:rPr>
        <w:t>n</w:t>
      </w:r>
      <w:r w:rsidRPr="00572AAB">
        <w:rPr>
          <w:rFonts w:eastAsia="Arial" w:cs="Arial"/>
        </w:rPr>
        <w:t>c</w:t>
      </w:r>
      <w:r w:rsidRPr="00572AAB">
        <w:rPr>
          <w:rFonts w:eastAsia="Arial" w:cs="Arial"/>
          <w:spacing w:val="1"/>
        </w:rPr>
        <w:t>i</w:t>
      </w:r>
      <w:r w:rsidRPr="00572AAB">
        <w:rPr>
          <w:rFonts w:eastAsia="Arial" w:cs="Arial"/>
          <w:spacing w:val="-1"/>
        </w:rPr>
        <w:t>l</w:t>
      </w:r>
      <w:r w:rsidRPr="00572AAB">
        <w:rPr>
          <w:rFonts w:eastAsia="Arial" w:cs="Arial"/>
        </w:rPr>
        <w:t>s</w:t>
      </w:r>
      <w:r w:rsidRPr="00572AAB">
        <w:rPr>
          <w:rFonts w:eastAsia="Arial" w:cs="Arial"/>
          <w:spacing w:val="1"/>
        </w:rPr>
        <w:t xml:space="preserve"> t</w:t>
      </w:r>
      <w:r w:rsidRPr="00572AAB">
        <w:rPr>
          <w:rFonts w:eastAsia="Arial" w:cs="Arial"/>
        </w:rPr>
        <w:t>o</w:t>
      </w:r>
      <w:r w:rsidRPr="00572AAB">
        <w:rPr>
          <w:rFonts w:eastAsia="Arial" w:cs="Arial"/>
          <w:spacing w:val="-2"/>
        </w:rPr>
        <w:t xml:space="preserve"> </w:t>
      </w:r>
      <w:r w:rsidRPr="00572AAB">
        <w:rPr>
          <w:rFonts w:eastAsia="Arial" w:cs="Arial"/>
        </w:rPr>
        <w:t>prov</w:t>
      </w:r>
      <w:r w:rsidRPr="00572AAB">
        <w:rPr>
          <w:rFonts w:eastAsia="Arial" w:cs="Arial"/>
          <w:spacing w:val="1"/>
        </w:rPr>
        <w:t>i</w:t>
      </w:r>
      <w:r w:rsidRPr="00572AAB">
        <w:rPr>
          <w:rFonts w:eastAsia="Arial" w:cs="Arial"/>
        </w:rPr>
        <w:t>de</w:t>
      </w:r>
      <w:r w:rsidRPr="00572AAB">
        <w:rPr>
          <w:rFonts w:eastAsia="Arial" w:cs="Arial"/>
          <w:spacing w:val="-2"/>
        </w:rPr>
        <w:t xml:space="preserve"> </w:t>
      </w:r>
      <w:r w:rsidRPr="00572AAB">
        <w:rPr>
          <w:rFonts w:eastAsia="Arial" w:cs="Arial"/>
        </w:rPr>
        <w:t>g</w:t>
      </w:r>
      <w:r w:rsidRPr="00572AAB">
        <w:rPr>
          <w:rFonts w:eastAsia="Arial" w:cs="Arial"/>
          <w:spacing w:val="-1"/>
        </w:rPr>
        <w:t>o</w:t>
      </w:r>
      <w:r w:rsidRPr="00572AAB">
        <w:rPr>
          <w:rFonts w:eastAsia="Arial" w:cs="Arial"/>
        </w:rPr>
        <w:t>od g</w:t>
      </w:r>
      <w:r w:rsidRPr="00572AAB">
        <w:rPr>
          <w:rFonts w:eastAsia="Arial" w:cs="Arial"/>
          <w:spacing w:val="-3"/>
        </w:rPr>
        <w:t>o</w:t>
      </w:r>
      <w:r w:rsidRPr="00572AAB">
        <w:rPr>
          <w:rFonts w:eastAsia="Arial" w:cs="Arial"/>
        </w:rPr>
        <w:t>ver</w:t>
      </w:r>
      <w:r w:rsidRPr="00572AAB">
        <w:rPr>
          <w:rFonts w:eastAsia="Arial" w:cs="Arial"/>
          <w:spacing w:val="-2"/>
        </w:rPr>
        <w:t>n</w:t>
      </w:r>
      <w:r w:rsidRPr="00572AAB">
        <w:rPr>
          <w:rFonts w:eastAsia="Arial" w:cs="Arial"/>
          <w:spacing w:val="1"/>
        </w:rPr>
        <w:t>m</w:t>
      </w:r>
      <w:r w:rsidRPr="00572AAB">
        <w:rPr>
          <w:rFonts w:eastAsia="Arial" w:cs="Arial"/>
        </w:rPr>
        <w:t>e</w:t>
      </w:r>
      <w:r w:rsidRPr="00572AAB">
        <w:rPr>
          <w:rFonts w:eastAsia="Arial" w:cs="Arial"/>
          <w:spacing w:val="-3"/>
        </w:rPr>
        <w:t>n</w:t>
      </w:r>
      <w:r w:rsidRPr="00572AAB">
        <w:rPr>
          <w:rFonts w:eastAsia="Arial" w:cs="Arial"/>
        </w:rPr>
        <w:t xml:space="preserve">t </w:t>
      </w:r>
      <w:r w:rsidRPr="00572AAB">
        <w:rPr>
          <w:rFonts w:eastAsia="Arial" w:cs="Arial"/>
          <w:spacing w:val="1"/>
        </w:rPr>
        <w:t>t</w:t>
      </w:r>
      <w:r w:rsidRPr="00572AAB">
        <w:rPr>
          <w:rFonts w:eastAsia="Arial" w:cs="Arial"/>
        </w:rPr>
        <w:t>o</w:t>
      </w:r>
      <w:r w:rsidRPr="00572AAB">
        <w:rPr>
          <w:rFonts w:eastAsia="Arial" w:cs="Arial"/>
          <w:spacing w:val="-2"/>
        </w:rPr>
        <w:t xml:space="preserve"> </w:t>
      </w:r>
      <w:r w:rsidRPr="00572AAB">
        <w:rPr>
          <w:rFonts w:eastAsia="Arial" w:cs="Arial"/>
          <w:spacing w:val="1"/>
        </w:rPr>
        <w:t>t</w:t>
      </w:r>
      <w:r w:rsidRPr="00572AAB">
        <w:rPr>
          <w:rFonts w:eastAsia="Arial" w:cs="Arial"/>
        </w:rPr>
        <w:t>h</w:t>
      </w:r>
      <w:r w:rsidRPr="00572AAB">
        <w:rPr>
          <w:rFonts w:eastAsia="Arial" w:cs="Arial"/>
          <w:spacing w:val="-1"/>
        </w:rPr>
        <w:t>ei</w:t>
      </w:r>
      <w:r w:rsidRPr="00572AAB">
        <w:rPr>
          <w:rFonts w:eastAsia="Arial" w:cs="Arial"/>
        </w:rPr>
        <w:t>r</w:t>
      </w:r>
      <w:r w:rsidRPr="00572AAB">
        <w:rPr>
          <w:rFonts w:eastAsia="Arial" w:cs="Arial"/>
          <w:spacing w:val="2"/>
        </w:rPr>
        <w:t xml:space="preserve"> </w:t>
      </w:r>
      <w:r w:rsidRPr="00572AAB">
        <w:rPr>
          <w:rFonts w:eastAsia="Arial" w:cs="Arial"/>
          <w:spacing w:val="-2"/>
        </w:rPr>
        <w:t>c</w:t>
      </w:r>
      <w:r w:rsidRPr="00572AAB">
        <w:rPr>
          <w:rFonts w:eastAsia="Arial" w:cs="Arial"/>
          <w:spacing w:val="-3"/>
        </w:rPr>
        <w:t>o</w:t>
      </w:r>
      <w:r w:rsidRPr="00572AAB">
        <w:rPr>
          <w:rFonts w:eastAsia="Arial" w:cs="Arial"/>
          <w:spacing w:val="1"/>
        </w:rPr>
        <w:t>m</w:t>
      </w:r>
      <w:r w:rsidRPr="00572AAB">
        <w:rPr>
          <w:rFonts w:eastAsia="Arial" w:cs="Arial"/>
          <w:spacing w:val="7"/>
        </w:rPr>
        <w:t>m</w:t>
      </w:r>
      <w:r w:rsidRPr="00572AAB">
        <w:rPr>
          <w:rFonts w:eastAsia="Arial" w:cs="Arial"/>
        </w:rPr>
        <w:t>u</w:t>
      </w:r>
      <w:r w:rsidRPr="00572AAB">
        <w:rPr>
          <w:rFonts w:eastAsia="Arial" w:cs="Arial"/>
          <w:spacing w:val="-1"/>
        </w:rPr>
        <w:t>nit</w:t>
      </w:r>
      <w:r w:rsidRPr="00572AAB">
        <w:rPr>
          <w:rFonts w:eastAsia="Arial" w:cs="Arial"/>
          <w:spacing w:val="1"/>
        </w:rPr>
        <w:t>i</w:t>
      </w:r>
      <w:r w:rsidRPr="00572AAB">
        <w:rPr>
          <w:rFonts w:eastAsia="Arial" w:cs="Arial"/>
        </w:rPr>
        <w:t xml:space="preserve">es. </w:t>
      </w:r>
      <w:r w:rsidRPr="00572AAB">
        <w:rPr>
          <w:rFonts w:cs="Arial"/>
        </w:rPr>
        <w:t>We represent all Victorian councils and work to advance the interests of the local government sector as a whole.</w:t>
      </w:r>
    </w:p>
    <w:p w14:paraId="341F7132" w14:textId="77777777" w:rsidR="006F79CA" w:rsidRPr="00572AAB" w:rsidRDefault="006F79CA" w:rsidP="00197341">
      <w:pPr>
        <w:spacing w:line="277" w:lineRule="auto"/>
        <w:ind w:right="158"/>
        <w:rPr>
          <w:rFonts w:cs="Arial"/>
        </w:rPr>
      </w:pPr>
      <w:r>
        <w:rPr>
          <w:rFonts w:cs="Arial"/>
        </w:rPr>
        <w:t xml:space="preserve">The Victorian Labor Party committed to banning e-waste from landfill in the lead up to the </w:t>
      </w:r>
      <w:r w:rsidR="009F3CB0">
        <w:rPr>
          <w:rFonts w:cs="Arial"/>
        </w:rPr>
        <w:t xml:space="preserve">2014 </w:t>
      </w:r>
      <w:r>
        <w:rPr>
          <w:rFonts w:cs="Arial"/>
        </w:rPr>
        <w:t>Victorian state</w:t>
      </w:r>
      <w:r w:rsidR="009F3CB0">
        <w:rPr>
          <w:rFonts w:cs="Arial"/>
        </w:rPr>
        <w:t xml:space="preserve"> election</w:t>
      </w:r>
      <w:r>
        <w:rPr>
          <w:rFonts w:cs="Arial"/>
        </w:rPr>
        <w:t xml:space="preserve">. While the MAV </w:t>
      </w:r>
      <w:r w:rsidR="00801D1A">
        <w:rPr>
          <w:rFonts w:cs="Arial"/>
        </w:rPr>
        <w:t xml:space="preserve">strongly </w:t>
      </w:r>
      <w:r>
        <w:rPr>
          <w:rFonts w:cs="Arial"/>
        </w:rPr>
        <w:t>support</w:t>
      </w:r>
      <w:r w:rsidR="00801D1A">
        <w:rPr>
          <w:rFonts w:cs="Arial"/>
        </w:rPr>
        <w:t>s</w:t>
      </w:r>
      <w:r>
        <w:rPr>
          <w:rFonts w:cs="Arial"/>
        </w:rPr>
        <w:t xml:space="preserve"> </w:t>
      </w:r>
      <w:r w:rsidR="009F3CB0">
        <w:rPr>
          <w:rFonts w:cs="Arial"/>
        </w:rPr>
        <w:t>the goal of reducing waste to</w:t>
      </w:r>
      <w:r>
        <w:rPr>
          <w:rFonts w:cs="Arial"/>
        </w:rPr>
        <w:t xml:space="preserve"> landfill, </w:t>
      </w:r>
      <w:r w:rsidR="00801D1A">
        <w:rPr>
          <w:rFonts w:cs="Arial"/>
        </w:rPr>
        <w:t>we</w:t>
      </w:r>
      <w:r w:rsidR="000A7741">
        <w:rPr>
          <w:rFonts w:cs="Arial"/>
        </w:rPr>
        <w:t xml:space="preserve"> a</w:t>
      </w:r>
      <w:r w:rsidR="00801D1A">
        <w:rPr>
          <w:rFonts w:cs="Arial"/>
        </w:rPr>
        <w:t xml:space="preserve">re concerned </w:t>
      </w:r>
      <w:r>
        <w:rPr>
          <w:rFonts w:cs="Arial"/>
        </w:rPr>
        <w:t xml:space="preserve">that such a </w:t>
      </w:r>
      <w:r w:rsidR="000A7741">
        <w:rPr>
          <w:rFonts w:cs="Arial"/>
        </w:rPr>
        <w:t>commitment</w:t>
      </w:r>
      <w:r>
        <w:rPr>
          <w:rFonts w:cs="Arial"/>
        </w:rPr>
        <w:t xml:space="preserve"> was made </w:t>
      </w:r>
      <w:r w:rsidR="000B0598">
        <w:rPr>
          <w:rFonts w:cs="Arial"/>
        </w:rPr>
        <w:t>prior to a public</w:t>
      </w:r>
      <w:r w:rsidR="00801D1A">
        <w:rPr>
          <w:rFonts w:cs="Arial"/>
        </w:rPr>
        <w:t xml:space="preserve"> examination of </w:t>
      </w:r>
      <w:r>
        <w:rPr>
          <w:rFonts w:cs="Arial"/>
        </w:rPr>
        <w:t>the implications</w:t>
      </w:r>
      <w:r w:rsidR="00171FE7">
        <w:rPr>
          <w:rFonts w:cs="Arial"/>
        </w:rPr>
        <w:t xml:space="preserve"> of such a ban</w:t>
      </w:r>
      <w:r>
        <w:rPr>
          <w:rFonts w:cs="Arial"/>
        </w:rPr>
        <w:t xml:space="preserve">, </w:t>
      </w:r>
      <w:r w:rsidR="000B0598">
        <w:rPr>
          <w:rFonts w:cs="Arial"/>
        </w:rPr>
        <w:t xml:space="preserve">including </w:t>
      </w:r>
      <w:r>
        <w:rPr>
          <w:rFonts w:cs="Arial"/>
        </w:rPr>
        <w:t xml:space="preserve">the </w:t>
      </w:r>
      <w:r w:rsidR="009F3CB0">
        <w:rPr>
          <w:rFonts w:cs="Arial"/>
        </w:rPr>
        <w:t>various costs and benefits</w:t>
      </w:r>
      <w:r w:rsidR="000B0598">
        <w:rPr>
          <w:rFonts w:cs="Arial"/>
        </w:rPr>
        <w:t xml:space="preserve">. The Policy Impact Assessment (PIA) </w:t>
      </w:r>
      <w:r w:rsidR="00171FE7">
        <w:rPr>
          <w:rFonts w:cs="Arial"/>
        </w:rPr>
        <w:t xml:space="preserve">recently released by DELWP </w:t>
      </w:r>
      <w:r w:rsidR="000B0598">
        <w:rPr>
          <w:rFonts w:cs="Arial"/>
        </w:rPr>
        <w:t xml:space="preserve">confirms our fears that that government </w:t>
      </w:r>
      <w:r w:rsidR="004B3615">
        <w:rPr>
          <w:rFonts w:cs="Arial"/>
        </w:rPr>
        <w:t>intends</w:t>
      </w:r>
      <w:r w:rsidR="000B0598">
        <w:rPr>
          <w:rFonts w:cs="Arial"/>
        </w:rPr>
        <w:t xml:space="preserve"> to implement a policy that will potentially deliver few benefits at significant cost to councils and ratepayers. </w:t>
      </w:r>
    </w:p>
    <w:p w14:paraId="35466B99" w14:textId="77777777" w:rsidR="00C9406D" w:rsidRDefault="00C9406D" w:rsidP="00536462">
      <w:pPr>
        <w:tabs>
          <w:tab w:val="left" w:pos="363"/>
        </w:tabs>
        <w:spacing w:after="0"/>
        <w:rPr>
          <w:rFonts w:cs="Arial"/>
        </w:rPr>
      </w:pPr>
      <w:r>
        <w:rPr>
          <w:rFonts w:cs="Arial"/>
        </w:rPr>
        <w:t>In October 2015 the MAV made a submission to DELWP’s first discussion paper regarding the e-waste landfill ban. In that submission, we clearly noted our and councils’ various concerns in</w:t>
      </w:r>
      <w:r w:rsidR="00CE599A">
        <w:rPr>
          <w:rFonts w:cs="Arial"/>
        </w:rPr>
        <w:t xml:space="preserve"> relation to the proposed ban. </w:t>
      </w:r>
      <w:r w:rsidR="008A3DF5">
        <w:rPr>
          <w:rFonts w:cs="Arial"/>
        </w:rPr>
        <w:t>Key</w:t>
      </w:r>
      <w:r w:rsidR="007A5F83">
        <w:rPr>
          <w:rFonts w:cs="Arial"/>
        </w:rPr>
        <w:t xml:space="preserve"> points</w:t>
      </w:r>
      <w:r>
        <w:rPr>
          <w:rFonts w:cs="Arial"/>
        </w:rPr>
        <w:t xml:space="preserve"> raised include</w:t>
      </w:r>
      <w:r w:rsidR="00CE599A">
        <w:rPr>
          <w:rFonts w:cs="Arial"/>
        </w:rPr>
        <w:t xml:space="preserve"> the need for</w:t>
      </w:r>
      <w:r>
        <w:rPr>
          <w:rFonts w:cs="Arial"/>
        </w:rPr>
        <w:t>:</w:t>
      </w:r>
    </w:p>
    <w:p w14:paraId="699A9DA7" w14:textId="77777777" w:rsidR="008A3DF5" w:rsidRPr="008A3DF5" w:rsidRDefault="00583FD4" w:rsidP="00536462">
      <w:pPr>
        <w:pStyle w:val="ListParagraph"/>
        <w:numPr>
          <w:ilvl w:val="0"/>
          <w:numId w:val="7"/>
        </w:numPr>
        <w:tabs>
          <w:tab w:val="left" w:pos="363"/>
        </w:tabs>
        <w:spacing w:after="0"/>
        <w:rPr>
          <w:rFonts w:cs="Arial"/>
        </w:rPr>
      </w:pPr>
      <w:r>
        <w:rPr>
          <w:rFonts w:cs="Arial"/>
        </w:rPr>
        <w:t xml:space="preserve">the principle of </w:t>
      </w:r>
      <w:r w:rsidR="00C9406D">
        <w:rPr>
          <w:rFonts w:cs="Arial"/>
        </w:rPr>
        <w:t xml:space="preserve">extended producer responsibility </w:t>
      </w:r>
      <w:r>
        <w:rPr>
          <w:rFonts w:cs="Arial"/>
        </w:rPr>
        <w:t>and</w:t>
      </w:r>
      <w:r w:rsidR="00C9406D">
        <w:rPr>
          <w:rFonts w:cs="Arial"/>
        </w:rPr>
        <w:t xml:space="preserve"> product stewardship to underpin e-waste recycling</w:t>
      </w:r>
      <w:r w:rsidR="009F3CB0">
        <w:rPr>
          <w:rFonts w:cs="Arial"/>
        </w:rPr>
        <w:t xml:space="preserve">. This would </w:t>
      </w:r>
      <w:r w:rsidR="00C9406D">
        <w:t xml:space="preserve">help ensure that the costs of the ban are predominantly borne by those who produce, </w:t>
      </w:r>
      <w:r w:rsidR="008A3DF5">
        <w:t>sell and purchase</w:t>
      </w:r>
      <w:r w:rsidR="00CE599A">
        <w:t xml:space="preserve"> </w:t>
      </w:r>
      <w:r w:rsidR="00C9406D">
        <w:t>electronic products</w:t>
      </w:r>
      <w:r w:rsidR="00CE599A">
        <w:t>, and not by councils and ratepayers</w:t>
      </w:r>
      <w:r>
        <w:t xml:space="preserve"> more broadly;</w:t>
      </w:r>
    </w:p>
    <w:p w14:paraId="6B9EFE09" w14:textId="77777777" w:rsidR="008A3DF5" w:rsidRPr="008A3DF5" w:rsidRDefault="00586353" w:rsidP="008A3DF5">
      <w:pPr>
        <w:pStyle w:val="ListParagraph"/>
        <w:numPr>
          <w:ilvl w:val="0"/>
          <w:numId w:val="7"/>
        </w:numPr>
        <w:tabs>
          <w:tab w:val="left" w:pos="363"/>
        </w:tabs>
        <w:rPr>
          <w:rFonts w:cs="Arial"/>
        </w:rPr>
      </w:pPr>
      <w:r w:rsidRPr="008A3DF5">
        <w:rPr>
          <w:rFonts w:cs="Arial"/>
        </w:rPr>
        <w:t xml:space="preserve">provision of </w:t>
      </w:r>
      <w:r w:rsidR="00CE599A" w:rsidRPr="008A3DF5">
        <w:rPr>
          <w:rFonts w:cs="Arial"/>
        </w:rPr>
        <w:t>collection points that</w:t>
      </w:r>
      <w:r w:rsidR="00CE599A">
        <w:t xml:space="preserve"> are </w:t>
      </w:r>
      <w:r w:rsidR="00772CBE">
        <w:t xml:space="preserve">safe, </w:t>
      </w:r>
      <w:r w:rsidR="00CE599A">
        <w:t xml:space="preserve">easy, </w:t>
      </w:r>
      <w:r w:rsidR="004B3615">
        <w:t xml:space="preserve">and </w:t>
      </w:r>
      <w:r w:rsidR="00CE599A">
        <w:t>convenient</w:t>
      </w:r>
      <w:r w:rsidR="004B3615">
        <w:t xml:space="preserve"> </w:t>
      </w:r>
      <w:r w:rsidR="00CE599A">
        <w:t>to access</w:t>
      </w:r>
      <w:r w:rsidR="00583FD4">
        <w:t>, including at electronic goods retailers;</w:t>
      </w:r>
    </w:p>
    <w:p w14:paraId="4D848E76" w14:textId="77777777" w:rsidR="00772CBE" w:rsidRPr="00772CBE" w:rsidRDefault="007A5F83" w:rsidP="00C9406D">
      <w:pPr>
        <w:pStyle w:val="ListParagraph"/>
        <w:numPr>
          <w:ilvl w:val="0"/>
          <w:numId w:val="7"/>
        </w:numPr>
        <w:tabs>
          <w:tab w:val="left" w:pos="363"/>
        </w:tabs>
        <w:rPr>
          <w:rFonts w:cs="Arial"/>
        </w:rPr>
      </w:pPr>
      <w:r>
        <w:t xml:space="preserve">substantial </w:t>
      </w:r>
      <w:r w:rsidR="00583FD4">
        <w:t xml:space="preserve">State </w:t>
      </w:r>
      <w:r w:rsidR="00772CBE">
        <w:t>investment in</w:t>
      </w:r>
      <w:r w:rsidR="00717789">
        <w:t xml:space="preserve"> appropriate collection and</w:t>
      </w:r>
      <w:r w:rsidR="00772CBE">
        <w:t xml:space="preserve"> </w:t>
      </w:r>
      <w:r w:rsidR="000A7741">
        <w:t>storage infrastructure</w:t>
      </w:r>
      <w:r w:rsidR="00717789">
        <w:t xml:space="preserve"> and in market development</w:t>
      </w:r>
      <w:r w:rsidR="00583FD4">
        <w:t>;</w:t>
      </w:r>
    </w:p>
    <w:p w14:paraId="715A33FC" w14:textId="77777777" w:rsidR="00C9406D" w:rsidRPr="008A3DF5" w:rsidRDefault="00772CBE" w:rsidP="00C9406D">
      <w:pPr>
        <w:pStyle w:val="ListParagraph"/>
        <w:numPr>
          <w:ilvl w:val="0"/>
          <w:numId w:val="7"/>
        </w:numPr>
        <w:tabs>
          <w:tab w:val="left" w:pos="363"/>
        </w:tabs>
        <w:rPr>
          <w:rFonts w:cs="Arial"/>
        </w:rPr>
      </w:pPr>
      <w:r>
        <w:t xml:space="preserve">a </w:t>
      </w:r>
      <w:r w:rsidR="00CE599A">
        <w:t xml:space="preserve">comprehensive </w:t>
      </w:r>
      <w:r w:rsidR="00583FD4">
        <w:t xml:space="preserve">State-led </w:t>
      </w:r>
      <w:r w:rsidR="00CE599A">
        <w:t>education campaign that makes clear</w:t>
      </w:r>
      <w:r w:rsidR="008A3DF5">
        <w:t xml:space="preserve"> </w:t>
      </w:r>
      <w:r w:rsidR="00CE599A">
        <w:t>what e-waste is and why disposal to landfill is unacceptable</w:t>
      </w:r>
      <w:r w:rsidR="00583FD4">
        <w:t>; and</w:t>
      </w:r>
    </w:p>
    <w:p w14:paraId="2C8932B3" w14:textId="77777777" w:rsidR="008A3DF5" w:rsidRPr="007A5F83" w:rsidRDefault="008A3DF5" w:rsidP="00C9406D">
      <w:pPr>
        <w:pStyle w:val="ListParagraph"/>
        <w:numPr>
          <w:ilvl w:val="0"/>
          <w:numId w:val="7"/>
        </w:numPr>
        <w:tabs>
          <w:tab w:val="left" w:pos="363"/>
        </w:tabs>
        <w:rPr>
          <w:rFonts w:cs="Arial"/>
        </w:rPr>
      </w:pPr>
      <w:r>
        <w:t xml:space="preserve">a fair and reasonable approach to enforcement </w:t>
      </w:r>
      <w:r w:rsidR="009F3CB0">
        <w:t>of the ban, recognisi</w:t>
      </w:r>
      <w:r>
        <w:t>ng the challenges of detecting and dealing with a range of small sized electrical products</w:t>
      </w:r>
      <w:r w:rsidR="00583FD4">
        <w:t>.</w:t>
      </w:r>
      <w:r>
        <w:t xml:space="preserve"> </w:t>
      </w:r>
    </w:p>
    <w:p w14:paraId="266AC316" w14:textId="77777777" w:rsidR="00536462" w:rsidRDefault="00801D1A" w:rsidP="00536462">
      <w:pPr>
        <w:spacing w:line="277" w:lineRule="auto"/>
        <w:ind w:right="158"/>
        <w:rPr>
          <w:rFonts w:cs="Arial"/>
        </w:rPr>
      </w:pPr>
      <w:r>
        <w:rPr>
          <w:rFonts w:cs="Arial"/>
        </w:rPr>
        <w:t>The</w:t>
      </w:r>
      <w:r w:rsidR="009F3CB0">
        <w:rPr>
          <w:rFonts w:cs="Arial"/>
        </w:rPr>
        <w:t xml:space="preserve"> </w:t>
      </w:r>
      <w:r>
        <w:rPr>
          <w:rFonts w:cs="Arial"/>
        </w:rPr>
        <w:t xml:space="preserve">Government’s </w:t>
      </w:r>
      <w:r w:rsidR="009F3CB0">
        <w:rPr>
          <w:rFonts w:cs="Arial"/>
        </w:rPr>
        <w:t>prop</w:t>
      </w:r>
      <w:r w:rsidR="0035610A">
        <w:rPr>
          <w:rFonts w:cs="Arial"/>
        </w:rPr>
        <w:t>osed approach as set out in the</w:t>
      </w:r>
      <w:r w:rsidR="0023277C">
        <w:rPr>
          <w:rFonts w:cs="Arial"/>
        </w:rPr>
        <w:t xml:space="preserve"> </w:t>
      </w:r>
      <w:r w:rsidR="00406BAA">
        <w:rPr>
          <w:rFonts w:cs="Arial"/>
        </w:rPr>
        <w:t>PIA</w:t>
      </w:r>
      <w:r w:rsidR="0023277C">
        <w:rPr>
          <w:rFonts w:cs="Arial"/>
        </w:rPr>
        <w:t>, the draft policies</w:t>
      </w:r>
      <w:r w:rsidR="009F3CB0">
        <w:rPr>
          <w:rFonts w:cs="Arial"/>
        </w:rPr>
        <w:t xml:space="preserve"> and </w:t>
      </w:r>
      <w:r w:rsidR="00583FD4">
        <w:rPr>
          <w:rFonts w:cs="Arial"/>
        </w:rPr>
        <w:t>the</w:t>
      </w:r>
      <w:r>
        <w:rPr>
          <w:rFonts w:cs="Arial"/>
        </w:rPr>
        <w:t xml:space="preserve"> </w:t>
      </w:r>
      <w:r w:rsidR="009F3CB0">
        <w:rPr>
          <w:rFonts w:cs="Arial"/>
        </w:rPr>
        <w:t xml:space="preserve">support </w:t>
      </w:r>
      <w:r>
        <w:rPr>
          <w:rFonts w:cs="Arial"/>
        </w:rPr>
        <w:t xml:space="preserve">initiatives </w:t>
      </w:r>
      <w:r w:rsidR="004B3615">
        <w:rPr>
          <w:rFonts w:cs="Arial"/>
        </w:rPr>
        <w:t xml:space="preserve">largely </w:t>
      </w:r>
      <w:r>
        <w:rPr>
          <w:rFonts w:cs="Arial"/>
        </w:rPr>
        <w:t xml:space="preserve">fail to address our early concerns regarding the ban. </w:t>
      </w:r>
      <w:r w:rsidR="000715B2">
        <w:rPr>
          <w:rFonts w:cs="Arial"/>
        </w:rPr>
        <w:t>If the Victorian g</w:t>
      </w:r>
      <w:r w:rsidR="00EA3525">
        <w:rPr>
          <w:rFonts w:cs="Arial"/>
        </w:rPr>
        <w:t>overnment want</w:t>
      </w:r>
      <w:r w:rsidR="0023277C">
        <w:rPr>
          <w:rFonts w:cs="Arial"/>
        </w:rPr>
        <w:t>s</w:t>
      </w:r>
      <w:r w:rsidR="00EA3525">
        <w:rPr>
          <w:rFonts w:cs="Arial"/>
        </w:rPr>
        <w:t xml:space="preserve"> a ban that is cost-effective, fa</w:t>
      </w:r>
      <w:r w:rsidR="0035610A">
        <w:rPr>
          <w:rFonts w:cs="Arial"/>
        </w:rPr>
        <w:t>ir and efficient, then the gover</w:t>
      </w:r>
      <w:r w:rsidR="00EA3525">
        <w:rPr>
          <w:rFonts w:cs="Arial"/>
        </w:rPr>
        <w:t xml:space="preserve">nment must listen </w:t>
      </w:r>
      <w:r w:rsidR="00EA3525" w:rsidRPr="00EA3525">
        <w:rPr>
          <w:rFonts w:cs="Arial"/>
        </w:rPr>
        <w:t>to councils’</w:t>
      </w:r>
      <w:r w:rsidR="00EA3525">
        <w:rPr>
          <w:rFonts w:cs="Arial"/>
        </w:rPr>
        <w:t xml:space="preserve"> concerns and work with councils </w:t>
      </w:r>
      <w:r w:rsidR="00EA3525" w:rsidRPr="00EA3525">
        <w:rPr>
          <w:rFonts w:cs="Arial"/>
        </w:rPr>
        <w:t xml:space="preserve">to address those concerns. </w:t>
      </w:r>
      <w:r w:rsidR="00536462" w:rsidRPr="00EA3525">
        <w:rPr>
          <w:rFonts w:cs="Arial"/>
        </w:rPr>
        <w:t xml:space="preserve">Councils’ role in managing general household waste and engaging with the community on a variety of waste-related issues makes them a critical partner in the implementation and ongoing success of </w:t>
      </w:r>
      <w:r w:rsidR="00536462">
        <w:rPr>
          <w:rFonts w:cs="Arial"/>
        </w:rPr>
        <w:t>any new approach to dealing with e-waste.</w:t>
      </w:r>
    </w:p>
    <w:p w14:paraId="68CAF676" w14:textId="77777777" w:rsidR="0070553F" w:rsidRDefault="004B3615" w:rsidP="00536462">
      <w:pPr>
        <w:pStyle w:val="Heading1"/>
        <w:numPr>
          <w:ilvl w:val="0"/>
          <w:numId w:val="0"/>
        </w:numPr>
      </w:pPr>
      <w:bookmarkStart w:id="4" w:name="_Toc504473909"/>
      <w:r>
        <w:lastRenderedPageBreak/>
        <w:t>E-waste recycling in Victoria</w:t>
      </w:r>
      <w:bookmarkEnd w:id="4"/>
    </w:p>
    <w:p w14:paraId="4D5DF40B" w14:textId="4534B4E6" w:rsidR="00717789" w:rsidRDefault="0023277C" w:rsidP="00717789">
      <w:r>
        <w:t xml:space="preserve">Of all the waste management issues that require Victorian government attention and investment, </w:t>
      </w:r>
      <w:r w:rsidR="00EA1319">
        <w:t xml:space="preserve">it is </w:t>
      </w:r>
      <w:r w:rsidR="00EF5A8D">
        <w:t>unclear</w:t>
      </w:r>
      <w:r w:rsidR="00EA1319">
        <w:t xml:space="preserve"> why </w:t>
      </w:r>
      <w:r w:rsidR="004B6733">
        <w:t xml:space="preserve">the Victorian Labor Party chose to make </w:t>
      </w:r>
      <w:r>
        <w:t xml:space="preserve">e-waste a top priority. As noted in the PIA, e-waste currently comprises approximately one per cent of the waste </w:t>
      </w:r>
      <w:r w:rsidR="00BE4071">
        <w:t>going</w:t>
      </w:r>
      <w:r>
        <w:t xml:space="preserve"> to landfill in Australia. </w:t>
      </w:r>
      <w:r w:rsidR="00717789">
        <w:t>Notwithstanding the fact that e-waste is one of the fastest growing waste streams and there are multiple good r</w:t>
      </w:r>
      <w:r w:rsidR="00BE4071">
        <w:t>easons to</w:t>
      </w:r>
      <w:r w:rsidR="00717789">
        <w:t xml:space="preserve"> support keeping e-waste out of landfill, it is also </w:t>
      </w:r>
      <w:r w:rsidR="00BE4071">
        <w:t xml:space="preserve">one waste stream where alternative, </w:t>
      </w:r>
      <w:r w:rsidR="00223BA7">
        <w:t xml:space="preserve">industry-led, </w:t>
      </w:r>
      <w:r w:rsidR="00BE4071">
        <w:t xml:space="preserve">effective responses can </w:t>
      </w:r>
      <w:r w:rsidR="00EF5A8D">
        <w:t xml:space="preserve">and are </w:t>
      </w:r>
      <w:r w:rsidR="00BE4071">
        <w:t>be</w:t>
      </w:r>
      <w:r w:rsidR="00EF5A8D">
        <w:t>ing</w:t>
      </w:r>
      <w:r w:rsidR="00BE4071">
        <w:t xml:space="preserve"> pursued. </w:t>
      </w:r>
    </w:p>
    <w:p w14:paraId="28682868" w14:textId="4460AA22" w:rsidR="0051416B" w:rsidRDefault="00BE4071" w:rsidP="00EA1319">
      <w:r>
        <w:t>There</w:t>
      </w:r>
      <w:r w:rsidR="0023277C">
        <w:t xml:space="preserve"> are</w:t>
      </w:r>
      <w:r>
        <w:t xml:space="preserve"> </w:t>
      </w:r>
      <w:r w:rsidR="0023277C">
        <w:t>numerous recycling programs already in place for e-waste</w:t>
      </w:r>
      <w:r w:rsidR="00EF5A8D">
        <w:t>, with 50 per cent of the 106,000 tonnes of e-waste generated in Victoria in 2014 reprocessed by an e-waste reprocessor or a metal recycler</w:t>
      </w:r>
      <w:r w:rsidR="00EF5A8D">
        <w:rPr>
          <w:rStyle w:val="FootnoteReference"/>
        </w:rPr>
        <w:footnoteReference w:id="2"/>
      </w:r>
      <w:r w:rsidR="00EF5A8D">
        <w:t xml:space="preserve">. </w:t>
      </w:r>
      <w:r>
        <w:t>S</w:t>
      </w:r>
      <w:r w:rsidR="0023277C">
        <w:t xml:space="preserve">ome </w:t>
      </w:r>
      <w:r>
        <w:t xml:space="preserve">of these programs, such as those covering large white goods, are </w:t>
      </w:r>
      <w:r w:rsidR="0023277C">
        <w:t xml:space="preserve">driven by </w:t>
      </w:r>
      <w:r w:rsidR="00717789">
        <w:t xml:space="preserve">the strong market value of the recoverable components of </w:t>
      </w:r>
      <w:r>
        <w:t>the</w:t>
      </w:r>
      <w:r w:rsidR="00717789">
        <w:t xml:space="preserve"> goods</w:t>
      </w:r>
      <w:r w:rsidR="004B6733">
        <w:t>,</w:t>
      </w:r>
      <w:r>
        <w:t xml:space="preserve"> and involve little, if any, government intervention. </w:t>
      </w:r>
      <w:r w:rsidR="00A10477">
        <w:t>Local government supports the collection and recycling of white goods via both hard waste collection services and its transfer stations.</w:t>
      </w:r>
    </w:p>
    <w:p w14:paraId="56C63B26" w14:textId="77777777" w:rsidR="00E146D6" w:rsidRDefault="00BE4071" w:rsidP="00EA1319">
      <w:r>
        <w:t xml:space="preserve">A significant amount of other e-waste is recycled via </w:t>
      </w:r>
      <w:r w:rsidR="0023277C">
        <w:t xml:space="preserve">product stewardship and extended producer responsibility schemes established </w:t>
      </w:r>
      <w:r w:rsidR="00717789">
        <w:t>through</w:t>
      </w:r>
      <w:r w:rsidR="0023277C">
        <w:t xml:space="preserve"> national </w:t>
      </w:r>
      <w:r w:rsidR="002F0000">
        <w:t>co-regulatory arrangements</w:t>
      </w:r>
      <w:r w:rsidR="00B04AAE">
        <w:t xml:space="preserve"> an</w:t>
      </w:r>
      <w:r w:rsidR="004B6733">
        <w:t xml:space="preserve">d </w:t>
      </w:r>
      <w:r w:rsidR="002F0000">
        <w:t xml:space="preserve">industry-led </w:t>
      </w:r>
      <w:r w:rsidR="004B6733">
        <w:t>programs</w:t>
      </w:r>
      <w:r w:rsidR="0023277C">
        <w:t xml:space="preserve">. </w:t>
      </w:r>
      <w:r w:rsidR="00EA1319">
        <w:t>Victorian councils</w:t>
      </w:r>
      <w:r w:rsidR="004B6733">
        <w:t xml:space="preserve"> support and</w:t>
      </w:r>
      <w:r w:rsidR="00EA1319">
        <w:t xml:space="preserve"> provide </w:t>
      </w:r>
      <w:r>
        <w:t xml:space="preserve">services for </w:t>
      </w:r>
      <w:r w:rsidR="00EA1319">
        <w:t xml:space="preserve">a </w:t>
      </w:r>
      <w:r>
        <w:t xml:space="preserve">number of these schemes, including </w:t>
      </w:r>
      <w:r w:rsidR="00EA1319">
        <w:t>the National Television and Computer Recycling Scheme (NTCRS), MobileM</w:t>
      </w:r>
      <w:r w:rsidR="00536462">
        <w:t xml:space="preserve">uster, Cartridges 4 Planet Ark, </w:t>
      </w:r>
      <w:r w:rsidR="00EA1319">
        <w:t xml:space="preserve">and battery recycling initiatives. Councils support these programs because they help ensure that the costs of recycling e-waste are predominantly borne by those who </w:t>
      </w:r>
      <w:r w:rsidR="00A60185">
        <w:t xml:space="preserve">import, </w:t>
      </w:r>
      <w:r w:rsidR="00EA1319">
        <w:t>produce, sell and purchase the</w:t>
      </w:r>
      <w:r>
        <w:t xml:space="preserve"> electronic good</w:t>
      </w:r>
      <w:r w:rsidR="00E146D6">
        <w:t xml:space="preserve">s, instead of </w:t>
      </w:r>
      <w:r w:rsidR="00A53BC6">
        <w:t xml:space="preserve">by </w:t>
      </w:r>
      <w:r w:rsidR="00E146D6">
        <w:t xml:space="preserve">ratepayers more broadly. </w:t>
      </w:r>
    </w:p>
    <w:p w14:paraId="0DD7FBEC" w14:textId="77777777" w:rsidR="005B37D9" w:rsidRDefault="005B37D9" w:rsidP="005B37D9">
      <w:pPr>
        <w:pStyle w:val="Heading2"/>
        <w:numPr>
          <w:ilvl w:val="0"/>
          <w:numId w:val="0"/>
        </w:numPr>
      </w:pPr>
      <w:bookmarkStart w:id="5" w:name="_Toc504473910"/>
      <w:r>
        <w:t>Product stewardship</w:t>
      </w:r>
      <w:bookmarkEnd w:id="5"/>
    </w:p>
    <w:p w14:paraId="353C3191" w14:textId="77777777" w:rsidR="00817621" w:rsidRDefault="00EA1319" w:rsidP="00817621">
      <w:r>
        <w:t>In our response to</w:t>
      </w:r>
      <w:r>
        <w:rPr>
          <w:rFonts w:cs="Arial"/>
        </w:rPr>
        <w:t xml:space="preserve"> DELWP’s first discussion paper regarding the e-waste landfill ban we made clear our strong support for the principle of extended producer responsibility </w:t>
      </w:r>
      <w:r w:rsidR="004B6733">
        <w:rPr>
          <w:rFonts w:cs="Arial"/>
        </w:rPr>
        <w:t>and</w:t>
      </w:r>
      <w:r>
        <w:rPr>
          <w:rFonts w:cs="Arial"/>
        </w:rPr>
        <w:t xml:space="preserve"> product stewardship </w:t>
      </w:r>
      <w:r w:rsidR="00FC10C7">
        <w:rPr>
          <w:rFonts w:cs="Arial"/>
        </w:rPr>
        <w:t>and argue</w:t>
      </w:r>
      <w:r w:rsidR="000A4E3D">
        <w:rPr>
          <w:rFonts w:cs="Arial"/>
        </w:rPr>
        <w:t>d that</w:t>
      </w:r>
      <w:r w:rsidR="00FC10C7">
        <w:rPr>
          <w:rFonts w:cs="Arial"/>
        </w:rPr>
        <w:t xml:space="preserve"> this principle should </w:t>
      </w:r>
      <w:r>
        <w:rPr>
          <w:rFonts w:cs="Arial"/>
        </w:rPr>
        <w:t xml:space="preserve">underpin the ban. </w:t>
      </w:r>
      <w:r w:rsidR="00817621">
        <w:t>We note that the three overseas jurisdictions highlighted in the PIA – Oregon in the US, the UK and Japan – largely rely on a product stewardship approach to fund the costs of managing e-waste.</w:t>
      </w:r>
    </w:p>
    <w:p w14:paraId="61465C45" w14:textId="77CC1D2C" w:rsidR="00A60185" w:rsidRDefault="00EA1319" w:rsidP="004B6733">
      <w:pPr>
        <w:rPr>
          <w:rFonts w:cs="Arial"/>
        </w:rPr>
      </w:pPr>
      <w:r>
        <w:rPr>
          <w:rFonts w:cs="Arial"/>
        </w:rPr>
        <w:t xml:space="preserve">While we accept that </w:t>
      </w:r>
      <w:r w:rsidR="00071376">
        <w:rPr>
          <w:rFonts w:cs="Arial"/>
        </w:rPr>
        <w:t xml:space="preserve">the </w:t>
      </w:r>
      <w:r w:rsidR="003B780A" w:rsidRPr="000A4E3D">
        <w:rPr>
          <w:rFonts w:cs="Arial"/>
          <w:i/>
        </w:rPr>
        <w:t>Product Stewardship Act</w:t>
      </w:r>
      <w:r w:rsidR="000A4E3D">
        <w:rPr>
          <w:rFonts w:cs="Arial"/>
          <w:i/>
        </w:rPr>
        <w:t xml:space="preserve"> 2011</w:t>
      </w:r>
      <w:r w:rsidR="003B780A">
        <w:rPr>
          <w:rFonts w:cs="Arial"/>
        </w:rPr>
        <w:t xml:space="preserve"> does not allow for </w:t>
      </w:r>
      <w:r w:rsidR="002F517B">
        <w:rPr>
          <w:rFonts w:cs="Arial"/>
        </w:rPr>
        <w:t xml:space="preserve">the </w:t>
      </w:r>
      <w:r>
        <w:rPr>
          <w:rFonts w:cs="Arial"/>
        </w:rPr>
        <w:t xml:space="preserve">Victorian government </w:t>
      </w:r>
      <w:r w:rsidR="003B780A">
        <w:rPr>
          <w:rFonts w:cs="Arial"/>
        </w:rPr>
        <w:t xml:space="preserve">to </w:t>
      </w:r>
      <w:r>
        <w:rPr>
          <w:rFonts w:cs="Arial"/>
        </w:rPr>
        <w:t xml:space="preserve">unilaterally introduce a product stewardship scheme for Victoria, it is disappointing that </w:t>
      </w:r>
      <w:r w:rsidR="00E146D6">
        <w:rPr>
          <w:rFonts w:cs="Arial"/>
        </w:rPr>
        <w:t xml:space="preserve">the PIA </w:t>
      </w:r>
      <w:r w:rsidR="003B780A">
        <w:rPr>
          <w:rFonts w:cs="Arial"/>
        </w:rPr>
        <w:t xml:space="preserve">dismisses </w:t>
      </w:r>
      <w:r w:rsidR="00E146D6">
        <w:rPr>
          <w:rFonts w:cs="Arial"/>
        </w:rPr>
        <w:t xml:space="preserve">the </w:t>
      </w:r>
      <w:r w:rsidR="000715B2">
        <w:rPr>
          <w:rFonts w:cs="Arial"/>
        </w:rPr>
        <w:t>possibility that the g</w:t>
      </w:r>
      <w:r w:rsidR="004B6733">
        <w:rPr>
          <w:rFonts w:cs="Arial"/>
        </w:rPr>
        <w:t xml:space="preserve">overnment could </w:t>
      </w:r>
      <w:r w:rsidR="002F517B">
        <w:rPr>
          <w:rFonts w:cs="Arial"/>
        </w:rPr>
        <w:t xml:space="preserve">just focus </w:t>
      </w:r>
      <w:r w:rsidR="004B6733">
        <w:rPr>
          <w:rFonts w:cs="Arial"/>
        </w:rPr>
        <w:t>its e-waste</w:t>
      </w:r>
      <w:r w:rsidR="002F517B">
        <w:rPr>
          <w:rFonts w:cs="Arial"/>
        </w:rPr>
        <w:t>-related</w:t>
      </w:r>
      <w:r w:rsidR="004B6733">
        <w:rPr>
          <w:rFonts w:cs="Arial"/>
        </w:rPr>
        <w:t xml:space="preserve"> efforts</w:t>
      </w:r>
      <w:r w:rsidR="00071376">
        <w:rPr>
          <w:rFonts w:cs="Arial"/>
        </w:rPr>
        <w:t xml:space="preserve"> on advocacy</w:t>
      </w:r>
      <w:r w:rsidR="00A53BC6">
        <w:rPr>
          <w:rFonts w:cs="Arial"/>
        </w:rPr>
        <w:t xml:space="preserve"> to the Australian government</w:t>
      </w:r>
      <w:r w:rsidR="00056BA2">
        <w:rPr>
          <w:rFonts w:cs="Arial"/>
        </w:rPr>
        <w:t xml:space="preserve"> and to industry </w:t>
      </w:r>
      <w:r w:rsidR="00071376">
        <w:rPr>
          <w:rFonts w:cs="Arial"/>
        </w:rPr>
        <w:t xml:space="preserve">to expand </w:t>
      </w:r>
      <w:r w:rsidR="00A53BC6">
        <w:rPr>
          <w:rFonts w:cs="Arial"/>
        </w:rPr>
        <w:t xml:space="preserve">existing </w:t>
      </w:r>
      <w:r w:rsidR="004B6733">
        <w:rPr>
          <w:rFonts w:cs="Arial"/>
        </w:rPr>
        <w:t>product stewardship schemes to encompas</w:t>
      </w:r>
      <w:r w:rsidR="002F517B">
        <w:rPr>
          <w:rFonts w:cs="Arial"/>
        </w:rPr>
        <w:t>s a broader array of e-</w:t>
      </w:r>
      <w:r w:rsidR="004B6733">
        <w:rPr>
          <w:rFonts w:cs="Arial"/>
        </w:rPr>
        <w:t xml:space="preserve">waste. </w:t>
      </w:r>
      <w:r w:rsidR="004B3615">
        <w:rPr>
          <w:rFonts w:cs="Arial"/>
        </w:rPr>
        <w:t>T</w:t>
      </w:r>
      <w:r w:rsidR="003B780A">
        <w:rPr>
          <w:rFonts w:cs="Arial"/>
        </w:rPr>
        <w:t xml:space="preserve">he PIA </w:t>
      </w:r>
      <w:r w:rsidR="004B3615">
        <w:rPr>
          <w:rFonts w:cs="Arial"/>
        </w:rPr>
        <w:t xml:space="preserve">fails to explore whether </w:t>
      </w:r>
      <w:r w:rsidR="003B780A">
        <w:rPr>
          <w:rFonts w:cs="Arial"/>
        </w:rPr>
        <w:t xml:space="preserve">any elements of </w:t>
      </w:r>
      <w:r w:rsidR="004B3615">
        <w:rPr>
          <w:rFonts w:cs="Arial"/>
        </w:rPr>
        <w:t xml:space="preserve">a product stewardship approach </w:t>
      </w:r>
      <w:r w:rsidR="008A2E60">
        <w:rPr>
          <w:rFonts w:cs="Arial"/>
        </w:rPr>
        <w:t>can be progressed by the S</w:t>
      </w:r>
      <w:r w:rsidR="003B780A">
        <w:rPr>
          <w:rFonts w:cs="Arial"/>
        </w:rPr>
        <w:t>tate in</w:t>
      </w:r>
      <w:r w:rsidR="002F517B">
        <w:rPr>
          <w:rFonts w:cs="Arial"/>
        </w:rPr>
        <w:t>dependently</w:t>
      </w:r>
      <w:r w:rsidR="004B3615">
        <w:rPr>
          <w:rFonts w:cs="Arial"/>
        </w:rPr>
        <w:t xml:space="preserve">. </w:t>
      </w:r>
    </w:p>
    <w:p w14:paraId="634E9FAD" w14:textId="77777777" w:rsidR="002F517B" w:rsidRDefault="002F517B" w:rsidP="002F517B">
      <w:pPr>
        <w:rPr>
          <w:rFonts w:cs="Arial"/>
        </w:rPr>
      </w:pPr>
      <w:r>
        <w:rPr>
          <w:rFonts w:cs="Arial"/>
        </w:rPr>
        <w:t>The PIA references the work underway to develop a product stewardship scheme for photovoltaic (PV) panels. The MAV and councils applaud this initiative and the leading role that the Victorian government is playing. We consider this to be a prime example of where the Victorian government’s e-waste efforts should be directed.</w:t>
      </w:r>
    </w:p>
    <w:p w14:paraId="5A509D2B" w14:textId="6CD03BB6" w:rsidR="004B6733" w:rsidRDefault="004B6733" w:rsidP="004B6733">
      <w:r>
        <w:lastRenderedPageBreak/>
        <w:t xml:space="preserve">In March 2017 the </w:t>
      </w:r>
      <w:r w:rsidR="00A10477">
        <w:t xml:space="preserve">Federal </w:t>
      </w:r>
      <w:r w:rsidR="000A7741">
        <w:t>Minister</w:t>
      </w:r>
      <w:r>
        <w:t xml:space="preserve"> for the Environment and Energy, the Hon. Josh Frydenberg MP, announced a review of the </w:t>
      </w:r>
      <w:r w:rsidRPr="00071376">
        <w:rPr>
          <w:i/>
        </w:rPr>
        <w:t>Product Stewardship Act 2011</w:t>
      </w:r>
      <w:r>
        <w:t>. According to the review’s terms of reference, the review will be conducted by the Department of the Environment and Energy, informed by consultation with industry, state, territory and local governments and the community, and a final written report will be provided to the Minister in e</w:t>
      </w:r>
      <w:r w:rsidR="00B04AAE">
        <w:t>arly 2018. This is a prime and very</w:t>
      </w:r>
      <w:r>
        <w:t xml:space="preserve"> timely</w:t>
      </w:r>
      <w:r w:rsidR="000715B2">
        <w:t xml:space="preserve"> opportunity for the Victorian g</w:t>
      </w:r>
      <w:r>
        <w:t xml:space="preserve">overnment to advocate for a more comprehensive </w:t>
      </w:r>
      <w:r w:rsidR="002F517B">
        <w:t xml:space="preserve">suite of </w:t>
      </w:r>
      <w:r>
        <w:t>e-waste product stewardship program</w:t>
      </w:r>
      <w:r w:rsidR="002F517B">
        <w:t>s</w:t>
      </w:r>
      <w:r>
        <w:t xml:space="preserve">. </w:t>
      </w:r>
    </w:p>
    <w:p w14:paraId="61AA54FC" w14:textId="77777777" w:rsidR="002F517B" w:rsidRDefault="00A60185" w:rsidP="004B6733">
      <w:r>
        <w:t xml:space="preserve">It remains to be seen whether the introduction of a Victorian </w:t>
      </w:r>
      <w:r w:rsidR="00817621">
        <w:t xml:space="preserve">e-waste landfill </w:t>
      </w:r>
      <w:r>
        <w:t xml:space="preserve">ban </w:t>
      </w:r>
      <w:r w:rsidR="00817621">
        <w:t>will</w:t>
      </w:r>
      <w:r w:rsidR="00FC10C7">
        <w:t xml:space="preserve"> </w:t>
      </w:r>
      <w:r>
        <w:t>dampen na</w:t>
      </w:r>
      <w:r w:rsidR="002F517B">
        <w:t>tional government and industry-</w:t>
      </w:r>
      <w:r>
        <w:t>led efforts to pursue expanded product stewardship schemes.</w:t>
      </w:r>
      <w:r w:rsidR="00817621">
        <w:t xml:space="preserve"> </w:t>
      </w:r>
      <w:r w:rsidR="002F517B">
        <w:t>We are greatly concerned that the ban</w:t>
      </w:r>
      <w:r w:rsidR="00F17EBA">
        <w:t xml:space="preserve"> risks reinforcing </w:t>
      </w:r>
      <w:r w:rsidR="00B41E5F">
        <w:t xml:space="preserve">the current federal </w:t>
      </w:r>
      <w:r w:rsidR="0026340D">
        <w:t>government’s</w:t>
      </w:r>
      <w:r w:rsidR="00B41E5F">
        <w:t xml:space="preserve"> preference to leave waste policy to the states to figure out. </w:t>
      </w:r>
      <w:r w:rsidR="00817621">
        <w:t>This would be a poor outcome indeed if it is the case.</w:t>
      </w:r>
    </w:p>
    <w:p w14:paraId="5E8B23A2" w14:textId="77777777" w:rsidR="00817621" w:rsidRDefault="00817621" w:rsidP="00817621">
      <w:pPr>
        <w:pStyle w:val="Heading2"/>
        <w:numPr>
          <w:ilvl w:val="0"/>
          <w:numId w:val="0"/>
        </w:numPr>
      </w:pPr>
      <w:bookmarkStart w:id="6" w:name="_Toc504473911"/>
      <w:r w:rsidRPr="00817621">
        <w:t>Business as usual</w:t>
      </w:r>
      <w:bookmarkEnd w:id="6"/>
    </w:p>
    <w:p w14:paraId="0CD54354" w14:textId="77777777" w:rsidR="005B37D9" w:rsidRDefault="00F9483E" w:rsidP="005B37D9">
      <w:r>
        <w:t>T</w:t>
      </w:r>
      <w:r w:rsidR="005B37D9">
        <w:t xml:space="preserve">he PIA </w:t>
      </w:r>
      <w:r w:rsidR="00692643">
        <w:t xml:space="preserve">notes </w:t>
      </w:r>
      <w:r w:rsidR="005B37D9">
        <w:t xml:space="preserve">that `in the absence of further government intervention, the aggregate volume of hazardous e-waste components entering Victorian landfills is actually expected to </w:t>
      </w:r>
      <w:r w:rsidR="005B37D9" w:rsidRPr="007516BC">
        <w:rPr>
          <w:i/>
        </w:rPr>
        <w:t>decline</w:t>
      </w:r>
      <w:r w:rsidR="005B37D9">
        <w:t xml:space="preserve"> in the near future’</w:t>
      </w:r>
      <w:r w:rsidR="00692643">
        <w:rPr>
          <w:rStyle w:val="FootnoteReference"/>
        </w:rPr>
        <w:footnoteReference w:id="3"/>
      </w:r>
      <w:r w:rsidR="005B37D9">
        <w:t>. This decline is largely due to the reduction in disposal of lead-heavy cathode ray tube televisions, with `manufacturer trends, cost-saving incentives, market competition and corporate responsibility initiatives’ also possibly playing a role</w:t>
      </w:r>
      <w:r w:rsidR="00EA4326">
        <w:rPr>
          <w:rStyle w:val="FootnoteReference"/>
        </w:rPr>
        <w:footnoteReference w:id="4"/>
      </w:r>
      <w:r w:rsidR="005B37D9">
        <w:t xml:space="preserve">. Interestingly the PIA predicts that continued growth of other e-waste, particularly PV panels, will reverse the decline. This prediction presumably assumes no further government intervention and therefore no progress in setting up a PV product stewardship scheme which the Victorian government is already helping to develop. </w:t>
      </w:r>
    </w:p>
    <w:p w14:paraId="60F468EC" w14:textId="3B76479B" w:rsidR="005B37D9" w:rsidRDefault="005B37D9" w:rsidP="005B37D9">
      <w:r>
        <w:t xml:space="preserve">The base case </w:t>
      </w:r>
      <w:r w:rsidR="00692643">
        <w:t xml:space="preserve">or </w:t>
      </w:r>
      <w:r>
        <w:t xml:space="preserve">business as usual scenario with which the five options considered in the PIA are compared assumes that there is no regulatory ban on e-waste to landfill; no additional investment in collection, storage and processing infrastructure; no additional investment in specific education campaigns; and the NTCRS </w:t>
      </w:r>
      <w:r w:rsidR="00817621">
        <w:t xml:space="preserve">and MobileMuster </w:t>
      </w:r>
      <w:r>
        <w:t>continue as currently planned</w:t>
      </w:r>
      <w:r w:rsidR="00817621">
        <w:t xml:space="preserve">. </w:t>
      </w:r>
      <w:r>
        <w:t xml:space="preserve">We consider this to be </w:t>
      </w:r>
      <w:r w:rsidR="00A10477">
        <w:t>a poor reflection of business as</w:t>
      </w:r>
      <w:r>
        <w:t xml:space="preserve"> usual in Victoria and an unhelpful and inaccurate assumption on which to base </w:t>
      </w:r>
      <w:r w:rsidR="00817621">
        <w:t>a cost benefit analysis for</w:t>
      </w:r>
      <w:r>
        <w:t xml:space="preserve"> the proposed ban. </w:t>
      </w:r>
    </w:p>
    <w:p w14:paraId="1B6A1F6C" w14:textId="3B153B4A" w:rsidR="00817621" w:rsidRDefault="00817621" w:rsidP="005B37D9">
      <w:r>
        <w:t>As noted above, e</w:t>
      </w:r>
      <w:r w:rsidR="005B37D9">
        <w:t xml:space="preserve">-waste </w:t>
      </w:r>
      <w:r>
        <w:t xml:space="preserve">recycling </w:t>
      </w:r>
      <w:r w:rsidR="005B37D9">
        <w:t>is not uncharted territory for Victoria.</w:t>
      </w:r>
      <w:r>
        <w:t xml:space="preserve"> T</w:t>
      </w:r>
      <w:r w:rsidR="005B37D9">
        <w:t>here are already numerous recycling programs in place for various e-waste products and there are new industry-led programs currently under discussion</w:t>
      </w:r>
      <w:r w:rsidR="008A2E60">
        <w:t>, including for PV panels. The S</w:t>
      </w:r>
      <w:r w:rsidR="005B37D9">
        <w:t xml:space="preserve">tate is participating in the review of the Product Stewardship </w:t>
      </w:r>
      <w:r>
        <w:t xml:space="preserve">Act </w:t>
      </w:r>
      <w:r w:rsidR="005B37D9">
        <w:t xml:space="preserve">and, as noted in the PIA, is actively advocating for expansion of product stewardship schemes. </w:t>
      </w:r>
    </w:p>
    <w:p w14:paraId="5144251C" w14:textId="12B4A205" w:rsidR="005B37D9" w:rsidRDefault="005B37D9" w:rsidP="002431F0">
      <w:pPr>
        <w:spacing w:after="0"/>
      </w:pPr>
      <w:r>
        <w:t>Recognising that the trajectory of waste generation in Victoria is not sus</w:t>
      </w:r>
      <w:r w:rsidR="00817621">
        <w:t xml:space="preserve">tainable, the </w:t>
      </w:r>
      <w:r w:rsidR="008A2E60">
        <w:t>S</w:t>
      </w:r>
      <w:r w:rsidR="00692643">
        <w:t>tate supports</w:t>
      </w:r>
      <w:r>
        <w:t xml:space="preserve"> market development for resource recovery and </w:t>
      </w:r>
      <w:r w:rsidR="00817621">
        <w:t>also helps</w:t>
      </w:r>
      <w:r>
        <w:t xml:space="preserve"> fund infrastructure upgrades at waste and resource recovery facilities to improve handling, storage and recycling of materials. The base case is in our view too pessim</w:t>
      </w:r>
      <w:r w:rsidR="00817621">
        <w:t xml:space="preserve">istic in terms of what could be and already is being </w:t>
      </w:r>
      <w:r>
        <w:t xml:space="preserve">achieved to increase e-waste recycling without a regulatory ban. </w:t>
      </w:r>
    </w:p>
    <w:p w14:paraId="3E5089D3" w14:textId="77777777" w:rsidR="00E75B7C" w:rsidRDefault="00EA4326" w:rsidP="002431F0">
      <w:pPr>
        <w:pStyle w:val="Heading1"/>
        <w:numPr>
          <w:ilvl w:val="0"/>
          <w:numId w:val="0"/>
        </w:numPr>
        <w:spacing w:after="0"/>
      </w:pPr>
      <w:bookmarkStart w:id="7" w:name="_Toc504473912"/>
      <w:r>
        <w:lastRenderedPageBreak/>
        <w:t>C</w:t>
      </w:r>
      <w:r w:rsidR="00E75B7C">
        <w:t>omplementary measures</w:t>
      </w:r>
      <w:bookmarkEnd w:id="7"/>
    </w:p>
    <w:p w14:paraId="0235EAA6" w14:textId="77777777" w:rsidR="00F87D7D" w:rsidRPr="00F87D7D" w:rsidRDefault="00F87D7D" w:rsidP="00F87D7D">
      <w:pPr>
        <w:spacing w:after="0"/>
      </w:pPr>
    </w:p>
    <w:p w14:paraId="32C437A6" w14:textId="582F36C6" w:rsidR="000C325E" w:rsidRDefault="002F517B" w:rsidP="004B6733">
      <w:pPr>
        <w:rPr>
          <w:rFonts w:cs="Arial"/>
        </w:rPr>
      </w:pPr>
      <w:r>
        <w:rPr>
          <w:rFonts w:cs="Arial"/>
        </w:rPr>
        <w:t xml:space="preserve">The PIA </w:t>
      </w:r>
      <w:r w:rsidR="00D34CB0">
        <w:rPr>
          <w:rFonts w:cs="Arial"/>
        </w:rPr>
        <w:t xml:space="preserve">stresses </w:t>
      </w:r>
      <w:r w:rsidR="000C325E">
        <w:rPr>
          <w:rFonts w:cs="Arial"/>
        </w:rPr>
        <w:t xml:space="preserve">the importance of complementary mechanisms, </w:t>
      </w:r>
      <w:r w:rsidR="00D34CB0">
        <w:rPr>
          <w:rFonts w:cs="Arial"/>
        </w:rPr>
        <w:t>including</w:t>
      </w:r>
      <w:r w:rsidR="000C325E">
        <w:rPr>
          <w:rFonts w:cs="Arial"/>
        </w:rPr>
        <w:t xml:space="preserve"> education</w:t>
      </w:r>
      <w:r w:rsidR="004B500D">
        <w:rPr>
          <w:rFonts w:cs="Arial"/>
        </w:rPr>
        <w:t xml:space="preserve">, provision of sufficient </w:t>
      </w:r>
      <w:r w:rsidR="000C325E">
        <w:rPr>
          <w:rFonts w:cs="Arial"/>
        </w:rPr>
        <w:t xml:space="preserve">collection </w:t>
      </w:r>
      <w:r w:rsidR="005154EC">
        <w:rPr>
          <w:rFonts w:cs="Arial"/>
        </w:rPr>
        <w:t>and storage infrastructure</w:t>
      </w:r>
      <w:r w:rsidR="00D34CB0">
        <w:rPr>
          <w:rFonts w:cs="Arial"/>
        </w:rPr>
        <w:t xml:space="preserve">, </w:t>
      </w:r>
      <w:r w:rsidR="000C325E">
        <w:rPr>
          <w:rFonts w:cs="Arial"/>
        </w:rPr>
        <w:t xml:space="preserve">and development of recycling industries, to </w:t>
      </w:r>
      <w:r w:rsidR="004B3615">
        <w:rPr>
          <w:rFonts w:cs="Arial"/>
        </w:rPr>
        <w:t>support the landfill</w:t>
      </w:r>
      <w:r w:rsidR="000C325E">
        <w:rPr>
          <w:rFonts w:cs="Arial"/>
        </w:rPr>
        <w:t xml:space="preserve"> ban and </w:t>
      </w:r>
      <w:r w:rsidR="004B3615">
        <w:rPr>
          <w:rFonts w:cs="Arial"/>
        </w:rPr>
        <w:t xml:space="preserve">to help ensure it </w:t>
      </w:r>
      <w:r w:rsidR="000C325E">
        <w:rPr>
          <w:rFonts w:cs="Arial"/>
        </w:rPr>
        <w:t xml:space="preserve">doesn’t </w:t>
      </w:r>
      <w:r w:rsidR="0026340D">
        <w:rPr>
          <w:rFonts w:cs="Arial"/>
        </w:rPr>
        <w:t>disproportionately</w:t>
      </w:r>
      <w:r w:rsidR="000C325E">
        <w:rPr>
          <w:rFonts w:cs="Arial"/>
        </w:rPr>
        <w:t xml:space="preserve"> affect those </w:t>
      </w:r>
      <w:r w:rsidR="0026340D">
        <w:rPr>
          <w:rFonts w:cs="Arial"/>
        </w:rPr>
        <w:t>furthest</w:t>
      </w:r>
      <w:r w:rsidR="000C325E">
        <w:rPr>
          <w:rFonts w:cs="Arial"/>
        </w:rPr>
        <w:t xml:space="preserve"> downstream. </w:t>
      </w:r>
      <w:r w:rsidR="004B500D">
        <w:rPr>
          <w:rFonts w:cs="Arial"/>
        </w:rPr>
        <w:t>We are concerned that the complemen</w:t>
      </w:r>
      <w:r w:rsidR="008A2E60">
        <w:rPr>
          <w:rFonts w:cs="Arial"/>
        </w:rPr>
        <w:t>tary measures proposed by the St</w:t>
      </w:r>
      <w:r w:rsidR="004B500D">
        <w:rPr>
          <w:rFonts w:cs="Arial"/>
        </w:rPr>
        <w:t xml:space="preserve">ate fall far short of what is needed. </w:t>
      </w:r>
    </w:p>
    <w:p w14:paraId="2C97A689" w14:textId="5FF5243B" w:rsidR="001D40DD" w:rsidRDefault="001D40DD" w:rsidP="00EA4326">
      <w:pPr>
        <w:spacing w:after="0"/>
      </w:pPr>
      <w:r>
        <w:t>We note that one of the key findings in the Marsden Jacobs cost benefit analysis is that `it is highly unlikely  that a landfill ban will be effective in achieving substantial improvements in e-waste recycling  rates unless an identified `gap’ in the cost of collecting, sorting and transporting e-waste intended for recycling is met through additional investment by State government’</w:t>
      </w:r>
      <w:r w:rsidR="00692643">
        <w:rPr>
          <w:rStyle w:val="FootnoteReference"/>
        </w:rPr>
        <w:footnoteReference w:id="5"/>
      </w:r>
      <w:r>
        <w:t xml:space="preserve">. </w:t>
      </w:r>
    </w:p>
    <w:p w14:paraId="39A66F3F" w14:textId="77777777" w:rsidR="001D40DD" w:rsidRDefault="001D40DD" w:rsidP="00EA4326">
      <w:pPr>
        <w:spacing w:after="0"/>
        <w:rPr>
          <w:rFonts w:cs="Arial"/>
        </w:rPr>
      </w:pPr>
    </w:p>
    <w:p w14:paraId="410695C9" w14:textId="77777777" w:rsidR="0070553F" w:rsidRDefault="0070553F" w:rsidP="00E75B7C">
      <w:pPr>
        <w:pStyle w:val="Heading2"/>
        <w:numPr>
          <w:ilvl w:val="0"/>
          <w:numId w:val="0"/>
        </w:numPr>
      </w:pPr>
      <w:bookmarkStart w:id="8" w:name="_Toc504473913"/>
      <w:r w:rsidRPr="0070553F">
        <w:t>Collection</w:t>
      </w:r>
      <w:r>
        <w:t xml:space="preserve"> and storage</w:t>
      </w:r>
      <w:r w:rsidRPr="0070553F">
        <w:t xml:space="preserve"> infrastructure</w:t>
      </w:r>
      <w:bookmarkEnd w:id="8"/>
    </w:p>
    <w:p w14:paraId="34AD07F4" w14:textId="77777777" w:rsidR="00D34CB0" w:rsidRDefault="00D34CB0" w:rsidP="00DB33FD">
      <w:pPr>
        <w:spacing w:after="0"/>
      </w:pPr>
    </w:p>
    <w:p w14:paraId="6D16DD80" w14:textId="77777777" w:rsidR="004E7AFD" w:rsidRDefault="004E7AFD" w:rsidP="00E75B7C">
      <w:pPr>
        <w:pStyle w:val="Heading3"/>
        <w:numPr>
          <w:ilvl w:val="0"/>
          <w:numId w:val="0"/>
        </w:numPr>
      </w:pPr>
      <w:bookmarkStart w:id="9" w:name="_Toc504473914"/>
      <w:r>
        <w:t>The collection network</w:t>
      </w:r>
      <w:bookmarkEnd w:id="9"/>
    </w:p>
    <w:p w14:paraId="213C6ABE" w14:textId="77777777" w:rsidR="005D0703" w:rsidRDefault="005D0703" w:rsidP="005D0703">
      <w:pPr>
        <w:spacing w:after="0"/>
      </w:pPr>
    </w:p>
    <w:p w14:paraId="25D7BC96" w14:textId="77777777" w:rsidR="00D34CB0" w:rsidRDefault="001E5584" w:rsidP="00D34CB0">
      <w:r>
        <w:t>The PIA notes</w:t>
      </w:r>
      <w:r w:rsidR="002C3865">
        <w:t xml:space="preserve"> that </w:t>
      </w:r>
      <w:r w:rsidR="00022604">
        <w:t>provision</w:t>
      </w:r>
      <w:r w:rsidR="00FC10C7">
        <w:t xml:space="preserve"> </w:t>
      </w:r>
      <w:r w:rsidR="002C3865">
        <w:t xml:space="preserve">of </w:t>
      </w:r>
      <w:r w:rsidR="00FC10C7">
        <w:t xml:space="preserve">a network of </w:t>
      </w:r>
      <w:r w:rsidR="00D01AC4">
        <w:t xml:space="preserve">convenient and </w:t>
      </w:r>
      <w:r w:rsidR="00FC10C7">
        <w:t xml:space="preserve">accessible </w:t>
      </w:r>
      <w:r w:rsidR="00753D6B">
        <w:t xml:space="preserve">e-waste </w:t>
      </w:r>
      <w:r>
        <w:t xml:space="preserve">collection points </w:t>
      </w:r>
      <w:r w:rsidR="002C3865">
        <w:t xml:space="preserve">will be essential to encourage </w:t>
      </w:r>
      <w:r w:rsidR="00753D6B">
        <w:t>community compliance with an e-waste landfill ban.</w:t>
      </w:r>
    </w:p>
    <w:p w14:paraId="606A9DDB" w14:textId="77777777" w:rsidR="00753D6B" w:rsidRDefault="00753D6B" w:rsidP="00753D6B">
      <w:pPr>
        <w:spacing w:after="0"/>
      </w:pPr>
      <w:r>
        <w:t xml:space="preserve">Under the preferred option identified in the PIA (Option 1c), the collection network supporting the ban will comprise: </w:t>
      </w:r>
    </w:p>
    <w:p w14:paraId="7536D2D1" w14:textId="77777777" w:rsidR="00753D6B" w:rsidRDefault="004E7AFD" w:rsidP="00753D6B">
      <w:pPr>
        <w:pStyle w:val="ListParagraph"/>
        <w:numPr>
          <w:ilvl w:val="0"/>
          <w:numId w:val="16"/>
        </w:numPr>
        <w:spacing w:after="0"/>
      </w:pPr>
      <w:r>
        <w:t>i</w:t>
      </w:r>
      <w:r w:rsidR="00753D6B">
        <w:t>n metropolitan areas – one permanent drop-off point for every 250,000 people plus mobile collection events in municipalities that don’t have permanent points and in metropolitan fringe</w:t>
      </w:r>
    </w:p>
    <w:p w14:paraId="53428A38" w14:textId="77777777" w:rsidR="00753D6B" w:rsidRDefault="004E7AFD" w:rsidP="00753D6B">
      <w:pPr>
        <w:pStyle w:val="ListParagraph"/>
        <w:numPr>
          <w:ilvl w:val="0"/>
          <w:numId w:val="14"/>
        </w:numPr>
        <w:spacing w:after="0"/>
      </w:pPr>
      <w:r>
        <w:t>i</w:t>
      </w:r>
      <w:r w:rsidR="00753D6B">
        <w:t xml:space="preserve">n regional areas – one permanent drop-off point for every municipality plus one for every town of 4000 people plus mobile collection events for every </w:t>
      </w:r>
      <w:r w:rsidR="00CF0D09">
        <w:t xml:space="preserve">town of </w:t>
      </w:r>
      <w:r w:rsidR="00753D6B">
        <w:t>2000 people</w:t>
      </w:r>
    </w:p>
    <w:p w14:paraId="3ABD6E92" w14:textId="77777777" w:rsidR="00753D6B" w:rsidRDefault="00753D6B" w:rsidP="00753D6B">
      <w:pPr>
        <w:pStyle w:val="ListParagraph"/>
        <w:spacing w:after="0"/>
      </w:pPr>
    </w:p>
    <w:p w14:paraId="1047A3EB" w14:textId="77777777" w:rsidR="00753D6B" w:rsidRDefault="00753D6B" w:rsidP="00753D6B">
      <w:r>
        <w:t>According to the PIA, the</w:t>
      </w:r>
      <w:r w:rsidR="00DF76B2">
        <w:t xml:space="preserve"> mobile</w:t>
      </w:r>
      <w:r>
        <w:t xml:space="preserve"> collection events will be similar in design to Household Ch</w:t>
      </w:r>
      <w:r w:rsidR="00822BC3">
        <w:t>emical Collection mobile events</w:t>
      </w:r>
      <w:r>
        <w:t xml:space="preserve">, with about 50 events held in </w:t>
      </w:r>
      <w:r w:rsidR="0026340D">
        <w:t>regional</w:t>
      </w:r>
      <w:r>
        <w:t xml:space="preserve"> and rural areas and 25 in metropolitan areas each year. The PIA estimates that the proposed collection network under this opt</w:t>
      </w:r>
      <w:r w:rsidR="0026340D">
        <w:t xml:space="preserve">ion will provide approximately </w:t>
      </w:r>
      <w:r>
        <w:t xml:space="preserve">98 per cent of metropolitan and 88 per cent of regional and rural Victorians </w:t>
      </w:r>
      <w:r w:rsidR="00822BC3">
        <w:t>with</w:t>
      </w:r>
      <w:r>
        <w:t xml:space="preserve"> reasonable access to an e-waste service. </w:t>
      </w:r>
    </w:p>
    <w:p w14:paraId="27682FC9" w14:textId="77777777" w:rsidR="00753D6B" w:rsidRDefault="00753D6B" w:rsidP="00753D6B">
      <w:r>
        <w:t>Reasonable access is defined in the PIA as a travel distance of less than 10 kilometres each way in metropolitan areas, requir</w:t>
      </w:r>
      <w:r w:rsidR="00AF56A7">
        <w:t>ing</w:t>
      </w:r>
      <w:r>
        <w:t xml:space="preserve"> less than 20 minutes of driving each way in non-peak hour traffic. In regional areas reasonable access is defined by the proportion of the population living within 25 kilometres of towns providing an e-waste service, which also requires less than 20 minutes of driving time each way.</w:t>
      </w:r>
    </w:p>
    <w:p w14:paraId="62FDFB73" w14:textId="2B330F46" w:rsidR="00F22B24" w:rsidRDefault="008A2E60" w:rsidP="0070553F">
      <w:r>
        <w:t>Councils do not share the S</w:t>
      </w:r>
      <w:r w:rsidR="00822BC3">
        <w:t xml:space="preserve">tate’s view that these distances </w:t>
      </w:r>
      <w:r w:rsidR="00F22B24">
        <w:t>are likely to be</w:t>
      </w:r>
      <w:r w:rsidR="00822BC3">
        <w:t xml:space="preserve"> considered reasonable by the community. For inner metropolitan councils, the proposed network conflicts with </w:t>
      </w:r>
      <w:r w:rsidR="00DF76B2">
        <w:t>the push</w:t>
      </w:r>
      <w:r w:rsidR="00822BC3">
        <w:t xml:space="preserve"> toward</w:t>
      </w:r>
      <w:r w:rsidR="00AF56A7">
        <w:t>s</w:t>
      </w:r>
      <w:r w:rsidR="00822BC3">
        <w:t xml:space="preserve"> car-free living and easy access to essential services. </w:t>
      </w:r>
      <w:r w:rsidR="00E65369">
        <w:t>Councils s</w:t>
      </w:r>
      <w:r w:rsidR="00B27363">
        <w:t>imultane</w:t>
      </w:r>
      <w:r w:rsidR="00F22B24">
        <w:t xml:space="preserve">ously encouraging residents to not </w:t>
      </w:r>
      <w:r w:rsidR="00F22B24">
        <w:lastRenderedPageBreak/>
        <w:t>be car dependent and then r</w:t>
      </w:r>
      <w:r w:rsidR="00822BC3">
        <w:t xml:space="preserve">equiring </w:t>
      </w:r>
      <w:r w:rsidR="00F22B24">
        <w:t>them</w:t>
      </w:r>
      <w:r w:rsidR="00822BC3">
        <w:t xml:space="preserve"> to drive up to 10 kilometres each way to drop off their e-waste is</w:t>
      </w:r>
      <w:r w:rsidR="00DF76B2">
        <w:t>,</w:t>
      </w:r>
      <w:r w:rsidR="00822BC3">
        <w:t xml:space="preserve"> </w:t>
      </w:r>
      <w:r w:rsidR="00B27363">
        <w:t>understandably</w:t>
      </w:r>
      <w:r w:rsidR="00DF76B2">
        <w:t>,</w:t>
      </w:r>
      <w:r w:rsidR="00B27363">
        <w:t xml:space="preserve"> </w:t>
      </w:r>
      <w:r w:rsidR="00822BC3">
        <w:t>unlikely to be well received</w:t>
      </w:r>
      <w:r w:rsidR="00F22B24">
        <w:t xml:space="preserve">. </w:t>
      </w:r>
    </w:p>
    <w:p w14:paraId="0F7F4979" w14:textId="77777777" w:rsidR="001A777F" w:rsidRDefault="00F22B24" w:rsidP="0070553F">
      <w:r>
        <w:t>Likewise, b</w:t>
      </w:r>
      <w:r w:rsidR="00EB6236">
        <w:t xml:space="preserve">roader </w:t>
      </w:r>
      <w:r w:rsidR="0026340D">
        <w:t>metropolitan</w:t>
      </w:r>
      <w:r w:rsidR="00EB6236">
        <w:t xml:space="preserve"> </w:t>
      </w:r>
      <w:r w:rsidR="0026340D">
        <w:t>Melbourne</w:t>
      </w:r>
      <w:r w:rsidR="00EB6236">
        <w:t xml:space="preserve"> councils as well as regional and rural councils consider widespread community compliance with the ban unlikely unless the </w:t>
      </w:r>
      <w:r w:rsidR="004E7AFD">
        <w:t xml:space="preserve">proposed </w:t>
      </w:r>
      <w:r w:rsidR="00EB6236">
        <w:t xml:space="preserve">network of collection points is </w:t>
      </w:r>
      <w:r w:rsidR="004E7AFD">
        <w:t xml:space="preserve">greatly </w:t>
      </w:r>
      <w:r w:rsidR="00AF56A7">
        <w:t>improved</w:t>
      </w:r>
      <w:r w:rsidR="00EB6236">
        <w:t xml:space="preserve">. </w:t>
      </w:r>
      <w:r>
        <w:t>In councils’ view, u</w:t>
      </w:r>
      <w:r w:rsidR="003265E3">
        <w:t xml:space="preserve">nless </w:t>
      </w:r>
      <w:r>
        <w:t xml:space="preserve">more </w:t>
      </w:r>
      <w:r w:rsidR="0026340D">
        <w:t>convenient</w:t>
      </w:r>
      <w:r>
        <w:t xml:space="preserve"> and readily accessible collection points </w:t>
      </w:r>
      <w:r w:rsidR="003265E3">
        <w:t>are</w:t>
      </w:r>
      <w:r>
        <w:t xml:space="preserve"> provided, </w:t>
      </w:r>
      <w:r w:rsidR="003265E3">
        <w:t xml:space="preserve">there will be substantial </w:t>
      </w:r>
      <w:r>
        <w:t>illegal dumping of e-waste and mixing of e-waste in with general waste</w:t>
      </w:r>
      <w:r w:rsidR="00A10477">
        <w:t>, including in household garbage bins where non-compliance will be largely undetectable and virtually impossible to police</w:t>
      </w:r>
      <w:r>
        <w:t xml:space="preserve">. </w:t>
      </w:r>
    </w:p>
    <w:p w14:paraId="44A444EB" w14:textId="7DA44063" w:rsidR="00EB6236" w:rsidRDefault="007071C4" w:rsidP="0070553F">
      <w:r>
        <w:t>R</w:t>
      </w:r>
      <w:r w:rsidR="00F22B24">
        <w:t>ural councils note that t</w:t>
      </w:r>
      <w:r w:rsidR="00EB6236">
        <w:t xml:space="preserve">he PIA is essentially silent on what the options are for the 12 per cent of rural Victorians who </w:t>
      </w:r>
      <w:r w:rsidR="00F22B24">
        <w:t xml:space="preserve">will be without </w:t>
      </w:r>
      <w:r w:rsidR="00B27363">
        <w:t>“</w:t>
      </w:r>
      <w:r w:rsidR="00F22B24">
        <w:t>reasonable</w:t>
      </w:r>
      <w:r w:rsidR="00B27363">
        <w:t>”</w:t>
      </w:r>
      <w:r w:rsidR="00F22B24">
        <w:t xml:space="preserve"> access to a collection point. </w:t>
      </w:r>
      <w:r w:rsidR="00E30393">
        <w:t xml:space="preserve">Unless councils are able to fund additional collection points themselves these communities are presumably expected to go without an e-waste recycling service. </w:t>
      </w:r>
      <w:r w:rsidR="001A777F">
        <w:t xml:space="preserve">This raises important questions around </w:t>
      </w:r>
      <w:r w:rsidR="00E30393">
        <w:t xml:space="preserve">environmental justice </w:t>
      </w:r>
      <w:r w:rsidR="001A777F">
        <w:t>for rural Victorians</w:t>
      </w:r>
      <w:r w:rsidR="00E30393">
        <w:t>.</w:t>
      </w:r>
    </w:p>
    <w:p w14:paraId="6CF4B28D" w14:textId="36C554D4" w:rsidR="00E65369" w:rsidRDefault="00E65369" w:rsidP="002431F0">
      <w:pPr>
        <w:spacing w:after="0"/>
      </w:pPr>
      <w:r>
        <w:t>An</w:t>
      </w:r>
      <w:r w:rsidR="007071C4">
        <w:t xml:space="preserve"> obvious good location for additional</w:t>
      </w:r>
      <w:r>
        <w:t xml:space="preserve"> collection points would be at electronics goods retailers where consumers could deposit their waste products at the same time that they shop for replacement goods. This option doesn’t require would-be recyclers to make a special trip to comply with the ban but rather leverages travel that they’d be making regardless of the ban. It also </w:t>
      </w:r>
      <w:r w:rsidR="00692643">
        <w:t>incorporates</w:t>
      </w:r>
      <w:r>
        <w:t xml:space="preserve"> an element of product stewardship into the ban. We call on both the </w:t>
      </w:r>
      <w:r w:rsidR="008A2E60">
        <w:t>S</w:t>
      </w:r>
      <w:r>
        <w:t>tate and electronic good retailers to provide this service to Victorians.</w:t>
      </w:r>
    </w:p>
    <w:p w14:paraId="48515EF3" w14:textId="77777777" w:rsidR="00644D9E" w:rsidRDefault="00644D9E" w:rsidP="002431F0">
      <w:pPr>
        <w:spacing w:after="0"/>
      </w:pPr>
    </w:p>
    <w:p w14:paraId="06694393" w14:textId="77777777" w:rsidR="004E7AFD" w:rsidRDefault="004E7AFD" w:rsidP="002431F0">
      <w:pPr>
        <w:pStyle w:val="Heading3"/>
        <w:numPr>
          <w:ilvl w:val="0"/>
          <w:numId w:val="0"/>
        </w:numPr>
      </w:pPr>
      <w:bookmarkStart w:id="10" w:name="_Toc504473915"/>
      <w:r>
        <w:t>Transfer stations</w:t>
      </w:r>
      <w:bookmarkEnd w:id="10"/>
    </w:p>
    <w:p w14:paraId="163FB6C4" w14:textId="77777777" w:rsidR="00EA0059" w:rsidRPr="00EA0059" w:rsidRDefault="00EA0059" w:rsidP="00EA0059">
      <w:pPr>
        <w:spacing w:after="0" w:line="240" w:lineRule="auto"/>
      </w:pPr>
    </w:p>
    <w:p w14:paraId="5D170FC9" w14:textId="7226A721" w:rsidR="004E7AFD" w:rsidRDefault="001E5584" w:rsidP="0070553F">
      <w:r>
        <w:t>Council transfer stations</w:t>
      </w:r>
      <w:r w:rsidR="00B27363">
        <w:t>, which</w:t>
      </w:r>
      <w:r>
        <w:t xml:space="preserve"> already play a </w:t>
      </w:r>
      <w:r w:rsidR="002C3865">
        <w:t>key</w:t>
      </w:r>
      <w:r>
        <w:t xml:space="preserve"> role in providing collection and storage points for waste and resource recovery</w:t>
      </w:r>
      <w:r w:rsidR="00B27363">
        <w:t xml:space="preserve">, </w:t>
      </w:r>
      <w:r w:rsidR="00BC1015">
        <w:t xml:space="preserve">have </w:t>
      </w:r>
      <w:r w:rsidR="008A2E60">
        <w:t>been identified by the S</w:t>
      </w:r>
      <w:r w:rsidR="005154EC">
        <w:t>tate</w:t>
      </w:r>
      <w:r w:rsidR="00BC1015">
        <w:t xml:space="preserve"> as having a </w:t>
      </w:r>
      <w:r w:rsidR="002C3865">
        <w:t>critical</w:t>
      </w:r>
      <w:r w:rsidR="00BC1015">
        <w:t xml:space="preserve"> role to play </w:t>
      </w:r>
      <w:r w:rsidR="002C3865">
        <w:t>in the success of the ban</w:t>
      </w:r>
      <w:r>
        <w:t xml:space="preserve">. </w:t>
      </w:r>
    </w:p>
    <w:p w14:paraId="58C588D1" w14:textId="77777777" w:rsidR="00793742" w:rsidRDefault="002C3865" w:rsidP="0070553F">
      <w:r>
        <w:t xml:space="preserve">According to the </w:t>
      </w:r>
      <w:r w:rsidR="00793742">
        <w:t>PIA</w:t>
      </w:r>
      <w:r>
        <w:t>, t</w:t>
      </w:r>
      <w:r w:rsidR="009D5AD2">
        <w:t>ransfer stations will `effectively function as a critical `intermediary’ or `clearing house’ between the supply of e-waste from households and other waste generators, which is uncontrollable in terms of volume and composition, and the demand for e-waste items from the recycling industry, which may have certain requirements or require certain standards in terms of consistency of composition and volume’</w:t>
      </w:r>
      <w:r w:rsidR="00692643">
        <w:rPr>
          <w:rStyle w:val="FootnoteReference"/>
        </w:rPr>
        <w:footnoteReference w:id="6"/>
      </w:r>
      <w:r w:rsidR="009D5AD2">
        <w:t>.</w:t>
      </w:r>
    </w:p>
    <w:p w14:paraId="0BE9176B" w14:textId="77777777" w:rsidR="00753D6B" w:rsidRDefault="00753D6B" w:rsidP="00B27363">
      <w:pPr>
        <w:spacing w:after="0"/>
      </w:pPr>
      <w:r>
        <w:t>Page 55 of the PIA sets out some of the expectations and challenges for council transfer station operators, including:</w:t>
      </w:r>
    </w:p>
    <w:p w14:paraId="08341853" w14:textId="77777777" w:rsidR="00753D6B" w:rsidRDefault="00B27363" w:rsidP="00B27363">
      <w:pPr>
        <w:pStyle w:val="ListParagraph"/>
        <w:numPr>
          <w:ilvl w:val="0"/>
          <w:numId w:val="13"/>
        </w:numPr>
        <w:spacing w:after="0"/>
      </w:pPr>
      <w:r>
        <w:t>e</w:t>
      </w:r>
      <w:r w:rsidR="00753D6B">
        <w:t xml:space="preserve">nsuring </w:t>
      </w:r>
      <w:r w:rsidR="0026340D">
        <w:t>infrastructure</w:t>
      </w:r>
      <w:r w:rsidR="00753D6B">
        <w:t xml:space="preserve"> meets the standard for safe handling and storage of e-waste</w:t>
      </w:r>
    </w:p>
    <w:p w14:paraId="5195E152" w14:textId="77777777" w:rsidR="00753D6B" w:rsidRDefault="00B27363" w:rsidP="00753D6B">
      <w:pPr>
        <w:pStyle w:val="ListParagraph"/>
        <w:numPr>
          <w:ilvl w:val="0"/>
          <w:numId w:val="13"/>
        </w:numPr>
      </w:pPr>
      <w:r>
        <w:t>r</w:t>
      </w:r>
      <w:r w:rsidR="00753D6B">
        <w:t>esponsibility for sorting and clearing e-waste stockpiles before reaching capacity</w:t>
      </w:r>
    </w:p>
    <w:p w14:paraId="7DF1F754" w14:textId="77777777" w:rsidR="00753D6B" w:rsidRDefault="00B27363" w:rsidP="00753D6B">
      <w:pPr>
        <w:pStyle w:val="ListParagraph"/>
        <w:numPr>
          <w:ilvl w:val="0"/>
          <w:numId w:val="13"/>
        </w:numPr>
      </w:pPr>
      <w:r>
        <w:t>f</w:t>
      </w:r>
      <w:r w:rsidR="00753D6B">
        <w:t>inding downstream takers of e-waste who are also willing to accept lower value e-waste</w:t>
      </w:r>
    </w:p>
    <w:p w14:paraId="46AA4AF9" w14:textId="77777777" w:rsidR="00753D6B" w:rsidRDefault="00B27363" w:rsidP="00753D6B">
      <w:pPr>
        <w:pStyle w:val="ListParagraph"/>
        <w:numPr>
          <w:ilvl w:val="0"/>
          <w:numId w:val="13"/>
        </w:numPr>
      </w:pPr>
      <w:r>
        <w:t>p</w:t>
      </w:r>
      <w:r w:rsidR="00753D6B">
        <w:t>otentially incurring transportation costs to transfer e-waste to recyclers</w:t>
      </w:r>
    </w:p>
    <w:p w14:paraId="0E0B1D3C" w14:textId="7EC9F118" w:rsidR="00D40599" w:rsidRDefault="00842D2C" w:rsidP="002C3865">
      <w:r>
        <w:lastRenderedPageBreak/>
        <w:t xml:space="preserve">In order to be suitable to receive, sort and store e-waste, transfer stations will need to comply with the Australian Standard for the </w:t>
      </w:r>
      <w:r w:rsidR="002431F0">
        <w:t>C</w:t>
      </w:r>
      <w:r w:rsidR="0026340D">
        <w:t>ollection</w:t>
      </w:r>
      <w:r>
        <w:t xml:space="preserve">, storage, transport and treatment of end-of-life electrical and electronic equipment (AS5377). </w:t>
      </w:r>
      <w:r w:rsidR="002C3865">
        <w:t xml:space="preserve">The PIA notes that </w:t>
      </w:r>
      <w:r w:rsidR="00587228">
        <w:t xml:space="preserve">currently </w:t>
      </w:r>
      <w:r w:rsidR="002C3865">
        <w:t xml:space="preserve">only </w:t>
      </w:r>
      <w:r w:rsidR="0045076A">
        <w:t>65</w:t>
      </w:r>
      <w:r w:rsidR="002C3865">
        <w:t xml:space="preserve"> of the 2</w:t>
      </w:r>
      <w:r w:rsidR="0045076A">
        <w:t xml:space="preserve">96 </w:t>
      </w:r>
      <w:r w:rsidR="002C3865">
        <w:t>transfer stations in Victoria</w:t>
      </w:r>
      <w:r w:rsidR="0045076A">
        <w:t xml:space="preserve"> </w:t>
      </w:r>
      <w:r w:rsidR="002C3865">
        <w:t>have adequate infrastructure to safely manage e-waste onsite</w:t>
      </w:r>
      <w:r w:rsidR="00CD4AA6">
        <w:t>, 16 of which are in metropolitan areas and 49 in regional areas</w:t>
      </w:r>
      <w:r w:rsidR="0045076A">
        <w:t xml:space="preserve">. </w:t>
      </w:r>
      <w:r w:rsidR="002C3865">
        <w:t xml:space="preserve">This finding is </w:t>
      </w:r>
      <w:r w:rsidR="00B27363">
        <w:t>supporte</w:t>
      </w:r>
      <w:r w:rsidR="002C3865">
        <w:t xml:space="preserve">d by the many councils who’ve raised concerns that they don’t have the necessary </w:t>
      </w:r>
      <w:r w:rsidR="0026340D">
        <w:t>infrastructure</w:t>
      </w:r>
      <w:r w:rsidR="002C3865">
        <w:t xml:space="preserve"> in place to receive and store </w:t>
      </w:r>
      <w:r w:rsidR="00B27363">
        <w:t>increased</w:t>
      </w:r>
      <w:r w:rsidR="002C3865">
        <w:t xml:space="preserve"> volumes of e-waste. </w:t>
      </w:r>
    </w:p>
    <w:p w14:paraId="5B6D340D" w14:textId="5BF88041" w:rsidR="00D40599" w:rsidRDefault="002C3865" w:rsidP="002C3865">
      <w:r>
        <w:t>Under the preferred option, it is consider</w:t>
      </w:r>
      <w:r w:rsidR="0045076A">
        <w:t>ed</w:t>
      </w:r>
      <w:r>
        <w:t xml:space="preserve"> that 39 transfer stations will require major upgrade</w:t>
      </w:r>
      <w:r w:rsidR="00C450BE">
        <w:t>s</w:t>
      </w:r>
      <w:r>
        <w:t xml:space="preserve"> and</w:t>
      </w:r>
      <w:r w:rsidR="00587228">
        <w:t xml:space="preserve"> a further</w:t>
      </w:r>
      <w:r>
        <w:t xml:space="preserve"> 65 transfer stations wi</w:t>
      </w:r>
      <w:r w:rsidR="00587228">
        <w:t>ll require minor works</w:t>
      </w:r>
      <w:r>
        <w:t>. The total cost of transfer upgrades is</w:t>
      </w:r>
      <w:r w:rsidR="0045076A">
        <w:t xml:space="preserve"> estimated </w:t>
      </w:r>
      <w:r w:rsidR="00D40599">
        <w:t>in the PIA to be</w:t>
      </w:r>
      <w:r w:rsidR="0045076A">
        <w:t xml:space="preserve"> $4.3 million</w:t>
      </w:r>
      <w:r w:rsidR="0000243B">
        <w:t>. T</w:t>
      </w:r>
      <w:r w:rsidR="008A2E60">
        <w:t>he S</w:t>
      </w:r>
      <w:r w:rsidR="00587228">
        <w:t xml:space="preserve">tate has allocated $15 million over four years to </w:t>
      </w:r>
      <w:r w:rsidR="00D40599">
        <w:t>`</w:t>
      </w:r>
      <w:r w:rsidR="00587228">
        <w:t>design and implement a program to ensure there is an adequate collection network across Victoria</w:t>
      </w:r>
      <w:r w:rsidR="00D40599">
        <w:t>’</w:t>
      </w:r>
      <w:r w:rsidR="00587228">
        <w:t>.</w:t>
      </w:r>
      <w:r w:rsidR="00D40599">
        <w:t xml:space="preserve"> Councils do not consider the $4.3 million to be a reasonable cost estimate and are concerned that the $15 million may not ev</w:t>
      </w:r>
      <w:r w:rsidR="00D34CB0">
        <w:t>en be adequate if there is to be</w:t>
      </w:r>
      <w:r w:rsidR="00D40599">
        <w:t xml:space="preserve"> a </w:t>
      </w:r>
      <w:r w:rsidR="0000243B">
        <w:t xml:space="preserve">genuinely </w:t>
      </w:r>
      <w:r w:rsidR="00D40599">
        <w:t>reasonable level of access to up-to-standard drop-off points.</w:t>
      </w:r>
      <w:r w:rsidR="00587228">
        <w:t xml:space="preserve"> </w:t>
      </w:r>
      <w:r w:rsidR="00850E0F">
        <w:t xml:space="preserve">It is unclear what funding has been allocated for </w:t>
      </w:r>
      <w:r w:rsidR="00757252">
        <w:t xml:space="preserve">the </w:t>
      </w:r>
      <w:r w:rsidR="00850E0F">
        <w:t xml:space="preserve">ongoing cycle of </w:t>
      </w:r>
      <w:r w:rsidR="00753D6B">
        <w:t xml:space="preserve">mobile </w:t>
      </w:r>
      <w:r w:rsidR="00D40599">
        <w:t>collection events</w:t>
      </w:r>
      <w:r w:rsidR="001A777F">
        <w:t xml:space="preserve"> and how soon after entry into force of the ban </w:t>
      </w:r>
      <w:r w:rsidR="00A077F3">
        <w:t>these events will start to be provide</w:t>
      </w:r>
      <w:r w:rsidR="001A777F">
        <w:t>d</w:t>
      </w:r>
      <w:r w:rsidR="00D40599">
        <w:t xml:space="preserve">. </w:t>
      </w:r>
    </w:p>
    <w:p w14:paraId="0772CBD7" w14:textId="7C8CC9F4" w:rsidR="00753D6B" w:rsidRDefault="00753D6B" w:rsidP="002C3865">
      <w:r>
        <w:t xml:space="preserve">While the $15 million e-waste infrastructure program </w:t>
      </w:r>
      <w:r w:rsidR="008A2E60">
        <w:t>is a welcome investment by the S</w:t>
      </w:r>
      <w:r>
        <w:t>tate, i</w:t>
      </w:r>
      <w:r w:rsidR="004E7AFD">
        <w:t>t is greatly concerning that this</w:t>
      </w:r>
      <w:r>
        <w:t xml:space="preserve"> program will not be rolled out until after the 1 July 2018 ban commencement date. This means that </w:t>
      </w:r>
      <w:r w:rsidR="00B27363">
        <w:t>the majority of</w:t>
      </w:r>
      <w:r>
        <w:t xml:space="preserve"> council transfer stations will still not be compliant with the standard for safe handling and storage of e-waste when potentially large volumes of e-waste </w:t>
      </w:r>
      <w:r w:rsidR="004E7AFD">
        <w:t>start being dropped off</w:t>
      </w:r>
      <w:r w:rsidR="00822BC3">
        <w:t xml:space="preserve">. </w:t>
      </w:r>
      <w:r>
        <w:t xml:space="preserve"> </w:t>
      </w:r>
      <w:r w:rsidR="004E7AFD">
        <w:t xml:space="preserve">This is not an acceptable situation. The ban should not come into force until the </w:t>
      </w:r>
      <w:r w:rsidR="00B27363">
        <w:t xml:space="preserve">entire </w:t>
      </w:r>
      <w:r w:rsidR="004E7AFD">
        <w:t>infrastructure program has been successfully rolled out.</w:t>
      </w:r>
      <w:r w:rsidR="001A777F">
        <w:t xml:space="preserve"> Councils have both a legal obligation and a moral obligation to provide a safe environment for their staff and others attending their facilities. The current proposed timing of the ban means councils will not be able to meet these obligations.</w:t>
      </w:r>
    </w:p>
    <w:p w14:paraId="5A02A6E9" w14:textId="05E29ACF" w:rsidR="00D40599" w:rsidRDefault="00D40599" w:rsidP="00B27363">
      <w:pPr>
        <w:spacing w:after="0"/>
      </w:pPr>
      <w:r>
        <w:t>We note t</w:t>
      </w:r>
      <w:r w:rsidR="00B27363">
        <w:t xml:space="preserve">here is no </w:t>
      </w:r>
      <w:r w:rsidR="008A2E60">
        <w:t>S</w:t>
      </w:r>
      <w:r w:rsidR="00842D2C">
        <w:t xml:space="preserve">tate funding allocation for the additional </w:t>
      </w:r>
      <w:r>
        <w:t>staffing</w:t>
      </w:r>
      <w:r w:rsidR="00842D2C">
        <w:t xml:space="preserve"> likely required at transfer stations to deal with handling and sorting</w:t>
      </w:r>
      <w:r w:rsidR="00B27363">
        <w:t xml:space="preserve"> increased volumes of</w:t>
      </w:r>
      <w:r w:rsidR="00842D2C">
        <w:t xml:space="preserve"> e-waste</w:t>
      </w:r>
      <w:r>
        <w:t xml:space="preserve">. The PIA </w:t>
      </w:r>
      <w:r w:rsidR="00B640DD">
        <w:t>estimate</w:t>
      </w:r>
      <w:r>
        <w:t xml:space="preserve">s the additional resourcing </w:t>
      </w:r>
      <w:r w:rsidR="0026340D">
        <w:t>requirement</w:t>
      </w:r>
      <w:r>
        <w:t xml:space="preserve"> to be: </w:t>
      </w:r>
    </w:p>
    <w:p w14:paraId="32CA0E24" w14:textId="77777777" w:rsidR="00587228" w:rsidRDefault="00B640DD" w:rsidP="00B27363">
      <w:pPr>
        <w:pStyle w:val="ListParagraph"/>
        <w:numPr>
          <w:ilvl w:val="0"/>
          <w:numId w:val="15"/>
        </w:numPr>
        <w:spacing w:after="0"/>
      </w:pPr>
      <w:r>
        <w:t>0.8 FTE for each of the 24 met</w:t>
      </w:r>
      <w:r w:rsidR="00757252">
        <w:t>r</w:t>
      </w:r>
      <w:r>
        <w:t xml:space="preserve">opolitan transfer stations at which a permanent drop-off point </w:t>
      </w:r>
      <w:r w:rsidR="00B27363">
        <w:t>will be</w:t>
      </w:r>
      <w:r w:rsidR="00D40599">
        <w:t xml:space="preserve"> established, at a cost of approximately $65,000 for labour (including on-costs) plus an additional $3000 per site each year to cover promotion</w:t>
      </w:r>
      <w:r w:rsidR="00757252">
        <w:t xml:space="preserve"> which equates to $81 per tonne of e-waste (excluding white goods)</w:t>
      </w:r>
    </w:p>
    <w:p w14:paraId="0C8D3839" w14:textId="77777777" w:rsidR="00757252" w:rsidRDefault="00D40599" w:rsidP="00757252">
      <w:pPr>
        <w:pStyle w:val="ListParagraph"/>
        <w:numPr>
          <w:ilvl w:val="0"/>
          <w:numId w:val="15"/>
        </w:numPr>
      </w:pPr>
      <w:r>
        <w:t xml:space="preserve">0.1 FTE for each of the 80 regional transfer stations </w:t>
      </w:r>
      <w:r w:rsidR="00757252">
        <w:t>– also equating to 81 per tonne of e-waste (excluding white goods)</w:t>
      </w:r>
    </w:p>
    <w:p w14:paraId="47286C89" w14:textId="5AC6AF19" w:rsidR="00EE3F6A" w:rsidRDefault="0000243B" w:rsidP="005D0703">
      <w:pPr>
        <w:spacing w:after="0"/>
      </w:pPr>
      <w:r>
        <w:t>Despite this additional cos</w:t>
      </w:r>
      <w:r w:rsidR="002431F0">
        <w:t>t being a direct result of the S</w:t>
      </w:r>
      <w:r>
        <w:t xml:space="preserve">tate’s decision to impose a ban, </w:t>
      </w:r>
      <w:r w:rsidR="001A777F">
        <w:t>the State has not made any commitment to assist councils to meet these costs. Again, ratepayers are expected to foot the bill.</w:t>
      </w:r>
    </w:p>
    <w:p w14:paraId="330113EB" w14:textId="77777777" w:rsidR="00EE3F6A" w:rsidRDefault="00EE3F6A" w:rsidP="005D0703">
      <w:pPr>
        <w:spacing w:after="0"/>
      </w:pPr>
    </w:p>
    <w:p w14:paraId="292BF6C7" w14:textId="2A5CCA93" w:rsidR="004D3E4B" w:rsidRDefault="004D3E4B" w:rsidP="005D0703">
      <w:pPr>
        <w:spacing w:after="0"/>
      </w:pPr>
      <w:r>
        <w:t>Councils without transfer stations within their municipality are understandably concerned about the availability of collection points for their resident</w:t>
      </w:r>
      <w:r w:rsidR="0061167E">
        <w:t xml:space="preserve">s. It is anticipated that </w:t>
      </w:r>
      <w:r>
        <w:t xml:space="preserve">residents in </w:t>
      </w:r>
      <w:r w:rsidR="0061167E">
        <w:t xml:space="preserve">these municipalities in </w:t>
      </w:r>
      <w:r>
        <w:t xml:space="preserve">particular will have a strong expectation that their e-waste will be collected as part of their council’s hard waste service. </w:t>
      </w:r>
    </w:p>
    <w:p w14:paraId="5CB5E7D0" w14:textId="77777777" w:rsidR="00EE3F6A" w:rsidRDefault="00EE3F6A" w:rsidP="002431F0">
      <w:pPr>
        <w:spacing w:after="0"/>
        <w:rPr>
          <w:u w:val="single"/>
        </w:rPr>
      </w:pPr>
      <w:r w:rsidRPr="00644D9E">
        <w:rPr>
          <w:u w:val="single"/>
        </w:rPr>
        <w:lastRenderedPageBreak/>
        <w:t>Hard waste</w:t>
      </w:r>
    </w:p>
    <w:p w14:paraId="3C02086D" w14:textId="77777777" w:rsidR="00EA0059" w:rsidRPr="00644D9E" w:rsidRDefault="00EA0059" w:rsidP="008B246C">
      <w:pPr>
        <w:spacing w:after="0" w:line="240" w:lineRule="auto"/>
        <w:rPr>
          <w:u w:val="single"/>
        </w:rPr>
      </w:pPr>
    </w:p>
    <w:p w14:paraId="7FFB56F4" w14:textId="77777777" w:rsidR="002431F0" w:rsidRDefault="00EE3F6A" w:rsidP="002431F0">
      <w:pPr>
        <w:pStyle w:val="CommentText"/>
        <w:spacing w:after="0" w:line="276" w:lineRule="auto"/>
        <w:rPr>
          <w:sz w:val="22"/>
          <w:szCs w:val="22"/>
        </w:rPr>
      </w:pPr>
      <w:r>
        <w:rPr>
          <w:sz w:val="22"/>
          <w:szCs w:val="22"/>
        </w:rPr>
        <w:t xml:space="preserve">The PIA fails to acknowledge that the State’s preferred approach to the ban will </w:t>
      </w:r>
      <w:r w:rsidRPr="00D92D73">
        <w:rPr>
          <w:sz w:val="22"/>
          <w:szCs w:val="22"/>
        </w:rPr>
        <w:t>have direc</w:t>
      </w:r>
      <w:r>
        <w:rPr>
          <w:sz w:val="22"/>
          <w:szCs w:val="22"/>
        </w:rPr>
        <w:t xml:space="preserve">t cost and resource impacts on council </w:t>
      </w:r>
      <w:r w:rsidRPr="00D92D73">
        <w:rPr>
          <w:sz w:val="22"/>
          <w:szCs w:val="22"/>
        </w:rPr>
        <w:t xml:space="preserve">hard waste </w:t>
      </w:r>
      <w:r>
        <w:rPr>
          <w:sz w:val="22"/>
          <w:szCs w:val="22"/>
        </w:rPr>
        <w:t xml:space="preserve">and dumped rubbish </w:t>
      </w:r>
      <w:r w:rsidRPr="00D92D73">
        <w:rPr>
          <w:sz w:val="22"/>
          <w:szCs w:val="22"/>
        </w:rPr>
        <w:t xml:space="preserve">collection </w:t>
      </w:r>
      <w:r w:rsidR="008A16D9" w:rsidRPr="00D92D73">
        <w:rPr>
          <w:sz w:val="22"/>
          <w:szCs w:val="22"/>
        </w:rPr>
        <w:t>arrangements</w:t>
      </w:r>
      <w:r w:rsidRPr="00D92D73">
        <w:rPr>
          <w:sz w:val="22"/>
          <w:szCs w:val="22"/>
        </w:rPr>
        <w:t xml:space="preserve">. Additional manned vehicles will likely need to be deployed for these collections. Additional storage, transfer/transportation and processing costs will also be incurred. </w:t>
      </w:r>
    </w:p>
    <w:p w14:paraId="730FE742" w14:textId="6843CEB1" w:rsidR="00EE3F6A" w:rsidRPr="00D92D73" w:rsidRDefault="00EE3F6A" w:rsidP="00066862">
      <w:pPr>
        <w:pStyle w:val="CommentText"/>
        <w:spacing w:after="0" w:line="276" w:lineRule="auto"/>
        <w:rPr>
          <w:sz w:val="22"/>
          <w:szCs w:val="22"/>
        </w:rPr>
      </w:pPr>
      <w:r w:rsidRPr="00D92D73">
        <w:rPr>
          <w:sz w:val="22"/>
          <w:szCs w:val="22"/>
        </w:rPr>
        <w:t xml:space="preserve">The proposed timing of the introduction of the ban </w:t>
      </w:r>
      <w:r>
        <w:rPr>
          <w:sz w:val="22"/>
          <w:szCs w:val="22"/>
        </w:rPr>
        <w:t xml:space="preserve">is also problematic in that fails to take into account that council waste </w:t>
      </w:r>
      <w:r w:rsidRPr="00D92D73">
        <w:rPr>
          <w:sz w:val="22"/>
          <w:szCs w:val="22"/>
        </w:rPr>
        <w:t>contract</w:t>
      </w:r>
      <w:r>
        <w:rPr>
          <w:sz w:val="22"/>
          <w:szCs w:val="22"/>
        </w:rPr>
        <w:t xml:space="preserve">s </w:t>
      </w:r>
      <w:r w:rsidRPr="00D92D73">
        <w:rPr>
          <w:sz w:val="22"/>
          <w:szCs w:val="22"/>
        </w:rPr>
        <w:t xml:space="preserve">are typically multi-year and </w:t>
      </w:r>
      <w:r>
        <w:rPr>
          <w:sz w:val="22"/>
          <w:szCs w:val="22"/>
        </w:rPr>
        <w:t xml:space="preserve">involve forward planning in terms of budgeting, </w:t>
      </w:r>
      <w:r w:rsidRPr="00D92D73">
        <w:rPr>
          <w:sz w:val="22"/>
          <w:szCs w:val="22"/>
        </w:rPr>
        <w:t>t</w:t>
      </w:r>
      <w:r>
        <w:rPr>
          <w:sz w:val="22"/>
          <w:szCs w:val="22"/>
        </w:rPr>
        <w:t xml:space="preserve">endering and negotiation. Councils currently renegotiating their contracts find themselves in the very difficult </w:t>
      </w:r>
      <w:r w:rsidR="0061167E">
        <w:rPr>
          <w:sz w:val="22"/>
          <w:szCs w:val="22"/>
        </w:rPr>
        <w:t xml:space="preserve">and vulnerable </w:t>
      </w:r>
      <w:r>
        <w:rPr>
          <w:sz w:val="22"/>
          <w:szCs w:val="22"/>
        </w:rPr>
        <w:t xml:space="preserve">position of trying to factor in the ban, without knowing exactly what it will cover and how it will be implemented. </w:t>
      </w:r>
    </w:p>
    <w:p w14:paraId="7F7A4C42" w14:textId="77777777" w:rsidR="005D0703" w:rsidRDefault="005D0703" w:rsidP="00066862">
      <w:pPr>
        <w:spacing w:after="0" w:line="240" w:lineRule="auto"/>
      </w:pPr>
    </w:p>
    <w:p w14:paraId="11CC7E89" w14:textId="77777777" w:rsidR="00171FE7" w:rsidRDefault="00171FE7" w:rsidP="00E75B7C">
      <w:pPr>
        <w:pStyle w:val="Heading2"/>
        <w:numPr>
          <w:ilvl w:val="0"/>
          <w:numId w:val="0"/>
        </w:numPr>
      </w:pPr>
      <w:bookmarkStart w:id="11" w:name="_Toc504473916"/>
      <w:r>
        <w:t>Sorting and transportation of e-waste</w:t>
      </w:r>
      <w:bookmarkEnd w:id="11"/>
    </w:p>
    <w:p w14:paraId="714EE71A" w14:textId="77777777" w:rsidR="00066862" w:rsidRPr="00066862" w:rsidRDefault="00066862" w:rsidP="008B246C">
      <w:pPr>
        <w:spacing w:after="0" w:line="240" w:lineRule="auto"/>
      </w:pPr>
    </w:p>
    <w:p w14:paraId="584EED44" w14:textId="77777777" w:rsidR="00DB33FD" w:rsidRDefault="00DB33FD" w:rsidP="00DB33FD">
      <w:r>
        <w:t xml:space="preserve">As </w:t>
      </w:r>
      <w:r w:rsidR="0026340D">
        <w:t>mentioned</w:t>
      </w:r>
      <w:r>
        <w:t xml:space="preserve"> above, transfer station operators that have permanent e-waste collection points will have a range of new responsibilities arising from the ban, including sorting and clearing e-waste stockpiles before</w:t>
      </w:r>
      <w:r w:rsidR="005D0703">
        <w:t xml:space="preserve"> they</w:t>
      </w:r>
      <w:r>
        <w:t xml:space="preserve"> reach capacity and finding downstream takers of e-waste who are also willing to accept lower value e-waste.</w:t>
      </w:r>
    </w:p>
    <w:p w14:paraId="66F131ED" w14:textId="728094B1" w:rsidR="00DB33FD" w:rsidRDefault="00DB33FD" w:rsidP="00DB33FD">
      <w:r>
        <w:t xml:space="preserve">The Marsden Jacob </w:t>
      </w:r>
      <w:r w:rsidR="0026340D">
        <w:t>Associates</w:t>
      </w:r>
      <w:r>
        <w:t xml:space="preserve"> cost benefit </w:t>
      </w:r>
      <w:r w:rsidR="0026340D">
        <w:t>analysis</w:t>
      </w:r>
      <w:r>
        <w:t xml:space="preserve"> </w:t>
      </w:r>
      <w:r w:rsidR="000F5A7F">
        <w:t>contained within t</w:t>
      </w:r>
      <w:r>
        <w:t xml:space="preserve">he PIA </w:t>
      </w:r>
      <w:r w:rsidR="000F5A7F">
        <w:t xml:space="preserve">sets out the approximate </w:t>
      </w:r>
      <w:r w:rsidR="0000243B">
        <w:t xml:space="preserve">costs </w:t>
      </w:r>
      <w:r w:rsidR="000F5A7F">
        <w:t>for handling and sor</w:t>
      </w:r>
      <w:r w:rsidR="0000243B">
        <w:t>ting of e-waste and transportation</w:t>
      </w:r>
      <w:r w:rsidR="000F5A7F">
        <w:t xml:space="preserve"> of e-waste to recyclers. </w:t>
      </w:r>
      <w:r w:rsidR="0000243B">
        <w:t xml:space="preserve"> In the table below are the approximate costs for the preferred option for the first 10 years of the ban. </w:t>
      </w:r>
      <w:r w:rsidR="000F5A7F">
        <w:t>Given these costs are expected to be borne by councils, the MAV has totalled the amounts of each of these costs in a given year and then divided the total by 79 to give a</w:t>
      </w:r>
      <w:r w:rsidR="005D0703">
        <w:t xml:space="preserve">n approximate cost per council. It is important to acknowledge </w:t>
      </w:r>
      <w:r w:rsidR="000F5A7F">
        <w:t>that the cost will vary markedly from council to council</w:t>
      </w:r>
      <w:r w:rsidR="00CE5FF6">
        <w:t xml:space="preserve"> </w:t>
      </w:r>
      <w:r w:rsidR="0026340D">
        <w:t>depending</w:t>
      </w:r>
      <w:r w:rsidR="00CE5FF6">
        <w:t xml:space="preserve"> on their location and the volume, type and quality of e-waste received.</w:t>
      </w:r>
      <w:r w:rsidR="00D8242B">
        <w:t xml:space="preserve"> </w:t>
      </w:r>
      <w:r w:rsidR="00F24FE1">
        <w:t>C</w:t>
      </w:r>
      <w:r w:rsidR="00D8242B">
        <w:t xml:space="preserve">ouncils that operate transfer stations are likely to incur costs </w:t>
      </w:r>
      <w:r w:rsidR="00F24FE1">
        <w:t xml:space="preserve">from residents from other </w:t>
      </w:r>
      <w:r w:rsidR="00D8242B">
        <w:t xml:space="preserve">municipalities </w:t>
      </w:r>
      <w:r w:rsidR="00F24FE1">
        <w:t xml:space="preserve">that are without a </w:t>
      </w:r>
      <w:r w:rsidR="00D8242B">
        <w:t>transfer station</w:t>
      </w:r>
      <w:r w:rsidR="00F24FE1">
        <w:t>.</w:t>
      </w:r>
    </w:p>
    <w:tbl>
      <w:tblPr>
        <w:tblW w:w="11310" w:type="dxa"/>
        <w:tblInd w:w="-561" w:type="dxa"/>
        <w:tblLook w:val="04A0" w:firstRow="1" w:lastRow="0" w:firstColumn="1" w:lastColumn="0" w:noHBand="0" w:noVBand="1"/>
      </w:tblPr>
      <w:tblGrid>
        <w:gridCol w:w="940"/>
        <w:gridCol w:w="1037"/>
        <w:gridCol w:w="1037"/>
        <w:gridCol w:w="1037"/>
        <w:gridCol w:w="1037"/>
        <w:gridCol w:w="1037"/>
        <w:gridCol w:w="1037"/>
        <w:gridCol w:w="1037"/>
        <w:gridCol w:w="1037"/>
        <w:gridCol w:w="1037"/>
        <w:gridCol w:w="1037"/>
      </w:tblGrid>
      <w:tr w:rsidR="00DB33FD" w:rsidRPr="00854EFD" w14:paraId="75C369C4" w14:textId="77777777" w:rsidTr="00E27199">
        <w:trPr>
          <w:trHeight w:val="240"/>
        </w:trPr>
        <w:tc>
          <w:tcPr>
            <w:tcW w:w="940"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4E154456" w14:textId="77777777" w:rsidR="00DB33FD" w:rsidRPr="00854EFD" w:rsidRDefault="00DB33FD" w:rsidP="00E65369">
            <w:pPr>
              <w:spacing w:after="0" w:line="240" w:lineRule="auto"/>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Option 1c</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20EB7F05"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2017</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0574AC40"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2018</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6800C706"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2019</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00E01EBB"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2020</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31078E7A"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2021</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09F1AE0C"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2022</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17AECB88"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2023</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27C2CEFA"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2024</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778B0F3E"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2025</w:t>
            </w:r>
          </w:p>
        </w:tc>
        <w:tc>
          <w:tcPr>
            <w:tcW w:w="1037" w:type="dxa"/>
            <w:tcBorders>
              <w:top w:val="single" w:sz="4" w:space="0" w:color="auto"/>
              <w:left w:val="nil"/>
              <w:bottom w:val="single" w:sz="4" w:space="0" w:color="auto"/>
              <w:right w:val="single" w:sz="4" w:space="0" w:color="auto"/>
            </w:tcBorders>
            <w:shd w:val="clear" w:color="000000" w:fill="BDD7EE"/>
            <w:vAlign w:val="center"/>
            <w:hideMark/>
          </w:tcPr>
          <w:p w14:paraId="2CD4AB7B"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2026</w:t>
            </w:r>
          </w:p>
        </w:tc>
      </w:tr>
      <w:tr w:rsidR="00DB33FD" w:rsidRPr="00854EFD" w14:paraId="1644604B" w14:textId="77777777" w:rsidTr="00E27199">
        <w:trPr>
          <w:trHeight w:val="480"/>
        </w:trPr>
        <w:tc>
          <w:tcPr>
            <w:tcW w:w="940" w:type="dxa"/>
            <w:tcBorders>
              <w:top w:val="nil"/>
              <w:left w:val="single" w:sz="4" w:space="0" w:color="auto"/>
              <w:bottom w:val="single" w:sz="4" w:space="0" w:color="auto"/>
              <w:right w:val="single" w:sz="4" w:space="0" w:color="auto"/>
            </w:tcBorders>
            <w:shd w:val="clear" w:color="000000" w:fill="BDD7EE"/>
            <w:vAlign w:val="center"/>
            <w:hideMark/>
          </w:tcPr>
          <w:p w14:paraId="64BD8D78" w14:textId="77777777" w:rsidR="00DB33FD" w:rsidRPr="00854EFD" w:rsidRDefault="00DB33FD" w:rsidP="00DB33FD">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Handling &amp; s</w:t>
            </w:r>
            <w:r w:rsidRPr="00854EFD">
              <w:rPr>
                <w:rFonts w:ascii="Calibri" w:eastAsia="Times New Roman" w:hAnsi="Calibri" w:cs="Calibri"/>
                <w:color w:val="000000"/>
                <w:sz w:val="18"/>
                <w:szCs w:val="18"/>
                <w:lang w:eastAsia="en-AU"/>
              </w:rPr>
              <w:t xml:space="preserve">orting </w:t>
            </w:r>
          </w:p>
        </w:tc>
        <w:tc>
          <w:tcPr>
            <w:tcW w:w="1037" w:type="dxa"/>
            <w:tcBorders>
              <w:top w:val="nil"/>
              <w:left w:val="nil"/>
              <w:bottom w:val="single" w:sz="4" w:space="0" w:color="auto"/>
              <w:right w:val="single" w:sz="4" w:space="0" w:color="auto"/>
            </w:tcBorders>
            <w:shd w:val="clear" w:color="auto" w:fill="auto"/>
            <w:vAlign w:val="center"/>
            <w:hideMark/>
          </w:tcPr>
          <w:p w14:paraId="56E92BCE"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$2,168,613</w:t>
            </w:r>
          </w:p>
        </w:tc>
        <w:tc>
          <w:tcPr>
            <w:tcW w:w="1037" w:type="dxa"/>
            <w:tcBorders>
              <w:top w:val="nil"/>
              <w:left w:val="nil"/>
              <w:bottom w:val="single" w:sz="4" w:space="0" w:color="auto"/>
              <w:right w:val="single" w:sz="4" w:space="0" w:color="auto"/>
            </w:tcBorders>
            <w:shd w:val="clear" w:color="auto" w:fill="auto"/>
            <w:vAlign w:val="center"/>
            <w:hideMark/>
          </w:tcPr>
          <w:p w14:paraId="4A42574D"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$2,168,665</w:t>
            </w:r>
          </w:p>
        </w:tc>
        <w:tc>
          <w:tcPr>
            <w:tcW w:w="1037" w:type="dxa"/>
            <w:tcBorders>
              <w:top w:val="nil"/>
              <w:left w:val="nil"/>
              <w:bottom w:val="single" w:sz="4" w:space="0" w:color="auto"/>
              <w:right w:val="single" w:sz="4" w:space="0" w:color="auto"/>
            </w:tcBorders>
            <w:shd w:val="clear" w:color="auto" w:fill="auto"/>
            <w:vAlign w:val="center"/>
            <w:hideMark/>
          </w:tcPr>
          <w:p w14:paraId="6E1BFA2A"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$2,370,253</w:t>
            </w:r>
          </w:p>
        </w:tc>
        <w:tc>
          <w:tcPr>
            <w:tcW w:w="1037" w:type="dxa"/>
            <w:tcBorders>
              <w:top w:val="nil"/>
              <w:left w:val="nil"/>
              <w:bottom w:val="single" w:sz="4" w:space="0" w:color="auto"/>
              <w:right w:val="single" w:sz="4" w:space="0" w:color="auto"/>
            </w:tcBorders>
            <w:shd w:val="clear" w:color="auto" w:fill="auto"/>
            <w:vAlign w:val="center"/>
            <w:hideMark/>
          </w:tcPr>
          <w:p w14:paraId="42590B41"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$2,459,733</w:t>
            </w:r>
          </w:p>
        </w:tc>
        <w:tc>
          <w:tcPr>
            <w:tcW w:w="1037" w:type="dxa"/>
            <w:tcBorders>
              <w:top w:val="nil"/>
              <w:left w:val="nil"/>
              <w:bottom w:val="single" w:sz="4" w:space="0" w:color="auto"/>
              <w:right w:val="single" w:sz="4" w:space="0" w:color="auto"/>
            </w:tcBorders>
            <w:shd w:val="clear" w:color="auto" w:fill="auto"/>
            <w:vAlign w:val="center"/>
            <w:hideMark/>
          </w:tcPr>
          <w:p w14:paraId="6D1188F6"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$2,621,155</w:t>
            </w:r>
          </w:p>
        </w:tc>
        <w:tc>
          <w:tcPr>
            <w:tcW w:w="1037" w:type="dxa"/>
            <w:tcBorders>
              <w:top w:val="nil"/>
              <w:left w:val="nil"/>
              <w:bottom w:val="single" w:sz="4" w:space="0" w:color="auto"/>
              <w:right w:val="single" w:sz="4" w:space="0" w:color="auto"/>
            </w:tcBorders>
            <w:shd w:val="clear" w:color="auto" w:fill="auto"/>
            <w:vAlign w:val="center"/>
            <w:hideMark/>
          </w:tcPr>
          <w:p w14:paraId="54C04917"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$2,794,866</w:t>
            </w:r>
          </w:p>
        </w:tc>
        <w:tc>
          <w:tcPr>
            <w:tcW w:w="1037" w:type="dxa"/>
            <w:tcBorders>
              <w:top w:val="nil"/>
              <w:left w:val="nil"/>
              <w:bottom w:val="single" w:sz="4" w:space="0" w:color="auto"/>
              <w:right w:val="single" w:sz="4" w:space="0" w:color="auto"/>
            </w:tcBorders>
            <w:shd w:val="clear" w:color="auto" w:fill="auto"/>
            <w:vAlign w:val="center"/>
            <w:hideMark/>
          </w:tcPr>
          <w:p w14:paraId="6FC0DDC8"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$2,982,649</w:t>
            </w:r>
          </w:p>
        </w:tc>
        <w:tc>
          <w:tcPr>
            <w:tcW w:w="1037" w:type="dxa"/>
            <w:tcBorders>
              <w:top w:val="nil"/>
              <w:left w:val="nil"/>
              <w:bottom w:val="single" w:sz="4" w:space="0" w:color="auto"/>
              <w:right w:val="single" w:sz="4" w:space="0" w:color="auto"/>
            </w:tcBorders>
            <w:shd w:val="clear" w:color="auto" w:fill="auto"/>
            <w:vAlign w:val="center"/>
            <w:hideMark/>
          </w:tcPr>
          <w:p w14:paraId="5509271C"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$3,091,240</w:t>
            </w:r>
          </w:p>
        </w:tc>
        <w:tc>
          <w:tcPr>
            <w:tcW w:w="1037" w:type="dxa"/>
            <w:tcBorders>
              <w:top w:val="nil"/>
              <w:left w:val="nil"/>
              <w:bottom w:val="single" w:sz="4" w:space="0" w:color="auto"/>
              <w:right w:val="single" w:sz="4" w:space="0" w:color="auto"/>
            </w:tcBorders>
            <w:shd w:val="clear" w:color="auto" w:fill="auto"/>
            <w:vAlign w:val="center"/>
            <w:hideMark/>
          </w:tcPr>
          <w:p w14:paraId="5B2E34E9"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$3,205,993</w:t>
            </w:r>
          </w:p>
        </w:tc>
        <w:tc>
          <w:tcPr>
            <w:tcW w:w="1037" w:type="dxa"/>
            <w:tcBorders>
              <w:top w:val="nil"/>
              <w:left w:val="nil"/>
              <w:bottom w:val="single" w:sz="4" w:space="0" w:color="auto"/>
              <w:right w:val="single" w:sz="4" w:space="0" w:color="auto"/>
            </w:tcBorders>
            <w:shd w:val="clear" w:color="auto" w:fill="auto"/>
            <w:vAlign w:val="center"/>
            <w:hideMark/>
          </w:tcPr>
          <w:p w14:paraId="16B0C363"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$3,326,641</w:t>
            </w:r>
          </w:p>
        </w:tc>
      </w:tr>
      <w:tr w:rsidR="00DB33FD" w:rsidRPr="00854EFD" w14:paraId="2ACBA444" w14:textId="77777777" w:rsidTr="00E27199">
        <w:trPr>
          <w:trHeight w:val="720"/>
        </w:trPr>
        <w:tc>
          <w:tcPr>
            <w:tcW w:w="940" w:type="dxa"/>
            <w:tcBorders>
              <w:top w:val="nil"/>
              <w:left w:val="single" w:sz="4" w:space="0" w:color="auto"/>
              <w:bottom w:val="single" w:sz="4" w:space="0" w:color="auto"/>
              <w:right w:val="single" w:sz="4" w:space="0" w:color="auto"/>
            </w:tcBorders>
            <w:shd w:val="clear" w:color="000000" w:fill="BDD7EE"/>
            <w:vAlign w:val="center"/>
            <w:hideMark/>
          </w:tcPr>
          <w:p w14:paraId="582EE0FB" w14:textId="77777777" w:rsidR="00DB33FD" w:rsidRPr="00854EFD" w:rsidRDefault="00DB33FD" w:rsidP="00E65369">
            <w:pPr>
              <w:spacing w:after="0" w:line="240" w:lineRule="auto"/>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Transport to recyclers</w:t>
            </w:r>
          </w:p>
        </w:tc>
        <w:tc>
          <w:tcPr>
            <w:tcW w:w="1037" w:type="dxa"/>
            <w:tcBorders>
              <w:top w:val="nil"/>
              <w:left w:val="nil"/>
              <w:bottom w:val="single" w:sz="4" w:space="0" w:color="auto"/>
              <w:right w:val="single" w:sz="4" w:space="0" w:color="auto"/>
            </w:tcBorders>
            <w:shd w:val="clear" w:color="auto" w:fill="auto"/>
            <w:vAlign w:val="center"/>
            <w:hideMark/>
          </w:tcPr>
          <w:p w14:paraId="1979DED1"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$38,078</w:t>
            </w:r>
          </w:p>
        </w:tc>
        <w:tc>
          <w:tcPr>
            <w:tcW w:w="1037" w:type="dxa"/>
            <w:tcBorders>
              <w:top w:val="nil"/>
              <w:left w:val="nil"/>
              <w:bottom w:val="single" w:sz="4" w:space="0" w:color="auto"/>
              <w:right w:val="single" w:sz="4" w:space="0" w:color="auto"/>
            </w:tcBorders>
            <w:shd w:val="clear" w:color="auto" w:fill="auto"/>
            <w:vAlign w:val="center"/>
            <w:hideMark/>
          </w:tcPr>
          <w:p w14:paraId="7365C566"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$39,863</w:t>
            </w:r>
          </w:p>
        </w:tc>
        <w:tc>
          <w:tcPr>
            <w:tcW w:w="1037" w:type="dxa"/>
            <w:tcBorders>
              <w:top w:val="nil"/>
              <w:left w:val="nil"/>
              <w:bottom w:val="single" w:sz="4" w:space="0" w:color="auto"/>
              <w:right w:val="single" w:sz="4" w:space="0" w:color="auto"/>
            </w:tcBorders>
            <w:shd w:val="clear" w:color="auto" w:fill="auto"/>
            <w:vAlign w:val="center"/>
            <w:hideMark/>
          </w:tcPr>
          <w:p w14:paraId="2252D337"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$2,374,544</w:t>
            </w:r>
          </w:p>
        </w:tc>
        <w:tc>
          <w:tcPr>
            <w:tcW w:w="1037" w:type="dxa"/>
            <w:tcBorders>
              <w:top w:val="nil"/>
              <w:left w:val="nil"/>
              <w:bottom w:val="single" w:sz="4" w:space="0" w:color="auto"/>
              <w:right w:val="single" w:sz="4" w:space="0" w:color="auto"/>
            </w:tcBorders>
            <w:shd w:val="clear" w:color="auto" w:fill="auto"/>
            <w:vAlign w:val="center"/>
            <w:hideMark/>
          </w:tcPr>
          <w:p w14:paraId="5E7DB3E1"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$2,621,648</w:t>
            </w:r>
          </w:p>
        </w:tc>
        <w:tc>
          <w:tcPr>
            <w:tcW w:w="1037" w:type="dxa"/>
            <w:tcBorders>
              <w:top w:val="nil"/>
              <w:left w:val="nil"/>
              <w:bottom w:val="single" w:sz="4" w:space="0" w:color="auto"/>
              <w:right w:val="single" w:sz="4" w:space="0" w:color="auto"/>
            </w:tcBorders>
            <w:shd w:val="clear" w:color="auto" w:fill="auto"/>
            <w:vAlign w:val="center"/>
            <w:hideMark/>
          </w:tcPr>
          <w:p w14:paraId="176AA2D8"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$2,954,944</w:t>
            </w:r>
          </w:p>
        </w:tc>
        <w:tc>
          <w:tcPr>
            <w:tcW w:w="1037" w:type="dxa"/>
            <w:tcBorders>
              <w:top w:val="nil"/>
              <w:left w:val="nil"/>
              <w:bottom w:val="single" w:sz="4" w:space="0" w:color="auto"/>
              <w:right w:val="single" w:sz="4" w:space="0" w:color="auto"/>
            </w:tcBorders>
            <w:shd w:val="clear" w:color="auto" w:fill="auto"/>
            <w:vAlign w:val="center"/>
            <w:hideMark/>
          </w:tcPr>
          <w:p w14:paraId="70F605B8"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$3,317,068</w:t>
            </w:r>
          </w:p>
        </w:tc>
        <w:tc>
          <w:tcPr>
            <w:tcW w:w="1037" w:type="dxa"/>
            <w:tcBorders>
              <w:top w:val="nil"/>
              <w:left w:val="nil"/>
              <w:bottom w:val="single" w:sz="4" w:space="0" w:color="auto"/>
              <w:right w:val="single" w:sz="4" w:space="0" w:color="auto"/>
            </w:tcBorders>
            <w:shd w:val="clear" w:color="auto" w:fill="auto"/>
            <w:vAlign w:val="center"/>
            <w:hideMark/>
          </w:tcPr>
          <w:p w14:paraId="29464819"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$3,713,850</w:t>
            </w:r>
          </w:p>
        </w:tc>
        <w:tc>
          <w:tcPr>
            <w:tcW w:w="1037" w:type="dxa"/>
            <w:tcBorders>
              <w:top w:val="nil"/>
              <w:left w:val="nil"/>
              <w:bottom w:val="single" w:sz="4" w:space="0" w:color="auto"/>
              <w:right w:val="single" w:sz="4" w:space="0" w:color="auto"/>
            </w:tcBorders>
            <w:shd w:val="clear" w:color="auto" w:fill="auto"/>
            <w:vAlign w:val="center"/>
            <w:hideMark/>
          </w:tcPr>
          <w:p w14:paraId="0848C26C"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$3,864,542</w:t>
            </w:r>
          </w:p>
        </w:tc>
        <w:tc>
          <w:tcPr>
            <w:tcW w:w="1037" w:type="dxa"/>
            <w:tcBorders>
              <w:top w:val="nil"/>
              <w:left w:val="nil"/>
              <w:bottom w:val="single" w:sz="4" w:space="0" w:color="auto"/>
              <w:right w:val="single" w:sz="4" w:space="0" w:color="auto"/>
            </w:tcBorders>
            <w:shd w:val="clear" w:color="auto" w:fill="auto"/>
            <w:vAlign w:val="center"/>
            <w:hideMark/>
          </w:tcPr>
          <w:p w14:paraId="6A576CD1"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$4,019,643</w:t>
            </w:r>
          </w:p>
        </w:tc>
        <w:tc>
          <w:tcPr>
            <w:tcW w:w="1037" w:type="dxa"/>
            <w:tcBorders>
              <w:top w:val="nil"/>
              <w:left w:val="nil"/>
              <w:bottom w:val="single" w:sz="4" w:space="0" w:color="auto"/>
              <w:right w:val="single" w:sz="4" w:space="0" w:color="auto"/>
            </w:tcBorders>
            <w:shd w:val="clear" w:color="auto" w:fill="auto"/>
            <w:vAlign w:val="center"/>
            <w:hideMark/>
          </w:tcPr>
          <w:p w14:paraId="36F687FC"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$4,181,349</w:t>
            </w:r>
          </w:p>
        </w:tc>
      </w:tr>
      <w:tr w:rsidR="00DB33FD" w:rsidRPr="00854EFD" w14:paraId="2383BF56" w14:textId="77777777" w:rsidTr="00E27199">
        <w:trPr>
          <w:trHeight w:val="240"/>
        </w:trPr>
        <w:tc>
          <w:tcPr>
            <w:tcW w:w="940" w:type="dxa"/>
            <w:tcBorders>
              <w:top w:val="nil"/>
              <w:left w:val="single" w:sz="4" w:space="0" w:color="auto"/>
              <w:bottom w:val="single" w:sz="4" w:space="0" w:color="auto"/>
              <w:right w:val="single" w:sz="4" w:space="0" w:color="auto"/>
            </w:tcBorders>
            <w:shd w:val="clear" w:color="000000" w:fill="BDD7EE"/>
            <w:noWrap/>
            <w:vAlign w:val="center"/>
            <w:hideMark/>
          </w:tcPr>
          <w:p w14:paraId="616996BF" w14:textId="77777777" w:rsidR="00DB33FD" w:rsidRPr="00854EFD" w:rsidRDefault="00DB33FD" w:rsidP="00E65369">
            <w:pPr>
              <w:spacing w:after="0" w:line="240" w:lineRule="auto"/>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 xml:space="preserve">Total </w:t>
            </w:r>
          </w:p>
        </w:tc>
        <w:tc>
          <w:tcPr>
            <w:tcW w:w="1037" w:type="dxa"/>
            <w:tcBorders>
              <w:top w:val="nil"/>
              <w:left w:val="nil"/>
              <w:bottom w:val="single" w:sz="4" w:space="0" w:color="auto"/>
              <w:right w:val="single" w:sz="4" w:space="0" w:color="auto"/>
            </w:tcBorders>
            <w:shd w:val="clear" w:color="auto" w:fill="auto"/>
            <w:noWrap/>
            <w:vAlign w:val="bottom"/>
            <w:hideMark/>
          </w:tcPr>
          <w:p w14:paraId="2AC9199F"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$2,206,691</w:t>
            </w:r>
          </w:p>
        </w:tc>
        <w:tc>
          <w:tcPr>
            <w:tcW w:w="1037" w:type="dxa"/>
            <w:tcBorders>
              <w:top w:val="nil"/>
              <w:left w:val="nil"/>
              <w:bottom w:val="single" w:sz="4" w:space="0" w:color="auto"/>
              <w:right w:val="single" w:sz="4" w:space="0" w:color="auto"/>
            </w:tcBorders>
            <w:shd w:val="clear" w:color="auto" w:fill="auto"/>
            <w:noWrap/>
            <w:vAlign w:val="bottom"/>
            <w:hideMark/>
          </w:tcPr>
          <w:p w14:paraId="7FE8A261"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$2,208,528</w:t>
            </w:r>
          </w:p>
        </w:tc>
        <w:tc>
          <w:tcPr>
            <w:tcW w:w="1037" w:type="dxa"/>
            <w:tcBorders>
              <w:top w:val="nil"/>
              <w:left w:val="nil"/>
              <w:bottom w:val="single" w:sz="4" w:space="0" w:color="auto"/>
              <w:right w:val="single" w:sz="4" w:space="0" w:color="auto"/>
            </w:tcBorders>
            <w:shd w:val="clear" w:color="auto" w:fill="auto"/>
            <w:noWrap/>
            <w:vAlign w:val="bottom"/>
            <w:hideMark/>
          </w:tcPr>
          <w:p w14:paraId="1AAA573B"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$4,744,797</w:t>
            </w:r>
          </w:p>
        </w:tc>
        <w:tc>
          <w:tcPr>
            <w:tcW w:w="1037" w:type="dxa"/>
            <w:tcBorders>
              <w:top w:val="nil"/>
              <w:left w:val="nil"/>
              <w:bottom w:val="single" w:sz="4" w:space="0" w:color="auto"/>
              <w:right w:val="single" w:sz="4" w:space="0" w:color="auto"/>
            </w:tcBorders>
            <w:shd w:val="clear" w:color="auto" w:fill="auto"/>
            <w:noWrap/>
            <w:vAlign w:val="bottom"/>
            <w:hideMark/>
          </w:tcPr>
          <w:p w14:paraId="13E12CCE"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$5,081,381</w:t>
            </w:r>
          </w:p>
        </w:tc>
        <w:tc>
          <w:tcPr>
            <w:tcW w:w="1037" w:type="dxa"/>
            <w:tcBorders>
              <w:top w:val="nil"/>
              <w:left w:val="nil"/>
              <w:bottom w:val="single" w:sz="4" w:space="0" w:color="auto"/>
              <w:right w:val="single" w:sz="4" w:space="0" w:color="auto"/>
            </w:tcBorders>
            <w:shd w:val="clear" w:color="auto" w:fill="auto"/>
            <w:noWrap/>
            <w:vAlign w:val="bottom"/>
            <w:hideMark/>
          </w:tcPr>
          <w:p w14:paraId="4080A16B"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$5,576,099</w:t>
            </w:r>
          </w:p>
        </w:tc>
        <w:tc>
          <w:tcPr>
            <w:tcW w:w="1037" w:type="dxa"/>
            <w:tcBorders>
              <w:top w:val="nil"/>
              <w:left w:val="nil"/>
              <w:bottom w:val="single" w:sz="4" w:space="0" w:color="auto"/>
              <w:right w:val="single" w:sz="4" w:space="0" w:color="auto"/>
            </w:tcBorders>
            <w:shd w:val="clear" w:color="auto" w:fill="auto"/>
            <w:noWrap/>
            <w:vAlign w:val="bottom"/>
            <w:hideMark/>
          </w:tcPr>
          <w:p w14:paraId="21BD63C2"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$6,111,934</w:t>
            </w:r>
          </w:p>
        </w:tc>
        <w:tc>
          <w:tcPr>
            <w:tcW w:w="1037" w:type="dxa"/>
            <w:tcBorders>
              <w:top w:val="nil"/>
              <w:left w:val="nil"/>
              <w:bottom w:val="single" w:sz="4" w:space="0" w:color="auto"/>
              <w:right w:val="single" w:sz="4" w:space="0" w:color="auto"/>
            </w:tcBorders>
            <w:shd w:val="clear" w:color="auto" w:fill="auto"/>
            <w:noWrap/>
            <w:vAlign w:val="bottom"/>
            <w:hideMark/>
          </w:tcPr>
          <w:p w14:paraId="79A8D3CD"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$6,696,499</w:t>
            </w:r>
          </w:p>
        </w:tc>
        <w:tc>
          <w:tcPr>
            <w:tcW w:w="1037" w:type="dxa"/>
            <w:tcBorders>
              <w:top w:val="nil"/>
              <w:left w:val="nil"/>
              <w:bottom w:val="single" w:sz="4" w:space="0" w:color="auto"/>
              <w:right w:val="single" w:sz="4" w:space="0" w:color="auto"/>
            </w:tcBorders>
            <w:shd w:val="clear" w:color="auto" w:fill="auto"/>
            <w:noWrap/>
            <w:vAlign w:val="bottom"/>
            <w:hideMark/>
          </w:tcPr>
          <w:p w14:paraId="5CD266DE"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$6,955,782</w:t>
            </w:r>
          </w:p>
        </w:tc>
        <w:tc>
          <w:tcPr>
            <w:tcW w:w="1037" w:type="dxa"/>
            <w:tcBorders>
              <w:top w:val="nil"/>
              <w:left w:val="nil"/>
              <w:bottom w:val="single" w:sz="4" w:space="0" w:color="auto"/>
              <w:right w:val="single" w:sz="4" w:space="0" w:color="auto"/>
            </w:tcBorders>
            <w:shd w:val="clear" w:color="auto" w:fill="auto"/>
            <w:noWrap/>
            <w:vAlign w:val="bottom"/>
            <w:hideMark/>
          </w:tcPr>
          <w:p w14:paraId="0EC1352F"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$7,225,636</w:t>
            </w:r>
          </w:p>
        </w:tc>
        <w:tc>
          <w:tcPr>
            <w:tcW w:w="1037" w:type="dxa"/>
            <w:tcBorders>
              <w:top w:val="nil"/>
              <w:left w:val="nil"/>
              <w:bottom w:val="single" w:sz="4" w:space="0" w:color="auto"/>
              <w:right w:val="single" w:sz="4" w:space="0" w:color="auto"/>
            </w:tcBorders>
            <w:shd w:val="clear" w:color="auto" w:fill="auto"/>
            <w:noWrap/>
            <w:vAlign w:val="bottom"/>
            <w:hideMark/>
          </w:tcPr>
          <w:p w14:paraId="2521FA15"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$7,507,990</w:t>
            </w:r>
          </w:p>
        </w:tc>
      </w:tr>
      <w:tr w:rsidR="00DB33FD" w:rsidRPr="00854EFD" w14:paraId="61DD6149" w14:textId="77777777" w:rsidTr="00E27199">
        <w:trPr>
          <w:trHeight w:val="960"/>
        </w:trPr>
        <w:tc>
          <w:tcPr>
            <w:tcW w:w="940" w:type="dxa"/>
            <w:tcBorders>
              <w:top w:val="nil"/>
              <w:left w:val="single" w:sz="4" w:space="0" w:color="auto"/>
              <w:bottom w:val="single" w:sz="4" w:space="0" w:color="auto"/>
              <w:right w:val="single" w:sz="4" w:space="0" w:color="auto"/>
            </w:tcBorders>
            <w:shd w:val="clear" w:color="000000" w:fill="BDD7EE"/>
            <w:vAlign w:val="center"/>
            <w:hideMark/>
          </w:tcPr>
          <w:p w14:paraId="10501991" w14:textId="77777777" w:rsidR="00DB33FD" w:rsidRPr="00854EFD" w:rsidRDefault="00DB33FD" w:rsidP="00E65369">
            <w:pPr>
              <w:spacing w:after="0" w:line="240" w:lineRule="auto"/>
              <w:rPr>
                <w:rFonts w:ascii="Calibri" w:eastAsia="Times New Roman" w:hAnsi="Calibri" w:cs="Calibri"/>
                <w:color w:val="000000"/>
                <w:sz w:val="18"/>
                <w:szCs w:val="18"/>
                <w:lang w:eastAsia="en-AU"/>
              </w:rPr>
            </w:pPr>
            <w:r>
              <w:rPr>
                <w:rFonts w:ascii="Calibri" w:eastAsia="Times New Roman" w:hAnsi="Calibri" w:cs="Calibri"/>
                <w:color w:val="000000"/>
                <w:sz w:val="18"/>
                <w:szCs w:val="18"/>
                <w:lang w:eastAsia="en-AU"/>
              </w:rPr>
              <w:t>Total % 79</w:t>
            </w:r>
          </w:p>
        </w:tc>
        <w:tc>
          <w:tcPr>
            <w:tcW w:w="1037" w:type="dxa"/>
            <w:tcBorders>
              <w:top w:val="nil"/>
              <w:left w:val="nil"/>
              <w:bottom w:val="single" w:sz="4" w:space="0" w:color="auto"/>
              <w:right w:val="single" w:sz="4" w:space="0" w:color="auto"/>
            </w:tcBorders>
            <w:shd w:val="clear" w:color="auto" w:fill="auto"/>
            <w:noWrap/>
            <w:vAlign w:val="center"/>
            <w:hideMark/>
          </w:tcPr>
          <w:p w14:paraId="6BF1828D"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$27,932.80</w:t>
            </w:r>
          </w:p>
        </w:tc>
        <w:tc>
          <w:tcPr>
            <w:tcW w:w="1037" w:type="dxa"/>
            <w:tcBorders>
              <w:top w:val="nil"/>
              <w:left w:val="nil"/>
              <w:bottom w:val="single" w:sz="4" w:space="0" w:color="auto"/>
              <w:right w:val="single" w:sz="4" w:space="0" w:color="auto"/>
            </w:tcBorders>
            <w:shd w:val="clear" w:color="auto" w:fill="auto"/>
            <w:noWrap/>
            <w:vAlign w:val="center"/>
            <w:hideMark/>
          </w:tcPr>
          <w:p w14:paraId="2B2A41E0"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$27,956.05</w:t>
            </w:r>
          </w:p>
        </w:tc>
        <w:tc>
          <w:tcPr>
            <w:tcW w:w="1037" w:type="dxa"/>
            <w:tcBorders>
              <w:top w:val="nil"/>
              <w:left w:val="nil"/>
              <w:bottom w:val="single" w:sz="4" w:space="0" w:color="auto"/>
              <w:right w:val="single" w:sz="4" w:space="0" w:color="auto"/>
            </w:tcBorders>
            <w:shd w:val="clear" w:color="auto" w:fill="auto"/>
            <w:noWrap/>
            <w:vAlign w:val="center"/>
            <w:hideMark/>
          </w:tcPr>
          <w:p w14:paraId="0F2E0286"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$60,060.72</w:t>
            </w:r>
          </w:p>
        </w:tc>
        <w:tc>
          <w:tcPr>
            <w:tcW w:w="1037" w:type="dxa"/>
            <w:tcBorders>
              <w:top w:val="nil"/>
              <w:left w:val="nil"/>
              <w:bottom w:val="single" w:sz="4" w:space="0" w:color="auto"/>
              <w:right w:val="single" w:sz="4" w:space="0" w:color="auto"/>
            </w:tcBorders>
            <w:shd w:val="clear" w:color="auto" w:fill="auto"/>
            <w:noWrap/>
            <w:vAlign w:val="center"/>
            <w:hideMark/>
          </w:tcPr>
          <w:p w14:paraId="7323817A"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$64,321.28</w:t>
            </w:r>
          </w:p>
        </w:tc>
        <w:tc>
          <w:tcPr>
            <w:tcW w:w="1037" w:type="dxa"/>
            <w:tcBorders>
              <w:top w:val="nil"/>
              <w:left w:val="nil"/>
              <w:bottom w:val="single" w:sz="4" w:space="0" w:color="auto"/>
              <w:right w:val="single" w:sz="4" w:space="0" w:color="auto"/>
            </w:tcBorders>
            <w:shd w:val="clear" w:color="auto" w:fill="auto"/>
            <w:noWrap/>
            <w:vAlign w:val="center"/>
            <w:hideMark/>
          </w:tcPr>
          <w:p w14:paraId="342B2B5E"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$70,583.53</w:t>
            </w:r>
          </w:p>
        </w:tc>
        <w:tc>
          <w:tcPr>
            <w:tcW w:w="1037" w:type="dxa"/>
            <w:tcBorders>
              <w:top w:val="nil"/>
              <w:left w:val="nil"/>
              <w:bottom w:val="single" w:sz="4" w:space="0" w:color="auto"/>
              <w:right w:val="single" w:sz="4" w:space="0" w:color="auto"/>
            </w:tcBorders>
            <w:shd w:val="clear" w:color="auto" w:fill="auto"/>
            <w:noWrap/>
            <w:vAlign w:val="center"/>
            <w:hideMark/>
          </w:tcPr>
          <w:p w14:paraId="772B8D56"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$77,366.25</w:t>
            </w:r>
          </w:p>
        </w:tc>
        <w:tc>
          <w:tcPr>
            <w:tcW w:w="1037" w:type="dxa"/>
            <w:tcBorders>
              <w:top w:val="nil"/>
              <w:left w:val="nil"/>
              <w:bottom w:val="single" w:sz="4" w:space="0" w:color="auto"/>
              <w:right w:val="single" w:sz="4" w:space="0" w:color="auto"/>
            </w:tcBorders>
            <w:shd w:val="clear" w:color="auto" w:fill="auto"/>
            <w:noWrap/>
            <w:vAlign w:val="center"/>
            <w:hideMark/>
          </w:tcPr>
          <w:p w14:paraId="5CDA146D"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$84,765.81</w:t>
            </w:r>
          </w:p>
        </w:tc>
        <w:tc>
          <w:tcPr>
            <w:tcW w:w="1037" w:type="dxa"/>
            <w:tcBorders>
              <w:top w:val="nil"/>
              <w:left w:val="nil"/>
              <w:bottom w:val="single" w:sz="4" w:space="0" w:color="auto"/>
              <w:right w:val="single" w:sz="4" w:space="0" w:color="auto"/>
            </w:tcBorders>
            <w:shd w:val="clear" w:color="auto" w:fill="auto"/>
            <w:noWrap/>
            <w:vAlign w:val="center"/>
            <w:hideMark/>
          </w:tcPr>
          <w:p w14:paraId="354E80ED"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$88,047.87</w:t>
            </w:r>
          </w:p>
        </w:tc>
        <w:tc>
          <w:tcPr>
            <w:tcW w:w="1037" w:type="dxa"/>
            <w:tcBorders>
              <w:top w:val="nil"/>
              <w:left w:val="nil"/>
              <w:bottom w:val="single" w:sz="4" w:space="0" w:color="auto"/>
              <w:right w:val="single" w:sz="4" w:space="0" w:color="auto"/>
            </w:tcBorders>
            <w:shd w:val="clear" w:color="auto" w:fill="auto"/>
            <w:noWrap/>
            <w:vAlign w:val="center"/>
            <w:hideMark/>
          </w:tcPr>
          <w:p w14:paraId="1FB4CA15"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$91,463.75</w:t>
            </w:r>
          </w:p>
        </w:tc>
        <w:tc>
          <w:tcPr>
            <w:tcW w:w="1037" w:type="dxa"/>
            <w:tcBorders>
              <w:top w:val="nil"/>
              <w:left w:val="nil"/>
              <w:bottom w:val="single" w:sz="4" w:space="0" w:color="auto"/>
              <w:right w:val="single" w:sz="4" w:space="0" w:color="auto"/>
            </w:tcBorders>
            <w:shd w:val="clear" w:color="auto" w:fill="auto"/>
            <w:noWrap/>
            <w:vAlign w:val="center"/>
            <w:hideMark/>
          </w:tcPr>
          <w:p w14:paraId="75B95421" w14:textId="77777777" w:rsidR="00DB33FD" w:rsidRPr="00854EFD" w:rsidRDefault="00DB33FD" w:rsidP="00E65369">
            <w:pPr>
              <w:spacing w:after="0" w:line="240" w:lineRule="auto"/>
              <w:jc w:val="right"/>
              <w:rPr>
                <w:rFonts w:ascii="Calibri" w:eastAsia="Times New Roman" w:hAnsi="Calibri" w:cs="Calibri"/>
                <w:color w:val="000000"/>
                <w:sz w:val="18"/>
                <w:szCs w:val="18"/>
                <w:lang w:eastAsia="en-AU"/>
              </w:rPr>
            </w:pPr>
            <w:r w:rsidRPr="00854EFD">
              <w:rPr>
                <w:rFonts w:ascii="Calibri" w:eastAsia="Times New Roman" w:hAnsi="Calibri" w:cs="Calibri"/>
                <w:color w:val="000000"/>
                <w:sz w:val="18"/>
                <w:szCs w:val="18"/>
                <w:lang w:eastAsia="en-AU"/>
              </w:rPr>
              <w:t>$95,037.85</w:t>
            </w:r>
          </w:p>
        </w:tc>
      </w:tr>
    </w:tbl>
    <w:p w14:paraId="04EA0B8F" w14:textId="77777777" w:rsidR="00CE5FF6" w:rsidRDefault="00CE5FF6" w:rsidP="00DB33FD"/>
    <w:p w14:paraId="21CA1EDB" w14:textId="77777777" w:rsidR="00CE5FF6" w:rsidRDefault="00BE337C" w:rsidP="00DB33FD">
      <w:r>
        <w:t xml:space="preserve">Transportation costs are expected to be significantly higher for non-metropolitan councils </w:t>
      </w:r>
      <w:r w:rsidR="00CE5FF6">
        <w:t xml:space="preserve">largely </w:t>
      </w:r>
      <w:r w:rsidR="0026340D">
        <w:t>because</w:t>
      </w:r>
      <w:r w:rsidR="00CE5FF6">
        <w:t xml:space="preserve"> e-waste from non-</w:t>
      </w:r>
      <w:r w:rsidR="0026340D">
        <w:t>metropolitan</w:t>
      </w:r>
      <w:r w:rsidR="00CE5FF6">
        <w:t xml:space="preserve"> areas will have to travel greater distances to reach a reprocessing facility. The cost benefit analysis estimates that in metropolitan areas the average distance of e-waste from the collection point to a reprocessor, on a populated weighted basis, will be 42 </w:t>
      </w:r>
      <w:r w:rsidR="0026340D">
        <w:t>kilometres</w:t>
      </w:r>
      <w:r w:rsidR="00CE5FF6">
        <w:t xml:space="preserve">, giving an estimated transport cost of $80 per tonne. In regional areas the </w:t>
      </w:r>
      <w:r w:rsidR="0026340D">
        <w:t>average</w:t>
      </w:r>
      <w:r w:rsidR="00CE5FF6">
        <w:t xml:space="preserve"> distance, </w:t>
      </w:r>
      <w:r w:rsidR="00CE5FF6">
        <w:lastRenderedPageBreak/>
        <w:t xml:space="preserve">on a populated weighted basis, will be 179 kilometres giving an estimated transport cost of $342 per tonne. </w:t>
      </w:r>
    </w:p>
    <w:p w14:paraId="49D54F4C" w14:textId="47012B83" w:rsidR="00F24FE1" w:rsidRDefault="0000243B" w:rsidP="002431F0">
      <w:pPr>
        <w:spacing w:after="0"/>
      </w:pPr>
      <w:r>
        <w:t>Despite this constituting</w:t>
      </w:r>
      <w:r w:rsidR="00CE5FF6">
        <w:t xml:space="preserve"> a new and significant cost burden</w:t>
      </w:r>
      <w:r>
        <w:t xml:space="preserve">, </w:t>
      </w:r>
      <w:r w:rsidR="00692643">
        <w:t>particularly</w:t>
      </w:r>
      <w:r w:rsidR="00CE5FF6">
        <w:t xml:space="preserve"> for our regional and </w:t>
      </w:r>
      <w:r w:rsidR="0026340D">
        <w:t>rural</w:t>
      </w:r>
      <w:r>
        <w:t xml:space="preserve"> councils, t</w:t>
      </w:r>
      <w:r w:rsidR="008A2E60">
        <w:t>he S</w:t>
      </w:r>
      <w:r w:rsidR="00CE5FF6">
        <w:t xml:space="preserve">tate has not </w:t>
      </w:r>
      <w:r w:rsidR="00692643">
        <w:t>yet</w:t>
      </w:r>
      <w:r w:rsidR="005D0703">
        <w:t xml:space="preserve"> </w:t>
      </w:r>
      <w:r w:rsidR="00CE5FF6">
        <w:t xml:space="preserve">made any funding </w:t>
      </w:r>
      <w:r w:rsidR="005D0703">
        <w:t>commitment</w:t>
      </w:r>
      <w:r w:rsidR="00CE5FF6">
        <w:t xml:space="preserve"> to councils to help them cover these costs. </w:t>
      </w:r>
      <w:r w:rsidR="00F24FE1">
        <w:t xml:space="preserve">In providing input to this submission, councils note that it will be difficult, if not impossible, to recover these new costs through disposal fees because of the risk of greater illegal dumping. In the context of the State’s imposed rate cap on local government, the costs of the State’s imposed landfill ban will put pressure on other council services. </w:t>
      </w:r>
    </w:p>
    <w:p w14:paraId="1F39EEFD" w14:textId="77777777" w:rsidR="00F24FE1" w:rsidRDefault="00F24FE1" w:rsidP="002431F0">
      <w:pPr>
        <w:spacing w:after="0"/>
      </w:pPr>
    </w:p>
    <w:p w14:paraId="5E04CBC0" w14:textId="63F20D78" w:rsidR="00D41199" w:rsidRDefault="00397ECD" w:rsidP="00E75B7C">
      <w:pPr>
        <w:pStyle w:val="Heading2"/>
        <w:numPr>
          <w:ilvl w:val="0"/>
          <w:numId w:val="0"/>
        </w:numPr>
      </w:pPr>
      <w:bookmarkStart w:id="12" w:name="_Toc504473917"/>
      <w:r>
        <w:t>Compliance</w:t>
      </w:r>
      <w:r w:rsidR="00F1573D">
        <w:t xml:space="preserve"> costs</w:t>
      </w:r>
      <w:bookmarkEnd w:id="12"/>
    </w:p>
    <w:p w14:paraId="7BD3A39A" w14:textId="77777777" w:rsidR="00066862" w:rsidRPr="00066862" w:rsidRDefault="00066862" w:rsidP="008B246C">
      <w:pPr>
        <w:spacing w:after="0" w:line="240" w:lineRule="auto"/>
      </w:pPr>
    </w:p>
    <w:p w14:paraId="7A52F7EF" w14:textId="77777777" w:rsidR="00221AF2" w:rsidRDefault="00F52402" w:rsidP="0070553F">
      <w:r>
        <w:t>It</w:t>
      </w:r>
      <w:r w:rsidR="00F1573D">
        <w:t xml:space="preserve"> is anticipated that introduction of the ban will require councils to update their </w:t>
      </w:r>
      <w:r>
        <w:t xml:space="preserve">waste management </w:t>
      </w:r>
      <w:r w:rsidR="00F1573D">
        <w:t>plans at an approximate cost of $</w:t>
      </w:r>
      <w:r w:rsidR="00215933">
        <w:t>22,750</w:t>
      </w:r>
      <w:r w:rsidR="00F1573D">
        <w:t xml:space="preserve"> per council</w:t>
      </w:r>
      <w:r w:rsidR="00F1573D">
        <w:rPr>
          <w:rStyle w:val="FootnoteReference"/>
        </w:rPr>
        <w:footnoteReference w:id="7"/>
      </w:r>
      <w:r w:rsidR="00F1573D">
        <w:t xml:space="preserve"> . </w:t>
      </w:r>
    </w:p>
    <w:p w14:paraId="4EDBBF76" w14:textId="77777777" w:rsidR="00F52402" w:rsidRDefault="00333CF2" w:rsidP="0070553F">
      <w:r>
        <w:t>Page 62</w:t>
      </w:r>
      <w:r w:rsidR="00F1573D">
        <w:t xml:space="preserve"> of the Marsden Jacob</w:t>
      </w:r>
      <w:r w:rsidR="00221AF2">
        <w:t xml:space="preserve"> cost benefit analysis </w:t>
      </w:r>
      <w:r>
        <w:t>lists n</w:t>
      </w:r>
      <w:r w:rsidR="00215933">
        <w:t>umerous other cost</w:t>
      </w:r>
      <w:r w:rsidR="00221AF2">
        <w:t xml:space="preserve">s </w:t>
      </w:r>
      <w:r w:rsidR="00215933">
        <w:t xml:space="preserve">for council and contractor transfer stations and landfills, including </w:t>
      </w:r>
      <w:r>
        <w:t>for on</w:t>
      </w:r>
      <w:r w:rsidR="00F52402">
        <w:t>g</w:t>
      </w:r>
      <w:r>
        <w:t xml:space="preserve">oing implementation of </w:t>
      </w:r>
      <w:r w:rsidR="00221AF2">
        <w:t>e-wast</w:t>
      </w:r>
      <w:r>
        <w:t>e management plans; inspections of transfer stations, recycling sites and landfills; and response to e-waste related reports. These costs are estimated at $506,800 per year. Assuming most of these costs will be borne by councils</w:t>
      </w:r>
      <w:r w:rsidR="00F52402">
        <w:t>, which is somewhat unclear from the PIA,</w:t>
      </w:r>
      <w:r>
        <w:t xml:space="preserve"> this equates to approximately an additional $6400 per council per year. </w:t>
      </w:r>
    </w:p>
    <w:p w14:paraId="27AA5185" w14:textId="77777777" w:rsidR="00EF5A8D" w:rsidRDefault="00221AF2" w:rsidP="00E75B7C">
      <w:pPr>
        <w:pStyle w:val="Heading2"/>
        <w:numPr>
          <w:ilvl w:val="0"/>
          <w:numId w:val="0"/>
        </w:numPr>
      </w:pPr>
      <w:bookmarkStart w:id="13" w:name="_Toc504473918"/>
      <w:r>
        <w:t>M</w:t>
      </w:r>
      <w:r w:rsidR="00EF5A8D">
        <w:t>arket development / market risks</w:t>
      </w:r>
      <w:bookmarkEnd w:id="13"/>
    </w:p>
    <w:p w14:paraId="1D788C76" w14:textId="77777777" w:rsidR="00066862" w:rsidRPr="00066862" w:rsidRDefault="00066862" w:rsidP="008B246C">
      <w:pPr>
        <w:spacing w:after="0" w:line="240" w:lineRule="auto"/>
      </w:pPr>
    </w:p>
    <w:p w14:paraId="21411E99" w14:textId="77777777" w:rsidR="000C581E" w:rsidRDefault="00EF5A8D" w:rsidP="000C581E">
      <w:r>
        <w:t>According to the PIA, there are a total of 16 e-waste reprocessing facilities in Victoria.</w:t>
      </w:r>
      <w:r w:rsidR="00B04AAE">
        <w:t xml:space="preserve"> In </w:t>
      </w:r>
      <w:r w:rsidR="000A7741">
        <w:t>addition</w:t>
      </w:r>
      <w:r w:rsidR="00B04AAE">
        <w:t xml:space="preserve"> to these reprocessors there are </w:t>
      </w:r>
      <w:r w:rsidR="00750301">
        <w:t xml:space="preserve">also </w:t>
      </w:r>
      <w:r w:rsidR="00B04AAE">
        <w:t>metal recyclers who account for 83 per cent of the e-waste recovered in Victoria, mostly through metal-rich large white goods.</w:t>
      </w:r>
      <w:r w:rsidR="004374DB">
        <w:t xml:space="preserve"> </w:t>
      </w:r>
      <w:r w:rsidR="000C581E">
        <w:t>Demand for feedstock from reprocessors is influenced by a range of factors, including the market value of recycled components; commodity prices; the cost of reprocessing; and the regulatory framework affecting e-waste streams.</w:t>
      </w:r>
    </w:p>
    <w:p w14:paraId="5A3FA1A8" w14:textId="77777777" w:rsidR="00E87DB7" w:rsidRDefault="00E87DB7" w:rsidP="00E87DB7">
      <w:r>
        <w:t xml:space="preserve">The </w:t>
      </w:r>
      <w:r w:rsidR="00692643">
        <w:t>PIA posits</w:t>
      </w:r>
      <w:r>
        <w:t xml:space="preserve"> that there are market failures in relation to e-waste recycling pre-processing activities, including collection, sorting, storage and transportation, which mean e-waste recycling in Victoria is unlikely to markedly increase unless government intervenes and exercises its regulatory powers. It’s unclear to the MAV whether the success and possible expansion of various industry–led product stewardship arrangements were considered when the authors of the PIA made this finding. </w:t>
      </w:r>
    </w:p>
    <w:p w14:paraId="10AC3BD7" w14:textId="564A9E3F" w:rsidR="00E30393" w:rsidRDefault="00B04AAE" w:rsidP="00E30393">
      <w:r>
        <w:t xml:space="preserve">The PIA notes that large white goods, televisions, computers and computer peripherals, and mobile phones </w:t>
      </w:r>
      <w:r w:rsidR="00A13D52">
        <w:t>tend to be</w:t>
      </w:r>
      <w:r>
        <w:t xml:space="preserve"> reprocessed because of the </w:t>
      </w:r>
      <w:r w:rsidR="000A7741">
        <w:t>recovery</w:t>
      </w:r>
      <w:r>
        <w:t xml:space="preserve"> programs already in place for these products. It is the lesser value e-waste items such as toasters, kettles, electrical toys </w:t>
      </w:r>
      <w:r w:rsidR="0053631C">
        <w:t xml:space="preserve">and hairdryers that tend not </w:t>
      </w:r>
      <w:r>
        <w:t>to be recovered.</w:t>
      </w:r>
      <w:r w:rsidR="00A13D52">
        <w:t xml:space="preserve"> </w:t>
      </w:r>
      <w:r w:rsidR="008A16D9">
        <w:t>A number of rep</w:t>
      </w:r>
      <w:r w:rsidR="00E30393">
        <w:t>r</w:t>
      </w:r>
      <w:r w:rsidR="008A16D9">
        <w:t>oc</w:t>
      </w:r>
      <w:r w:rsidR="00E30393">
        <w:t>essor</w:t>
      </w:r>
      <w:r w:rsidR="008A16D9">
        <w:t>s have already advised councils</w:t>
      </w:r>
      <w:r w:rsidR="00E30393">
        <w:t xml:space="preserve"> that </w:t>
      </w:r>
      <w:r w:rsidR="008A16D9">
        <w:t xml:space="preserve">councils </w:t>
      </w:r>
      <w:r w:rsidR="00E30393">
        <w:t>wil</w:t>
      </w:r>
      <w:r w:rsidR="008A16D9">
        <w:t xml:space="preserve">l be charged for </w:t>
      </w:r>
      <w:r w:rsidR="00E30393">
        <w:t>low value products as they currently do not have markets for recovery of this material.</w:t>
      </w:r>
    </w:p>
    <w:p w14:paraId="134181D7" w14:textId="77777777" w:rsidR="00137EE1" w:rsidRDefault="00A13D52" w:rsidP="000452DA">
      <w:r>
        <w:lastRenderedPageBreak/>
        <w:t>While consultation with the recycling industry</w:t>
      </w:r>
      <w:r w:rsidR="00692643">
        <w:t xml:space="preserve"> reportedly suggests</w:t>
      </w:r>
      <w:r>
        <w:t xml:space="preserve"> </w:t>
      </w:r>
      <w:r w:rsidR="00692643">
        <w:t>`</w:t>
      </w:r>
      <w:r w:rsidR="004374DB">
        <w:t>t</w:t>
      </w:r>
      <w:r>
        <w:t>here is latent demand for additional e-waste to recycle’ and there’s `willingness’ and `capacity</w:t>
      </w:r>
      <w:r w:rsidR="00A60185">
        <w:t>’ to process greater volumes</w:t>
      </w:r>
      <w:r w:rsidR="000A7741">
        <w:t xml:space="preserve">, </w:t>
      </w:r>
      <w:r w:rsidR="00750301">
        <w:t>councils are concerned about reprocessors’ ability to keep up with a significant increase in feedstock supply</w:t>
      </w:r>
      <w:r w:rsidR="00692643">
        <w:rPr>
          <w:rStyle w:val="FootnoteReference"/>
        </w:rPr>
        <w:footnoteReference w:id="8"/>
      </w:r>
      <w:r w:rsidR="00750301">
        <w:t>. Councils are also concerned that with a sud</w:t>
      </w:r>
      <w:r w:rsidR="0005201F">
        <w:t>den and sustained increase in feedstock</w:t>
      </w:r>
      <w:r w:rsidR="000A7741">
        <w:t xml:space="preserve"> volumes, that reprocesso</w:t>
      </w:r>
      <w:r w:rsidR="00750301">
        <w:t>rs may resist taking the lower value it</w:t>
      </w:r>
      <w:r w:rsidR="00052DBD">
        <w:t xml:space="preserve">ems, leaving councils with few </w:t>
      </w:r>
      <w:r w:rsidR="00750301">
        <w:t xml:space="preserve">cost effective options to </w:t>
      </w:r>
      <w:r w:rsidR="0005201F">
        <w:t>dispose of th</w:t>
      </w:r>
      <w:r w:rsidR="0053631C">
        <w:t>o</w:t>
      </w:r>
      <w:r w:rsidR="00750301">
        <w:t>s</w:t>
      </w:r>
      <w:r w:rsidR="0005201F">
        <w:t>e</w:t>
      </w:r>
      <w:r w:rsidR="00750301">
        <w:t xml:space="preserve"> items.</w:t>
      </w:r>
      <w:r w:rsidR="0053631C">
        <w:t xml:space="preserve"> </w:t>
      </w:r>
      <w:r w:rsidR="00E87DB7">
        <w:t xml:space="preserve"> </w:t>
      </w:r>
    </w:p>
    <w:p w14:paraId="5FF342F0" w14:textId="77777777" w:rsidR="00052DBD" w:rsidRDefault="00ED1B57" w:rsidP="00052DBD">
      <w:r>
        <w:t xml:space="preserve">As noted in the PIA, in addition to </w:t>
      </w:r>
      <w:r w:rsidR="00266EA2">
        <w:t xml:space="preserve">meeting </w:t>
      </w:r>
      <w:r>
        <w:t>demand for feedstock i</w:t>
      </w:r>
      <w:r w:rsidR="00137EE1">
        <w:t>t’s also critical to look at the supply side</w:t>
      </w:r>
      <w:r w:rsidR="00EA4326">
        <w:t xml:space="preserve"> of the market</w:t>
      </w:r>
      <w:r w:rsidR="00137EE1">
        <w:t>. I</w:t>
      </w:r>
      <w:r>
        <w:t xml:space="preserve">f there isn’t also a </w:t>
      </w:r>
      <w:r w:rsidR="00052DBD">
        <w:t xml:space="preserve">strong </w:t>
      </w:r>
      <w:r>
        <w:t xml:space="preserve">market for </w:t>
      </w:r>
      <w:r w:rsidR="00AD3693">
        <w:t>reprocessed</w:t>
      </w:r>
      <w:r w:rsidR="00137EE1">
        <w:t xml:space="preserve"> and recycled materials, reprocessors and</w:t>
      </w:r>
      <w:r w:rsidR="00052DBD">
        <w:t xml:space="preserve"> council storage facilities may </w:t>
      </w:r>
      <w:r w:rsidR="00266EA2">
        <w:t xml:space="preserve">soon </w:t>
      </w:r>
      <w:r w:rsidR="00137EE1">
        <w:t xml:space="preserve">find themselves with unwanted and prohibited stockpiles with no </w:t>
      </w:r>
      <w:r w:rsidR="00052DBD">
        <w:t xml:space="preserve">readily accessible </w:t>
      </w:r>
      <w:r w:rsidR="00AD3693">
        <w:t>disposal</w:t>
      </w:r>
      <w:r w:rsidR="00137EE1">
        <w:t xml:space="preserve"> options to move the material on.</w:t>
      </w:r>
      <w:r w:rsidR="00417A8B" w:rsidRPr="00417A8B">
        <w:t xml:space="preserve"> </w:t>
      </w:r>
    </w:p>
    <w:p w14:paraId="125BC9AE" w14:textId="77777777" w:rsidR="00052DBD" w:rsidRDefault="00052DBD" w:rsidP="00052DBD">
      <w:r>
        <w:t xml:space="preserve">The PIA mentions that consideration is being given to how best to provide an exemption or hardship type provision to transfer stations operators and e-waste recyclers to enable them to dispose of e-waste to landfill in certain situations. This exemption should be developed in consultation with councils and e-waste recyclers. </w:t>
      </w:r>
    </w:p>
    <w:p w14:paraId="6654DF8A" w14:textId="77777777" w:rsidR="005B37D9" w:rsidRDefault="005B37D9" w:rsidP="00E75B7C">
      <w:pPr>
        <w:pStyle w:val="Heading3"/>
        <w:numPr>
          <w:ilvl w:val="0"/>
          <w:numId w:val="0"/>
        </w:numPr>
      </w:pPr>
      <w:bookmarkStart w:id="14" w:name="_Toc504473919"/>
      <w:r>
        <w:t>Global influences</w:t>
      </w:r>
      <w:bookmarkEnd w:id="14"/>
    </w:p>
    <w:p w14:paraId="350A0228" w14:textId="77777777" w:rsidR="00EA0059" w:rsidRPr="00EA0059" w:rsidRDefault="00EA0059" w:rsidP="00EA0059">
      <w:pPr>
        <w:spacing w:after="0" w:line="240" w:lineRule="auto"/>
      </w:pPr>
    </w:p>
    <w:p w14:paraId="57FD0716" w14:textId="77777777" w:rsidR="00022604" w:rsidRDefault="00E75B7C" w:rsidP="000452DA">
      <w:pPr>
        <w:rPr>
          <w:shd w:val="clear" w:color="auto" w:fill="FFFFFF"/>
        </w:rPr>
      </w:pPr>
      <w:r>
        <w:t>I</w:t>
      </w:r>
      <w:r w:rsidR="007658AD" w:rsidRPr="000452DA">
        <w:t xml:space="preserve">n July 2017 China, </w:t>
      </w:r>
      <w:r w:rsidR="00793742">
        <w:t xml:space="preserve">one of </w:t>
      </w:r>
      <w:r w:rsidR="007658AD" w:rsidRPr="000452DA">
        <w:t xml:space="preserve">the world’s </w:t>
      </w:r>
      <w:r w:rsidR="00793742">
        <w:t>largest importers of waste products</w:t>
      </w:r>
      <w:r w:rsidR="007658AD" w:rsidRPr="000452DA">
        <w:t>, notified the World Trade Organisation (WTO) t</w:t>
      </w:r>
      <w:r w:rsidR="007658AD" w:rsidRPr="000452DA">
        <w:rPr>
          <w:shd w:val="clear" w:color="auto" w:fill="FFFFFF"/>
        </w:rPr>
        <w:t>hat by the end of 201</w:t>
      </w:r>
      <w:r w:rsidR="00266EA2">
        <w:rPr>
          <w:shd w:val="clear" w:color="auto" w:fill="FFFFFF"/>
        </w:rPr>
        <w:t xml:space="preserve">7 it will forbid the import of </w:t>
      </w:r>
      <w:r w:rsidR="007658AD" w:rsidRPr="000452DA">
        <w:rPr>
          <w:shd w:val="clear" w:color="auto" w:fill="FFFFFF"/>
        </w:rPr>
        <w:t xml:space="preserve">24 kinds of solid wastes, including plastic waste from living sources, vanadium slag, unsorted waste paper and waste textile materials. Since July it has issued numerous other waste-related notifications to the WTO including one in </w:t>
      </w:r>
      <w:r w:rsidR="000452DA" w:rsidRPr="000452DA">
        <w:rPr>
          <w:shd w:val="clear" w:color="auto" w:fill="FFFFFF"/>
        </w:rPr>
        <w:t xml:space="preserve">mid-November 2017 in </w:t>
      </w:r>
      <w:r w:rsidR="007658AD" w:rsidRPr="000452DA">
        <w:rPr>
          <w:shd w:val="clear" w:color="auto" w:fill="FFFFFF"/>
        </w:rPr>
        <w:t xml:space="preserve">relation to metal and electrical appliance scraps which `regulates the environmental protection requirements of the imported waste wires and cables, their carried-wastes and the radioactive pollution control’. </w:t>
      </w:r>
      <w:r w:rsidR="000452DA" w:rsidRPr="000452DA">
        <w:rPr>
          <w:shd w:val="clear" w:color="auto" w:fill="FFFFFF"/>
        </w:rPr>
        <w:t>The</w:t>
      </w:r>
      <w:r w:rsidR="00266EA2">
        <w:rPr>
          <w:shd w:val="clear" w:color="auto" w:fill="FFFFFF"/>
        </w:rPr>
        <w:t xml:space="preserve"> stated </w:t>
      </w:r>
      <w:r w:rsidR="00022604">
        <w:rPr>
          <w:shd w:val="clear" w:color="auto" w:fill="FFFFFF"/>
        </w:rPr>
        <w:t>objectives behind this and</w:t>
      </w:r>
      <w:r w:rsidR="000452DA" w:rsidRPr="000452DA">
        <w:rPr>
          <w:shd w:val="clear" w:color="auto" w:fill="FFFFFF"/>
        </w:rPr>
        <w:t xml:space="preserve"> other notices are protection of human, animal and plant health and safety, and protection of the environment. </w:t>
      </w:r>
    </w:p>
    <w:p w14:paraId="2105BBC6" w14:textId="77777777" w:rsidR="00CD4AA6" w:rsidRDefault="00E345CA" w:rsidP="000452DA">
      <w:pPr>
        <w:rPr>
          <w:shd w:val="clear" w:color="auto" w:fill="FFFFFF"/>
        </w:rPr>
      </w:pPr>
      <w:r>
        <w:rPr>
          <w:shd w:val="clear" w:color="auto" w:fill="FFFFFF"/>
        </w:rPr>
        <w:t>China’s</w:t>
      </w:r>
      <w:r w:rsidR="000452DA" w:rsidRPr="000452DA">
        <w:rPr>
          <w:shd w:val="clear" w:color="auto" w:fill="FFFFFF"/>
        </w:rPr>
        <w:t xml:space="preserve"> July ban</w:t>
      </w:r>
      <w:r>
        <w:rPr>
          <w:shd w:val="clear" w:color="auto" w:fill="FFFFFF"/>
        </w:rPr>
        <w:t xml:space="preserve"> notification</w:t>
      </w:r>
      <w:r w:rsidR="000452DA" w:rsidRPr="000452DA">
        <w:rPr>
          <w:shd w:val="clear" w:color="auto" w:fill="FFFFFF"/>
        </w:rPr>
        <w:t xml:space="preserve"> sent shock waves through the recycling industry worldwide. </w:t>
      </w:r>
      <w:r w:rsidR="00022604">
        <w:rPr>
          <w:shd w:val="clear" w:color="auto" w:fill="FFFFFF"/>
        </w:rPr>
        <w:t>T</w:t>
      </w:r>
      <w:r w:rsidR="000452DA" w:rsidRPr="000452DA">
        <w:rPr>
          <w:shd w:val="clear" w:color="auto" w:fill="FFFFFF"/>
        </w:rPr>
        <w:t>he implications of the more recent e-waste related notifications are</w:t>
      </w:r>
      <w:r w:rsidR="00022604">
        <w:rPr>
          <w:shd w:val="clear" w:color="auto" w:fill="FFFFFF"/>
        </w:rPr>
        <w:t xml:space="preserve"> unclear</w:t>
      </w:r>
      <w:r w:rsidR="000452DA" w:rsidRPr="000452DA">
        <w:rPr>
          <w:shd w:val="clear" w:color="auto" w:fill="FFFFFF"/>
        </w:rPr>
        <w:t>.</w:t>
      </w:r>
      <w:r w:rsidR="00022604">
        <w:rPr>
          <w:shd w:val="clear" w:color="auto" w:fill="FFFFFF"/>
        </w:rPr>
        <w:t xml:space="preserve"> </w:t>
      </w:r>
      <w:r w:rsidR="000452DA" w:rsidRPr="000452DA">
        <w:rPr>
          <w:shd w:val="clear" w:color="auto" w:fill="FFFFFF"/>
        </w:rPr>
        <w:t>If the State is to impose</w:t>
      </w:r>
      <w:r w:rsidR="000452DA">
        <w:rPr>
          <w:shd w:val="clear" w:color="auto" w:fill="FFFFFF"/>
        </w:rPr>
        <w:t xml:space="preserve"> its</w:t>
      </w:r>
      <w:r w:rsidR="000452DA" w:rsidRPr="000452DA">
        <w:rPr>
          <w:shd w:val="clear" w:color="auto" w:fill="FFFFFF"/>
        </w:rPr>
        <w:t xml:space="preserve"> </w:t>
      </w:r>
      <w:r w:rsidR="000452DA">
        <w:rPr>
          <w:shd w:val="clear" w:color="auto" w:fill="FFFFFF"/>
        </w:rPr>
        <w:t xml:space="preserve">e-waste landfill </w:t>
      </w:r>
      <w:r w:rsidR="000452DA" w:rsidRPr="000452DA">
        <w:rPr>
          <w:shd w:val="clear" w:color="auto" w:fill="FFFFFF"/>
        </w:rPr>
        <w:t>ban it has an obligation to keep a watch on international</w:t>
      </w:r>
      <w:r w:rsidR="008F74FC">
        <w:rPr>
          <w:shd w:val="clear" w:color="auto" w:fill="FFFFFF"/>
        </w:rPr>
        <w:t xml:space="preserve"> </w:t>
      </w:r>
      <w:r w:rsidR="000452DA" w:rsidRPr="000452DA">
        <w:rPr>
          <w:shd w:val="clear" w:color="auto" w:fill="FFFFFF"/>
        </w:rPr>
        <w:t>developments like these</w:t>
      </w:r>
      <w:r w:rsidR="00417A8B">
        <w:rPr>
          <w:shd w:val="clear" w:color="auto" w:fill="FFFFFF"/>
        </w:rPr>
        <w:t xml:space="preserve"> and to adjust the regulatory and non-regulatory settings accordingly</w:t>
      </w:r>
      <w:r w:rsidR="000452DA" w:rsidRPr="000452DA">
        <w:rPr>
          <w:shd w:val="clear" w:color="auto" w:fill="FFFFFF"/>
        </w:rPr>
        <w:t>.</w:t>
      </w:r>
      <w:r w:rsidR="00CD4AA6">
        <w:rPr>
          <w:shd w:val="clear" w:color="auto" w:fill="FFFFFF"/>
        </w:rPr>
        <w:t xml:space="preserve"> As noted in the cost benefit analysis, there is a great deal of uncertainty about the future value of materials recovered through increased </w:t>
      </w:r>
      <w:r w:rsidR="00AD3693">
        <w:rPr>
          <w:shd w:val="clear" w:color="auto" w:fill="FFFFFF"/>
        </w:rPr>
        <w:t>recycling</w:t>
      </w:r>
      <w:r w:rsidR="00CD4AA6">
        <w:rPr>
          <w:shd w:val="clear" w:color="auto" w:fill="FFFFFF"/>
        </w:rPr>
        <w:t xml:space="preserve"> of e-</w:t>
      </w:r>
      <w:r w:rsidR="00AD3693">
        <w:rPr>
          <w:shd w:val="clear" w:color="auto" w:fill="FFFFFF"/>
        </w:rPr>
        <w:t>waste</w:t>
      </w:r>
      <w:r w:rsidR="00CD4AA6">
        <w:rPr>
          <w:shd w:val="clear" w:color="auto" w:fill="FFFFFF"/>
        </w:rPr>
        <w:t xml:space="preserve"> </w:t>
      </w:r>
      <w:r w:rsidR="00AD3693">
        <w:rPr>
          <w:shd w:val="clear" w:color="auto" w:fill="FFFFFF"/>
        </w:rPr>
        <w:t>because</w:t>
      </w:r>
      <w:r w:rsidR="00CD4AA6">
        <w:rPr>
          <w:shd w:val="clear" w:color="auto" w:fill="FFFFFF"/>
        </w:rPr>
        <w:t xml:space="preserve"> prices are largely driven by global factors and the different value of the various materials recovered from e-waste.</w:t>
      </w:r>
      <w:r w:rsidR="000452DA" w:rsidRPr="000452DA">
        <w:rPr>
          <w:shd w:val="clear" w:color="auto" w:fill="FFFFFF"/>
        </w:rPr>
        <w:t xml:space="preserve"> </w:t>
      </w:r>
    </w:p>
    <w:p w14:paraId="74015A2B" w14:textId="77777777" w:rsidR="007658AD" w:rsidRPr="000452DA" w:rsidRDefault="005B37D9" w:rsidP="000452DA">
      <w:r>
        <w:rPr>
          <w:shd w:val="clear" w:color="auto" w:fill="FFFFFF"/>
        </w:rPr>
        <w:t>It would be grossly</w:t>
      </w:r>
      <w:r w:rsidR="00022604">
        <w:rPr>
          <w:shd w:val="clear" w:color="auto" w:fill="FFFFFF"/>
        </w:rPr>
        <w:t xml:space="preserve"> </w:t>
      </w:r>
      <w:r>
        <w:rPr>
          <w:shd w:val="clear" w:color="auto" w:fill="FFFFFF"/>
        </w:rPr>
        <w:t>unfair f</w:t>
      </w:r>
      <w:r w:rsidR="00E345CA">
        <w:rPr>
          <w:shd w:val="clear" w:color="auto" w:fill="FFFFFF"/>
        </w:rPr>
        <w:t>or</w:t>
      </w:r>
      <w:r w:rsidR="00022604">
        <w:rPr>
          <w:shd w:val="clear" w:color="auto" w:fill="FFFFFF"/>
        </w:rPr>
        <w:t xml:space="preserve"> the State </w:t>
      </w:r>
      <w:r w:rsidR="00E345CA">
        <w:rPr>
          <w:shd w:val="clear" w:color="auto" w:fill="FFFFFF"/>
        </w:rPr>
        <w:t xml:space="preserve">to </w:t>
      </w:r>
      <w:r w:rsidR="00022604">
        <w:rPr>
          <w:shd w:val="clear" w:color="auto" w:fill="FFFFFF"/>
        </w:rPr>
        <w:t>introduce</w:t>
      </w:r>
      <w:r w:rsidR="00E345CA">
        <w:rPr>
          <w:shd w:val="clear" w:color="auto" w:fill="FFFFFF"/>
        </w:rPr>
        <w:t xml:space="preserve"> a </w:t>
      </w:r>
      <w:r w:rsidR="00022604">
        <w:rPr>
          <w:shd w:val="clear" w:color="auto" w:fill="FFFFFF"/>
        </w:rPr>
        <w:t xml:space="preserve">ban and then </w:t>
      </w:r>
      <w:r w:rsidR="00EA4326">
        <w:rPr>
          <w:shd w:val="clear" w:color="auto" w:fill="FFFFFF"/>
        </w:rPr>
        <w:t>l</w:t>
      </w:r>
      <w:r w:rsidR="00E345CA">
        <w:rPr>
          <w:shd w:val="clear" w:color="auto" w:fill="FFFFFF"/>
        </w:rPr>
        <w:t>eave</w:t>
      </w:r>
      <w:r w:rsidR="00022604">
        <w:rPr>
          <w:shd w:val="clear" w:color="auto" w:fill="FFFFFF"/>
        </w:rPr>
        <w:t xml:space="preserve"> councils and ratepayers to shoulder the costs and resulting risks. </w:t>
      </w:r>
      <w:r w:rsidR="00BC14B4">
        <w:rPr>
          <w:shd w:val="clear" w:color="auto" w:fill="FFFFFF"/>
        </w:rPr>
        <w:t>It wou</w:t>
      </w:r>
      <w:r w:rsidR="00E345CA">
        <w:rPr>
          <w:shd w:val="clear" w:color="auto" w:fill="FFFFFF"/>
        </w:rPr>
        <w:t xml:space="preserve">ld be more appropriate </w:t>
      </w:r>
      <w:r w:rsidR="00850E0F">
        <w:rPr>
          <w:shd w:val="clear" w:color="auto" w:fill="FFFFFF"/>
        </w:rPr>
        <w:t xml:space="preserve">and efficient if </w:t>
      </w:r>
      <w:r w:rsidR="00E345CA">
        <w:rPr>
          <w:shd w:val="clear" w:color="auto" w:fill="FFFFFF"/>
        </w:rPr>
        <w:t>the</w:t>
      </w:r>
      <w:r w:rsidR="00BC14B4">
        <w:rPr>
          <w:shd w:val="clear" w:color="auto" w:fill="FFFFFF"/>
        </w:rPr>
        <w:t xml:space="preserve"> risk and cost</w:t>
      </w:r>
      <w:r w:rsidR="00E345CA">
        <w:rPr>
          <w:shd w:val="clear" w:color="auto" w:fill="FFFFFF"/>
        </w:rPr>
        <w:t xml:space="preserve"> is borne by those </w:t>
      </w:r>
      <w:r w:rsidR="00BC14B4">
        <w:rPr>
          <w:shd w:val="clear" w:color="auto" w:fill="FFFFFF"/>
        </w:rPr>
        <w:t>importing, producing, selling and consuming the good</w:t>
      </w:r>
      <w:r w:rsidR="00E345CA">
        <w:rPr>
          <w:shd w:val="clear" w:color="auto" w:fill="FFFFFF"/>
        </w:rPr>
        <w:t xml:space="preserve">s as </w:t>
      </w:r>
      <w:r w:rsidR="00850E0F">
        <w:rPr>
          <w:shd w:val="clear" w:color="auto" w:fill="FFFFFF"/>
        </w:rPr>
        <w:t xml:space="preserve">this </w:t>
      </w:r>
      <w:r w:rsidR="00793742">
        <w:rPr>
          <w:shd w:val="clear" w:color="auto" w:fill="FFFFFF"/>
        </w:rPr>
        <w:t xml:space="preserve">at least </w:t>
      </w:r>
      <w:r w:rsidR="00E345CA">
        <w:rPr>
          <w:shd w:val="clear" w:color="auto" w:fill="FFFFFF"/>
        </w:rPr>
        <w:t>would create</w:t>
      </w:r>
      <w:r w:rsidR="00BC14B4">
        <w:rPr>
          <w:shd w:val="clear" w:color="auto" w:fill="FFFFFF"/>
        </w:rPr>
        <w:t xml:space="preserve"> a driver </w:t>
      </w:r>
      <w:r w:rsidR="00C121DD">
        <w:rPr>
          <w:shd w:val="clear" w:color="auto" w:fill="FFFFFF"/>
        </w:rPr>
        <w:t xml:space="preserve">for these players </w:t>
      </w:r>
      <w:r w:rsidR="00BC14B4">
        <w:rPr>
          <w:shd w:val="clear" w:color="auto" w:fill="FFFFFF"/>
        </w:rPr>
        <w:t xml:space="preserve">to </w:t>
      </w:r>
      <w:r w:rsidR="00C121DD">
        <w:rPr>
          <w:shd w:val="clear" w:color="auto" w:fill="FFFFFF"/>
        </w:rPr>
        <w:t xml:space="preserve">tackle the various factors, such as planned obsolescence, that lead to increasing amounts of e-waste being generated. </w:t>
      </w:r>
    </w:p>
    <w:p w14:paraId="72ED0925" w14:textId="77777777" w:rsidR="004A6610" w:rsidRDefault="004A6610" w:rsidP="004A6610">
      <w:pPr>
        <w:pStyle w:val="Heading2"/>
        <w:numPr>
          <w:ilvl w:val="0"/>
          <w:numId w:val="0"/>
        </w:numPr>
      </w:pPr>
      <w:bookmarkStart w:id="15" w:name="_Toc504473920"/>
      <w:r>
        <w:lastRenderedPageBreak/>
        <w:t>Education program</w:t>
      </w:r>
      <w:bookmarkEnd w:id="15"/>
    </w:p>
    <w:p w14:paraId="5757B940" w14:textId="77777777" w:rsidR="00066862" w:rsidRPr="00066862" w:rsidRDefault="00066862" w:rsidP="00066862">
      <w:pPr>
        <w:spacing w:after="0"/>
      </w:pPr>
    </w:p>
    <w:p w14:paraId="24FD136A" w14:textId="2D1AD13F" w:rsidR="004A6610" w:rsidRDefault="004A6610" w:rsidP="004A6610">
      <w:r>
        <w:t xml:space="preserve">The PIA rightly notes the importance of an effective and ongoing communication and education campaign to the overall success of the ban. The campaign will need to educate Victorians about what e-waste is, why it’s important to keep it out of landfill, where to recycle it and what their legal obligations are. </w:t>
      </w:r>
      <w:r w:rsidR="00C71147">
        <w:t>Education and engagement should be</w:t>
      </w:r>
      <w:r w:rsidR="00D8242B">
        <w:t xml:space="preserve"> </w:t>
      </w:r>
      <w:r w:rsidR="008A16D9">
        <w:t>state-wide</w:t>
      </w:r>
      <w:r w:rsidR="00D8242B">
        <w:t xml:space="preserve"> </w:t>
      </w:r>
      <w:r w:rsidR="00C71147">
        <w:t xml:space="preserve">and </w:t>
      </w:r>
      <w:r w:rsidR="00D8242B">
        <w:t>State-led</w:t>
      </w:r>
      <w:r w:rsidR="00C71147">
        <w:t xml:space="preserve">, </w:t>
      </w:r>
      <w:r w:rsidR="00D8242B">
        <w:t>deliver</w:t>
      </w:r>
      <w:r w:rsidR="00C71147">
        <w:t>ing consistent messages</w:t>
      </w:r>
      <w:r w:rsidR="00D8242B">
        <w:t xml:space="preserve"> via a range of mediums, including prime time television</w:t>
      </w:r>
      <w:r w:rsidR="00C71147">
        <w:t>,</w:t>
      </w:r>
      <w:r w:rsidR="00D8242B">
        <w:t xml:space="preserve"> as occurs with other priority government programs.</w:t>
      </w:r>
      <w:r w:rsidR="00CC2161">
        <w:t xml:space="preserve"> Consideration also needs to be given to how best to engage with and educate culturally and linguistically diverse communitites, noting that tailored approaches will be needed. </w:t>
      </w:r>
    </w:p>
    <w:p w14:paraId="1BDE884D" w14:textId="74EFB57A" w:rsidR="004A6610" w:rsidRDefault="004A6610" w:rsidP="004A6610">
      <w:r>
        <w:t>While the cost benefit analysis includes provision for an education campaign costing $1 million per year each year for three years and then $500,000 per year thereafter f</w:t>
      </w:r>
      <w:r w:rsidR="00F87D7D">
        <w:t>or the next several years, the S</w:t>
      </w:r>
      <w:r>
        <w:t xml:space="preserve">tate has only committed to spending $1.5 million over three years for the design and implementation of a campaign. This allocation is manifestly inadequate. </w:t>
      </w:r>
    </w:p>
    <w:p w14:paraId="431FADB1" w14:textId="77777777" w:rsidR="00B1193A" w:rsidRDefault="004A6610" w:rsidP="004A6610">
      <w:r>
        <w:t xml:space="preserve">The PIA identifies the need for the campaign to include `intensive community education and information in the lead-up to and immediately following key changes, and on an ongoing basis.’ We do not see how $1.5 million over three years could possibly deliver such a campaign. It is also concerning that the cost benefit analysis has been based on a $3 million dollar investment over the first three years, and not $1.5 million, thereby potentially distorting the results. </w:t>
      </w:r>
    </w:p>
    <w:p w14:paraId="31573039" w14:textId="2A70AA62" w:rsidR="004A6610" w:rsidRDefault="004A6610" w:rsidP="004A6610">
      <w:r>
        <w:t xml:space="preserve">The cost benefit analysis further notes in relation to education and information costs that $1 million per year for the first three years is the allocation for a </w:t>
      </w:r>
      <w:r w:rsidR="0039735A">
        <w:t>medium to high impac</w:t>
      </w:r>
      <w:r w:rsidR="00692643">
        <w:t xml:space="preserve">t campaign, whereas </w:t>
      </w:r>
      <w:r>
        <w:t xml:space="preserve">a high impact campaign would involve an investment of $2 million per year </w:t>
      </w:r>
      <w:r w:rsidR="00F87D7D">
        <w:t>for the first three years. The S</w:t>
      </w:r>
      <w:r w:rsidR="00692643">
        <w:t xml:space="preserve">tate’s investment </w:t>
      </w:r>
      <w:r w:rsidR="00F87D7D">
        <w:t xml:space="preserve">clearly </w:t>
      </w:r>
      <w:r w:rsidR="00692643">
        <w:t>needs to be</w:t>
      </w:r>
      <w:r w:rsidR="00F87D7D">
        <w:t xml:space="preserve"> substantially</w:t>
      </w:r>
      <w:r w:rsidR="00EA4326">
        <w:t xml:space="preserve"> increased.</w:t>
      </w:r>
    </w:p>
    <w:p w14:paraId="0BA0C527" w14:textId="19B4A287" w:rsidR="004A6610" w:rsidRDefault="004A6610" w:rsidP="004A6610">
      <w:r>
        <w:t xml:space="preserve">The PIA identifies the State’s education campaign as key to mitigating the risks of increased illegal dumping of e-waste and inappropriate mixing of e-waste with general waste destined for landfill. As noted in the PIA, illegal dumping of waste is already a significant problem costing taxpayers and ratepayers millions of dollars each year. It is incumbent on the State to ensure that the education campaign is resourced properly and </w:t>
      </w:r>
      <w:r w:rsidR="00B1193A">
        <w:t xml:space="preserve">on </w:t>
      </w:r>
      <w:r>
        <w:t>an ongoing basis.</w:t>
      </w:r>
    </w:p>
    <w:p w14:paraId="42E69BD5" w14:textId="7A8517BE" w:rsidR="00397ECD" w:rsidRDefault="00397ECD" w:rsidP="00397ECD">
      <w:r>
        <w:t>The PIA does not identify any cost to councils associated with community education and information in relation to the ban. This is concerning and a significant oversight given councils are typically the first port of call for residents seeking information about waste-rela</w:t>
      </w:r>
      <w:r w:rsidR="008A2E60">
        <w:t>ted matters. Regardless of the S</w:t>
      </w:r>
      <w:r>
        <w:t xml:space="preserve">tate’s efforts to educate and inform the community which, as just noted, we fear will be grossly underfunded, councils expect that they will incur additional costs associated with responding to community queries in relation to the ban, and updating their online information and waste education materials. </w:t>
      </w:r>
    </w:p>
    <w:p w14:paraId="31B83153" w14:textId="77777777" w:rsidR="0005201F" w:rsidRDefault="004A20D1" w:rsidP="004A6610">
      <w:pPr>
        <w:pStyle w:val="Heading2"/>
        <w:numPr>
          <w:ilvl w:val="0"/>
          <w:numId w:val="0"/>
        </w:numPr>
      </w:pPr>
      <w:bookmarkStart w:id="16" w:name="_Toc504473921"/>
      <w:r w:rsidRPr="004A6610">
        <w:t>Enforcement</w:t>
      </w:r>
      <w:bookmarkEnd w:id="16"/>
      <w:r w:rsidRPr="004A6610">
        <w:t xml:space="preserve"> </w:t>
      </w:r>
    </w:p>
    <w:p w14:paraId="0F50A2AF" w14:textId="77777777" w:rsidR="00066862" w:rsidRPr="00066862" w:rsidRDefault="00066862" w:rsidP="00066862">
      <w:pPr>
        <w:spacing w:after="0"/>
      </w:pPr>
    </w:p>
    <w:p w14:paraId="488E053F" w14:textId="77777777" w:rsidR="00260D9E" w:rsidRDefault="00EA26C1" w:rsidP="000C581E">
      <w:r>
        <w:t xml:space="preserve">The PIA indicates that the EPA will be taking a risk-based approach to enforcement of the </w:t>
      </w:r>
      <w:r w:rsidR="00260D9E">
        <w:t xml:space="preserve">amended </w:t>
      </w:r>
      <w:r>
        <w:t xml:space="preserve">Waste Management Policy (Siting, Design and Management of Landfills) No. 264 </w:t>
      </w:r>
      <w:r w:rsidR="00276B2E">
        <w:t xml:space="preserve">and also acknowledges that achieving compliance with the new Waste Management Policy (E-waste) may take between 12 and 24 months. Recognising that new infrastructure and processes will need to be put in </w:t>
      </w:r>
      <w:r w:rsidR="00AD3693">
        <w:lastRenderedPageBreak/>
        <w:t>place, and</w:t>
      </w:r>
      <w:r w:rsidR="00276B2E">
        <w:t xml:space="preserve"> contracts renegotiated, it is proposed that </w:t>
      </w:r>
      <w:r w:rsidR="003F61EE">
        <w:t xml:space="preserve">there be </w:t>
      </w:r>
      <w:r w:rsidR="00EA4326">
        <w:t>a customised approach</w:t>
      </w:r>
      <w:r w:rsidR="00276B2E">
        <w:t xml:space="preserve"> to enforcing the</w:t>
      </w:r>
      <w:r w:rsidR="003F61EE">
        <w:t xml:space="preserve"> new requirements. </w:t>
      </w:r>
    </w:p>
    <w:p w14:paraId="0B6C2ACB" w14:textId="77777777" w:rsidR="00276B2E" w:rsidRDefault="003F61EE" w:rsidP="000C581E">
      <w:r>
        <w:t>For the first 12 months after the WMP (E-waste) comes into effect a person managing e-waste must be able to demonstrate to the EPA that they’re working towards compliance with the policy. After the first 12 months a risk-based approach will be taken focusing on areas</w:t>
      </w:r>
      <w:r w:rsidR="00F43CEC">
        <w:t xml:space="preserve"> that present the greatest risk.</w:t>
      </w:r>
    </w:p>
    <w:p w14:paraId="4FB25D40" w14:textId="3B57CC45" w:rsidR="000E754D" w:rsidRDefault="00EA6F9B" w:rsidP="002F52E3">
      <w:pPr>
        <w:jc w:val="both"/>
      </w:pPr>
      <w:r>
        <w:t>In their role as landfill operators</w:t>
      </w:r>
      <w:r w:rsidRPr="00A86F9C">
        <w:fldChar w:fldCharType="begin"/>
      </w:r>
      <w:r w:rsidRPr="00A86F9C">
        <w:instrText xml:space="preserve"> XE "2 Introduction:2.3 Sub-heading 3" </w:instrText>
      </w:r>
      <w:r w:rsidRPr="00A86F9C">
        <w:fldChar w:fldCharType="end"/>
      </w:r>
      <w:r w:rsidRPr="00A86F9C">
        <w:fldChar w:fldCharType="begin"/>
      </w:r>
      <w:r w:rsidRPr="00A86F9C">
        <w:instrText xml:space="preserve"> XE "2 Introduction:2.4 Sub-heading 4" </w:instrText>
      </w:r>
      <w:r w:rsidRPr="00A86F9C">
        <w:fldChar w:fldCharType="end"/>
      </w:r>
      <w:r w:rsidRPr="00A86F9C">
        <w:fldChar w:fldCharType="begin"/>
      </w:r>
      <w:r w:rsidRPr="00A86F9C">
        <w:instrText xml:space="preserve"> XE "2 Introduction:2.1 Sub-heading 1" </w:instrText>
      </w:r>
      <w:r w:rsidRPr="00A86F9C">
        <w:fldChar w:fldCharType="end"/>
      </w:r>
      <w:r w:rsidRPr="00A86F9C">
        <w:fldChar w:fldCharType="begin"/>
      </w:r>
      <w:r w:rsidRPr="00A86F9C">
        <w:instrText xml:space="preserve"> XE "2 Introduction:2.2 Sub-heading 2" </w:instrText>
      </w:r>
      <w:r w:rsidRPr="00A86F9C">
        <w:fldChar w:fldCharType="end"/>
      </w:r>
      <w:r>
        <w:t xml:space="preserve">, councils will be required to monitor incoming waste to ensure e-waste is not being dumped. According to the PIA, this will impose an additional cost estimated at 0.5 FTE per site or $323,050 across all sites.  </w:t>
      </w:r>
      <w:r w:rsidR="00F43CEC">
        <w:t xml:space="preserve">We note that it is estimated that </w:t>
      </w:r>
      <w:r w:rsidR="00260D9E">
        <w:t xml:space="preserve">the </w:t>
      </w:r>
      <w:r w:rsidR="008A2E60">
        <w:t>S</w:t>
      </w:r>
      <w:r>
        <w:t xml:space="preserve">tate’s preferred option </w:t>
      </w:r>
      <w:r w:rsidR="00260D9E">
        <w:t>for the ban will achieve an e-wa</w:t>
      </w:r>
      <w:r>
        <w:t>s</w:t>
      </w:r>
      <w:r w:rsidR="00260D9E">
        <w:t xml:space="preserve">te </w:t>
      </w:r>
      <w:r w:rsidR="000E754D">
        <w:t>recovery rate of 60 per cent by 2035</w:t>
      </w:r>
      <w:r>
        <w:t xml:space="preserve">. It is clear that </w:t>
      </w:r>
      <w:r w:rsidR="00260D9E">
        <w:t xml:space="preserve">a </w:t>
      </w:r>
      <w:r w:rsidR="00692643">
        <w:t>significant</w:t>
      </w:r>
      <w:r w:rsidR="000E754D">
        <w:t xml:space="preserve"> proportion of e-waste</w:t>
      </w:r>
      <w:r>
        <w:t xml:space="preserve"> is expected to</w:t>
      </w:r>
      <w:r w:rsidR="000E754D">
        <w:t xml:space="preserve"> </w:t>
      </w:r>
      <w:r w:rsidR="00260D9E">
        <w:t>continue to end up in landfill, or be</w:t>
      </w:r>
      <w:r w:rsidR="000E754D">
        <w:t xml:space="preserve"> illegally dumped, stockpiled or exported. </w:t>
      </w:r>
      <w:r w:rsidR="00F43CEC">
        <w:t xml:space="preserve">It is important that this is taken into account when the EPA oversights landfill operators’ success in keeping </w:t>
      </w:r>
      <w:r w:rsidR="00DC5AB4">
        <w:t xml:space="preserve">e-waste out of landfill. </w:t>
      </w:r>
      <w:r w:rsidR="008A16D9">
        <w:t>Councils</w:t>
      </w:r>
      <w:r w:rsidR="002F52E3">
        <w:t xml:space="preserve"> note that EPA needs to provide further guidance to landfill operators to permit small items of e-waste to be retained at the tipping face where removal is impracticable or presents an unreasonable health and safety risk to landfill staff. This could possibly be addressed through amendments to Chapter 7.4 of the </w:t>
      </w:r>
      <w:r w:rsidR="002F52E3">
        <w:rPr>
          <w:i/>
        </w:rPr>
        <w:t>Best Practice Environmental Management- Siting, design, operation and rehabilitation of landfills (EPA Publication 788).</w:t>
      </w:r>
      <w:r w:rsidR="002F52E3">
        <w:t xml:space="preserve"> </w:t>
      </w:r>
      <w:r w:rsidR="00DC5AB4">
        <w:t xml:space="preserve">As discussed above, significant </w:t>
      </w:r>
      <w:r w:rsidR="00692643">
        <w:t>investment</w:t>
      </w:r>
      <w:r w:rsidR="00DC5AB4">
        <w:t xml:space="preserve"> in the collection network and community education will be essential to achieve community support and compliance with the ban.</w:t>
      </w:r>
    </w:p>
    <w:p w14:paraId="08B0403D" w14:textId="77777777" w:rsidR="00DC5AB4" w:rsidRDefault="00DC5AB4" w:rsidP="00DC5AB4">
      <w:r>
        <w:t xml:space="preserve">Ensuring that reprocessing and recycling facilities are not creating new or additional environmental or occupational health and safety hazards will be an important role of the EPA. While the </w:t>
      </w:r>
      <w:r w:rsidRPr="00DC5AB4">
        <w:rPr>
          <w:i/>
        </w:rPr>
        <w:t>Environment Protection (Scheduled Premises and Exemptions) Regulations</w:t>
      </w:r>
      <w:r>
        <w:t xml:space="preserve"> requires reprocessing facilities recycling more than 500 tonnes per year to obtain a works approval and or a licence to operate, councils are concerned that the introduction of the ban may lead to the proliferation of smaller operators that will function with minimal oversight. It is essential that the EPA has the appropriate resourcing, powers and penalties to take a strong </w:t>
      </w:r>
      <w:r w:rsidR="00692643">
        <w:t>enforcement</w:t>
      </w:r>
      <w:r>
        <w:t xml:space="preserve"> approach when necessary.</w:t>
      </w:r>
    </w:p>
    <w:p w14:paraId="6C9D0B6C" w14:textId="77777777" w:rsidR="008B547A" w:rsidRDefault="00AD3693" w:rsidP="000C581E">
      <w:r>
        <w:t>The PIA</w:t>
      </w:r>
      <w:r w:rsidR="008B547A">
        <w:t xml:space="preserve"> identifies t</w:t>
      </w:r>
      <w:r w:rsidR="00DC5AB4">
        <w:t xml:space="preserve">he </w:t>
      </w:r>
      <w:r w:rsidR="00587228">
        <w:t>Officer for the Protecti</w:t>
      </w:r>
      <w:r w:rsidR="00DC5AB4">
        <w:t xml:space="preserve">on of Local Environment (OPLE) pilot program as one of the State’s planned </w:t>
      </w:r>
      <w:r w:rsidR="00587228">
        <w:t>mitigation approach</w:t>
      </w:r>
      <w:r w:rsidR="00DC5AB4">
        <w:t>es</w:t>
      </w:r>
      <w:r w:rsidR="008B547A">
        <w:t xml:space="preserve"> to illegal dumping of e-waste and stockpiling and subsequent abandonment </w:t>
      </w:r>
      <w:r w:rsidR="00DC5AB4">
        <w:t>of e-waste. We consider this view to be unrealistic given t</w:t>
      </w:r>
      <w:r w:rsidR="00305F50">
        <w:t xml:space="preserve">he OPLE pilot program, while welcome, only involves </w:t>
      </w:r>
      <w:r w:rsidR="00DC5AB4">
        <w:t xml:space="preserve">13 councils and </w:t>
      </w:r>
      <w:r w:rsidR="008B547A">
        <w:t xml:space="preserve">is only funded until December 2018. </w:t>
      </w:r>
    </w:p>
    <w:p w14:paraId="5FCC0EF7" w14:textId="77777777" w:rsidR="00EA26C1" w:rsidRDefault="00EA26C1" w:rsidP="00CC2161">
      <w:pPr>
        <w:pStyle w:val="Heading1"/>
        <w:numPr>
          <w:ilvl w:val="0"/>
          <w:numId w:val="0"/>
        </w:numPr>
        <w:spacing w:before="0"/>
      </w:pPr>
      <w:bookmarkStart w:id="17" w:name="_Toc504473922"/>
      <w:r>
        <w:t>Waste management policies</w:t>
      </w:r>
      <w:bookmarkEnd w:id="17"/>
    </w:p>
    <w:p w14:paraId="326706C1" w14:textId="5C24D0FF" w:rsidR="00ED6CC7" w:rsidRDefault="002742C4" w:rsidP="00D41199">
      <w:r>
        <w:t xml:space="preserve">The </w:t>
      </w:r>
      <w:r w:rsidR="00F87D7D">
        <w:t>S</w:t>
      </w:r>
      <w:r>
        <w:t>tate is prop</w:t>
      </w:r>
      <w:r w:rsidR="001842E0">
        <w:t>o</w:t>
      </w:r>
      <w:r>
        <w:t>sing to</w:t>
      </w:r>
      <w:r w:rsidR="00ED6CC7">
        <w:t xml:space="preserve"> amend the Waste Management Policy (Siting, Design and Management of Landfills) No. 264 to include e-waste as a material banned from landfill. The policy will also be amended to include a </w:t>
      </w:r>
      <w:r w:rsidR="00AD3693">
        <w:t>definition</w:t>
      </w:r>
      <w:r w:rsidR="00ED6CC7">
        <w:t xml:space="preserve"> of e-waste and to provide a schedule that sets out examples of e-waste. It is noted that `small batteries’ will be deleted as a </w:t>
      </w:r>
      <w:r w:rsidR="00AD3693">
        <w:t>stand-alone</w:t>
      </w:r>
      <w:r w:rsidR="00ED6CC7">
        <w:t xml:space="preserve"> item in the existing policy as it will be covered by the inclusion of the term `e-waste’. </w:t>
      </w:r>
    </w:p>
    <w:p w14:paraId="357AD89B" w14:textId="16E643E5" w:rsidR="00276B2E" w:rsidRDefault="00276B2E" w:rsidP="002742C4">
      <w:r>
        <w:t xml:space="preserve">A new waste management policy has been drafted to describe the responsibilities and requirements for e-waste collection, storage, transport, and </w:t>
      </w:r>
      <w:r w:rsidR="00AD3693">
        <w:t>treatment</w:t>
      </w:r>
      <w:r>
        <w:t xml:space="preserve">.  Councils </w:t>
      </w:r>
      <w:r w:rsidR="002742C4">
        <w:t xml:space="preserve">note that Clause 6(1) of </w:t>
      </w:r>
      <w:r>
        <w:t>the draft Waste Management Policy (E-waste)</w:t>
      </w:r>
      <w:r w:rsidR="002742C4">
        <w:t xml:space="preserve"> should be amended to </w:t>
      </w:r>
      <w:r>
        <w:t>include the term `resale’</w:t>
      </w:r>
      <w:r w:rsidR="002742C4">
        <w:t>.</w:t>
      </w:r>
      <w:r w:rsidR="00AE7046">
        <w:t xml:space="preserve"> </w:t>
      </w:r>
      <w:bookmarkStart w:id="18" w:name="_GoBack"/>
      <w:bookmarkEnd w:id="18"/>
    </w:p>
    <w:p w14:paraId="44D47884" w14:textId="77777777" w:rsidR="004B075A" w:rsidRDefault="004B075A" w:rsidP="004B075A">
      <w:pPr>
        <w:pStyle w:val="Heading1"/>
        <w:numPr>
          <w:ilvl w:val="0"/>
          <w:numId w:val="0"/>
        </w:numPr>
      </w:pPr>
      <w:bookmarkStart w:id="19" w:name="_Toc504473923"/>
      <w:r>
        <w:lastRenderedPageBreak/>
        <w:t>Evaluation</w:t>
      </w:r>
      <w:bookmarkEnd w:id="19"/>
    </w:p>
    <w:p w14:paraId="2620415D" w14:textId="77777777" w:rsidR="006A51C0" w:rsidRDefault="006A51C0" w:rsidP="004B075A">
      <w:r>
        <w:t xml:space="preserve">The PIA provides a brief overview of the government’s intended evaluation strategy for the ban. High level detail is provided of what outcomes and long term objectives will be measured, how and when they will be measured, and who will be responsible. </w:t>
      </w:r>
    </w:p>
    <w:p w14:paraId="3E78455B" w14:textId="0BCEFE47" w:rsidR="00F9483E" w:rsidRDefault="006A51C0" w:rsidP="00F9483E">
      <w:r>
        <w:t>It is interesting and concerning to note t</w:t>
      </w:r>
      <w:r w:rsidR="00F709CC">
        <w:t>hat the proposed</w:t>
      </w:r>
      <w:r>
        <w:t xml:space="preserve"> approach does not include any consideration of </w:t>
      </w:r>
      <w:r w:rsidR="00F709CC">
        <w:t xml:space="preserve">the cost to councils </w:t>
      </w:r>
      <w:r w:rsidR="008A2E60">
        <w:t>or the S</w:t>
      </w:r>
      <w:r w:rsidR="00F9483E">
        <w:t xml:space="preserve">tate </w:t>
      </w:r>
      <w:r w:rsidR="00F709CC">
        <w:t>of implementing the ban</w:t>
      </w:r>
      <w:r>
        <w:t>.</w:t>
      </w:r>
      <w:r w:rsidR="00F709CC">
        <w:t xml:space="preserve"> </w:t>
      </w:r>
      <w:r w:rsidR="00F9483E">
        <w:t>Given that the evaluation will inform not only the review of the waste management policies but also the assessment of the non-</w:t>
      </w:r>
      <w:r w:rsidR="00692643">
        <w:t>regulatory</w:t>
      </w:r>
      <w:r w:rsidR="00F9483E">
        <w:t xml:space="preserve"> components of the policy package, we consider cost to be an essential measure to be included. Victorian taxpayers and ratepayers should know whether the policy is good value and cost-effective. </w:t>
      </w:r>
    </w:p>
    <w:p w14:paraId="31594C10" w14:textId="03E8C1D6" w:rsidR="008C71B0" w:rsidRPr="0061167E" w:rsidRDefault="00F9483E" w:rsidP="0061167E">
      <w:r>
        <w:t>We a</w:t>
      </w:r>
      <w:r w:rsidR="008A2E60">
        <w:t>lso seek a commitment from the S</w:t>
      </w:r>
      <w:r>
        <w:t xml:space="preserve">tate to make their evaluation reports publicly available. </w:t>
      </w:r>
    </w:p>
    <w:p w14:paraId="12DC4ADE" w14:textId="651E00DB" w:rsidR="008C71B0" w:rsidRPr="00EE3F6A" w:rsidRDefault="0061167E" w:rsidP="0061167E">
      <w:pPr>
        <w:pStyle w:val="Heading1"/>
        <w:numPr>
          <w:ilvl w:val="0"/>
          <w:numId w:val="0"/>
        </w:numPr>
      </w:pPr>
      <w:bookmarkStart w:id="20" w:name="_Toc504473924"/>
      <w:r>
        <w:t>R</w:t>
      </w:r>
      <w:r w:rsidR="008C71B0" w:rsidRPr="00EE3F6A">
        <w:t>ecommendations</w:t>
      </w:r>
      <w:bookmarkEnd w:id="20"/>
    </w:p>
    <w:p w14:paraId="2830E01F" w14:textId="15AE1553" w:rsidR="008C71B0" w:rsidRPr="00F53DA3" w:rsidRDefault="0061167E" w:rsidP="008C71B0">
      <w:r>
        <w:t>The MAV</w:t>
      </w:r>
      <w:r w:rsidR="008C71B0">
        <w:t xml:space="preserve"> call on the government to rethink its proposed approach to the landfill ban and instead focus its efforts on supporting and advocating for expansion of e-waste product stewardship programs. The review of the </w:t>
      </w:r>
      <w:r w:rsidR="008C71B0" w:rsidRPr="00071376">
        <w:rPr>
          <w:i/>
        </w:rPr>
        <w:t>Product Stewardship Act 2011</w:t>
      </w:r>
      <w:r w:rsidR="008C71B0">
        <w:rPr>
          <w:i/>
        </w:rPr>
        <w:t xml:space="preserve">, </w:t>
      </w:r>
      <w:r w:rsidR="008C71B0" w:rsidRPr="00F53DA3">
        <w:t>currently underway</w:t>
      </w:r>
      <w:r w:rsidR="008C71B0">
        <w:t>,</w:t>
      </w:r>
      <w:r w:rsidR="008C71B0" w:rsidRPr="00F53DA3">
        <w:t xml:space="preserve"> provides a timely and tangible opportunity for the Victorian government to improve e-waste recycling rates. </w:t>
      </w:r>
    </w:p>
    <w:p w14:paraId="7612C4F3" w14:textId="77777777" w:rsidR="008C71B0" w:rsidRDefault="008C71B0" w:rsidP="008C71B0">
      <w:pPr>
        <w:tabs>
          <w:tab w:val="left" w:pos="2955"/>
        </w:tabs>
        <w:spacing w:after="0"/>
        <w:rPr>
          <w:rFonts w:cs="Arial"/>
        </w:rPr>
      </w:pPr>
      <w:r>
        <w:rPr>
          <w:rFonts w:cs="Arial"/>
        </w:rPr>
        <w:t>If the government is determined to pursue its proposed approach to the ban then we consider the following to be essential in order to offer the ban some chance of success without imposing an undue and unreasonable burden on councils and ratepayers:</w:t>
      </w:r>
    </w:p>
    <w:p w14:paraId="491A8740" w14:textId="77777777" w:rsidR="008C71B0" w:rsidRDefault="008C71B0" w:rsidP="008C71B0">
      <w:pPr>
        <w:pStyle w:val="ListParagraph"/>
        <w:numPr>
          <w:ilvl w:val="0"/>
          <w:numId w:val="10"/>
        </w:numPr>
        <w:tabs>
          <w:tab w:val="left" w:pos="363"/>
        </w:tabs>
        <w:spacing w:after="0"/>
        <w:rPr>
          <w:rFonts w:cs="Arial"/>
        </w:rPr>
      </w:pPr>
      <w:r>
        <w:rPr>
          <w:rFonts w:cs="Arial"/>
        </w:rPr>
        <w:t>delay entry into force of the ban until the $15 million Sustainability Victoria infrastructure support program has been rolled out and all priority collection points have been upgraded to meet the relevant standards for safe handling and storage</w:t>
      </w:r>
    </w:p>
    <w:p w14:paraId="19C38E86" w14:textId="77777777" w:rsidR="008C71B0" w:rsidRDefault="008C71B0" w:rsidP="008C71B0">
      <w:pPr>
        <w:pStyle w:val="ListParagraph"/>
        <w:numPr>
          <w:ilvl w:val="0"/>
          <w:numId w:val="10"/>
        </w:numPr>
        <w:tabs>
          <w:tab w:val="left" w:pos="363"/>
        </w:tabs>
        <w:rPr>
          <w:rFonts w:cs="Arial"/>
        </w:rPr>
      </w:pPr>
      <w:r>
        <w:rPr>
          <w:rFonts w:cs="Arial"/>
        </w:rPr>
        <w:t>allocate funding from the Sustainability Fund to:</w:t>
      </w:r>
    </w:p>
    <w:p w14:paraId="7E3F7036" w14:textId="77777777" w:rsidR="008C71B0" w:rsidRDefault="008C71B0" w:rsidP="008C71B0">
      <w:pPr>
        <w:pStyle w:val="ListParagraph"/>
        <w:numPr>
          <w:ilvl w:val="1"/>
          <w:numId w:val="10"/>
        </w:numPr>
        <w:tabs>
          <w:tab w:val="left" w:pos="363"/>
        </w:tabs>
        <w:rPr>
          <w:rFonts w:cs="Arial"/>
        </w:rPr>
      </w:pPr>
      <w:r>
        <w:rPr>
          <w:rFonts w:cs="Arial"/>
        </w:rPr>
        <w:t>support councils to provide additional collection points that are safe and readily accessible to the Victorian community</w:t>
      </w:r>
    </w:p>
    <w:p w14:paraId="62C0B709" w14:textId="77777777" w:rsidR="008C71B0" w:rsidRDefault="008C71B0" w:rsidP="008C71B0">
      <w:pPr>
        <w:pStyle w:val="ListParagraph"/>
        <w:numPr>
          <w:ilvl w:val="1"/>
          <w:numId w:val="10"/>
        </w:numPr>
        <w:tabs>
          <w:tab w:val="left" w:pos="363"/>
        </w:tabs>
        <w:rPr>
          <w:rFonts w:cs="Arial"/>
        </w:rPr>
      </w:pPr>
      <w:r w:rsidRPr="006A7F5C">
        <w:rPr>
          <w:rFonts w:cs="Arial"/>
        </w:rPr>
        <w:t xml:space="preserve">compensate councils for any reasonable additional waste management costs borne by councils as a </w:t>
      </w:r>
      <w:r>
        <w:rPr>
          <w:rFonts w:cs="Arial"/>
        </w:rPr>
        <w:t xml:space="preserve">direct </w:t>
      </w:r>
      <w:r w:rsidRPr="006A7F5C">
        <w:rPr>
          <w:rFonts w:cs="Arial"/>
        </w:rPr>
        <w:t>result of the ban for the first 24 months of the ban</w:t>
      </w:r>
    </w:p>
    <w:p w14:paraId="163AB202" w14:textId="77777777" w:rsidR="008C71B0" w:rsidRPr="003D19BB" w:rsidRDefault="008C71B0" w:rsidP="008C71B0">
      <w:pPr>
        <w:pStyle w:val="ListParagraph"/>
        <w:numPr>
          <w:ilvl w:val="0"/>
          <w:numId w:val="10"/>
        </w:numPr>
        <w:tabs>
          <w:tab w:val="left" w:pos="363"/>
        </w:tabs>
        <w:rPr>
          <w:rFonts w:cs="Arial"/>
        </w:rPr>
      </w:pPr>
      <w:r>
        <w:rPr>
          <w:rFonts w:cs="Arial"/>
        </w:rPr>
        <w:t>work with retailers to establish collection points at outlets that sell electronic goods</w:t>
      </w:r>
    </w:p>
    <w:p w14:paraId="64CBB31E" w14:textId="77777777" w:rsidR="008C71B0" w:rsidRDefault="008C71B0" w:rsidP="008C71B0">
      <w:pPr>
        <w:pStyle w:val="ListParagraph"/>
        <w:numPr>
          <w:ilvl w:val="0"/>
          <w:numId w:val="10"/>
        </w:numPr>
        <w:tabs>
          <w:tab w:val="left" w:pos="363"/>
        </w:tabs>
        <w:rPr>
          <w:rFonts w:cs="Arial"/>
        </w:rPr>
      </w:pPr>
      <w:r>
        <w:rPr>
          <w:rFonts w:cs="Arial"/>
        </w:rPr>
        <w:t>increase the funding allocation for the education and information campaign for the ban to at least $3 million over three years, as per the cost benefit analysis, to enable implementation of a clear, consistent and effective campaign across Victoria</w:t>
      </w:r>
    </w:p>
    <w:p w14:paraId="75A36F2B" w14:textId="77777777" w:rsidR="008C71B0" w:rsidRPr="006A7F5C" w:rsidRDefault="008C71B0" w:rsidP="008C71B0">
      <w:pPr>
        <w:pStyle w:val="ListParagraph"/>
        <w:numPr>
          <w:ilvl w:val="0"/>
          <w:numId w:val="10"/>
        </w:numPr>
        <w:tabs>
          <w:tab w:val="left" w:pos="363"/>
        </w:tabs>
        <w:rPr>
          <w:rFonts w:cs="Arial"/>
        </w:rPr>
      </w:pPr>
      <w:r>
        <w:rPr>
          <w:rFonts w:cs="Arial"/>
        </w:rPr>
        <w:t>strengthen advocacy to the Australian government to expand existing product stewardship schemes and establish new schemes so that the costs associated with recycling e-waste are borne by those producing, selling and purchasing the products.</w:t>
      </w:r>
    </w:p>
    <w:p w14:paraId="36F4EF7D" w14:textId="77777777" w:rsidR="00FB627D" w:rsidRDefault="00FB627D" w:rsidP="002B2252"/>
    <w:sectPr w:rsidR="00FB627D" w:rsidSect="002431F0">
      <w:headerReference w:type="default" r:id="rId15"/>
      <w:footerReference w:type="default" r:id="rId16"/>
      <w:pgSz w:w="12240" w:h="15840"/>
      <w:pgMar w:top="964" w:right="1021" w:bottom="28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60F15" w14:textId="77777777" w:rsidR="00A31341" w:rsidRDefault="00A31341" w:rsidP="00286BB4">
      <w:pPr>
        <w:spacing w:after="0" w:line="240" w:lineRule="auto"/>
      </w:pPr>
      <w:r>
        <w:separator/>
      </w:r>
    </w:p>
  </w:endnote>
  <w:endnote w:type="continuationSeparator" w:id="0">
    <w:p w14:paraId="68FAFF48" w14:textId="77777777" w:rsidR="00A31341" w:rsidRDefault="00A31341" w:rsidP="00286BB4">
      <w:pPr>
        <w:spacing w:after="0" w:line="240" w:lineRule="auto"/>
      </w:pPr>
      <w:r>
        <w:continuationSeparator/>
      </w:r>
    </w:p>
  </w:endnote>
  <w:endnote w:type="continuationNotice" w:id="1">
    <w:p w14:paraId="750ACB5F" w14:textId="77777777" w:rsidR="00A31341" w:rsidRDefault="00A31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CEDB3" w14:textId="77777777" w:rsidR="008C71B0" w:rsidRPr="00B873B6" w:rsidRDefault="008C71B0" w:rsidP="000453D9">
    <w:pPr>
      <w:pStyle w:val="Footer"/>
      <w:jc w:val="right"/>
      <w:rPr>
        <w:rFonts w:cs="Arial"/>
        <w:b/>
        <w:sz w:val="18"/>
        <w:szCs w:val="18"/>
      </w:rPr>
    </w:pPr>
  </w:p>
  <w:p w14:paraId="3C87CD6F" w14:textId="77777777" w:rsidR="008C71B0" w:rsidRDefault="008C71B0" w:rsidP="00C40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C23DC" w14:textId="77777777" w:rsidR="002431F0" w:rsidRDefault="002431F0" w:rsidP="000453D9">
    <w:pPr>
      <w:pStyle w:val="Footer"/>
    </w:pPr>
  </w:p>
  <w:p w14:paraId="1E2DD0D6" w14:textId="77777777" w:rsidR="008C71B0" w:rsidRPr="000453D9" w:rsidRDefault="008C71B0" w:rsidP="000453D9">
    <w:pPr>
      <w:pStyle w:val="Footer"/>
      <w:rPr>
        <w:rFonts w:cs="Arial"/>
        <w:sz w:val="18"/>
        <w:szCs w:val="18"/>
      </w:rPr>
    </w:pPr>
    <w:r>
      <w:fldChar w:fldCharType="begin"/>
    </w:r>
    <w:r>
      <w:instrText xml:space="preserve"> PAGE   \* MERGEFORMAT </w:instrText>
    </w:r>
    <w:r>
      <w:fldChar w:fldCharType="separate"/>
    </w:r>
    <w:r w:rsidR="009E3579">
      <w:rPr>
        <w:noProof/>
      </w:rPr>
      <w:t>17</w:t>
    </w:r>
    <w:r>
      <w:rPr>
        <w:noProof/>
      </w:rPr>
      <w:fldChar w:fldCharType="end"/>
    </w:r>
    <w:r>
      <w:tab/>
    </w:r>
    <w:r>
      <w:tab/>
    </w:r>
  </w:p>
  <w:p w14:paraId="5EB158BD" w14:textId="77777777" w:rsidR="008C71B0" w:rsidRDefault="008C71B0" w:rsidP="00271A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EB276" w14:textId="77777777" w:rsidR="00A31341" w:rsidRDefault="00A31341" w:rsidP="00286BB4">
      <w:pPr>
        <w:spacing w:after="0" w:line="240" w:lineRule="auto"/>
      </w:pPr>
      <w:r>
        <w:separator/>
      </w:r>
    </w:p>
  </w:footnote>
  <w:footnote w:type="continuationSeparator" w:id="0">
    <w:p w14:paraId="4CD89F1A" w14:textId="77777777" w:rsidR="00A31341" w:rsidRDefault="00A31341" w:rsidP="00286BB4">
      <w:pPr>
        <w:spacing w:after="0" w:line="240" w:lineRule="auto"/>
      </w:pPr>
      <w:r>
        <w:continuationSeparator/>
      </w:r>
    </w:p>
  </w:footnote>
  <w:footnote w:type="continuationNotice" w:id="1">
    <w:p w14:paraId="53A83D8A" w14:textId="77777777" w:rsidR="00A31341" w:rsidRDefault="00A31341">
      <w:pPr>
        <w:spacing w:after="0" w:line="240" w:lineRule="auto"/>
      </w:pPr>
    </w:p>
  </w:footnote>
  <w:footnote w:id="2">
    <w:p w14:paraId="7F4921F9" w14:textId="77777777" w:rsidR="008C71B0" w:rsidRPr="00EA4326" w:rsidRDefault="008C71B0">
      <w:pPr>
        <w:pStyle w:val="FootnoteText"/>
        <w:rPr>
          <w:sz w:val="16"/>
          <w:szCs w:val="16"/>
        </w:rPr>
      </w:pPr>
      <w:r w:rsidRPr="00EA4326">
        <w:rPr>
          <w:rStyle w:val="FootnoteReference"/>
          <w:sz w:val="16"/>
          <w:szCs w:val="16"/>
        </w:rPr>
        <w:footnoteRef/>
      </w:r>
      <w:r w:rsidRPr="00EA4326">
        <w:rPr>
          <w:sz w:val="16"/>
          <w:szCs w:val="16"/>
        </w:rPr>
        <w:t xml:space="preserve"> Page 5 of PIA</w:t>
      </w:r>
    </w:p>
  </w:footnote>
  <w:footnote w:id="3">
    <w:p w14:paraId="33A94964" w14:textId="77777777" w:rsidR="008C71B0" w:rsidRPr="00EA4326" w:rsidRDefault="008C71B0">
      <w:pPr>
        <w:pStyle w:val="FootnoteText"/>
        <w:rPr>
          <w:sz w:val="16"/>
          <w:szCs w:val="16"/>
        </w:rPr>
      </w:pPr>
      <w:r w:rsidRPr="00EA4326">
        <w:rPr>
          <w:rStyle w:val="FootnoteReference"/>
          <w:sz w:val="16"/>
          <w:szCs w:val="16"/>
        </w:rPr>
        <w:footnoteRef/>
      </w:r>
      <w:r w:rsidRPr="00EA4326">
        <w:rPr>
          <w:sz w:val="16"/>
          <w:szCs w:val="16"/>
        </w:rPr>
        <w:t xml:space="preserve"> Page 29</w:t>
      </w:r>
    </w:p>
  </w:footnote>
  <w:footnote w:id="4">
    <w:p w14:paraId="00714598" w14:textId="77777777" w:rsidR="008C71B0" w:rsidRDefault="008C71B0">
      <w:pPr>
        <w:pStyle w:val="FootnoteText"/>
      </w:pPr>
      <w:r w:rsidRPr="00EA4326">
        <w:rPr>
          <w:rStyle w:val="FootnoteReference"/>
          <w:sz w:val="16"/>
          <w:szCs w:val="16"/>
        </w:rPr>
        <w:footnoteRef/>
      </w:r>
      <w:r w:rsidRPr="00EA4326">
        <w:rPr>
          <w:sz w:val="16"/>
          <w:szCs w:val="16"/>
        </w:rPr>
        <w:t xml:space="preserve"> Ibid</w:t>
      </w:r>
    </w:p>
  </w:footnote>
  <w:footnote w:id="5">
    <w:p w14:paraId="1487778B" w14:textId="77777777" w:rsidR="008C71B0" w:rsidRPr="00EA4326" w:rsidRDefault="008C71B0">
      <w:pPr>
        <w:pStyle w:val="FootnoteText"/>
        <w:rPr>
          <w:sz w:val="16"/>
          <w:szCs w:val="16"/>
        </w:rPr>
      </w:pPr>
      <w:r w:rsidRPr="00EA4326">
        <w:rPr>
          <w:rStyle w:val="FootnoteReference"/>
          <w:sz w:val="16"/>
          <w:szCs w:val="16"/>
        </w:rPr>
        <w:footnoteRef/>
      </w:r>
      <w:r w:rsidRPr="00EA4326">
        <w:rPr>
          <w:sz w:val="16"/>
          <w:szCs w:val="16"/>
        </w:rPr>
        <w:t xml:space="preserve"> Page 1 of Marsden Jacob Associations cost benefit analysis</w:t>
      </w:r>
    </w:p>
  </w:footnote>
  <w:footnote w:id="6">
    <w:p w14:paraId="2C01C021" w14:textId="77777777" w:rsidR="008C71B0" w:rsidRDefault="008C71B0">
      <w:pPr>
        <w:pStyle w:val="FootnoteText"/>
      </w:pPr>
      <w:r>
        <w:rPr>
          <w:rStyle w:val="FootnoteReference"/>
        </w:rPr>
        <w:footnoteRef/>
      </w:r>
      <w:r>
        <w:t xml:space="preserve"> </w:t>
      </w:r>
      <w:r w:rsidRPr="00EA4326">
        <w:rPr>
          <w:sz w:val="16"/>
          <w:szCs w:val="16"/>
        </w:rPr>
        <w:t>Page 55</w:t>
      </w:r>
    </w:p>
  </w:footnote>
  <w:footnote w:id="7">
    <w:p w14:paraId="5A346C8B" w14:textId="77777777" w:rsidR="008C71B0" w:rsidRPr="00EA4326" w:rsidRDefault="008C71B0">
      <w:pPr>
        <w:pStyle w:val="FootnoteText"/>
        <w:rPr>
          <w:sz w:val="16"/>
          <w:szCs w:val="16"/>
        </w:rPr>
      </w:pPr>
      <w:r w:rsidRPr="00EA4326">
        <w:rPr>
          <w:rStyle w:val="FootnoteReference"/>
          <w:sz w:val="16"/>
          <w:szCs w:val="16"/>
        </w:rPr>
        <w:footnoteRef/>
      </w:r>
      <w:r w:rsidRPr="00EA4326">
        <w:rPr>
          <w:sz w:val="16"/>
          <w:szCs w:val="16"/>
        </w:rPr>
        <w:t xml:space="preserve"> Page 64 of the PIA identifies a cost of $22,750 per council however the total in the table is $1,979,250 which equates to $25,053 per council</w:t>
      </w:r>
    </w:p>
  </w:footnote>
  <w:footnote w:id="8">
    <w:p w14:paraId="2834FBAF" w14:textId="77777777" w:rsidR="008C71B0" w:rsidRPr="00EA4326" w:rsidRDefault="008C71B0">
      <w:pPr>
        <w:pStyle w:val="FootnoteText"/>
        <w:rPr>
          <w:sz w:val="16"/>
          <w:szCs w:val="16"/>
        </w:rPr>
      </w:pPr>
      <w:r w:rsidRPr="00EA4326">
        <w:rPr>
          <w:rStyle w:val="FootnoteReference"/>
          <w:sz w:val="16"/>
          <w:szCs w:val="16"/>
        </w:rPr>
        <w:footnoteRef/>
      </w:r>
      <w:r w:rsidRPr="00EA4326">
        <w:rPr>
          <w:sz w:val="16"/>
          <w:szCs w:val="16"/>
        </w:rPr>
        <w:t xml:space="preserve"> Page 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09649" w14:textId="77777777" w:rsidR="008C71B0" w:rsidRDefault="008C71B0" w:rsidP="00C4007E">
    <w:pPr>
      <w:pStyle w:val="Header"/>
      <w:jc w:val="right"/>
    </w:pPr>
    <w:r>
      <w:rPr>
        <w:noProof/>
        <w:lang w:eastAsia="en-AU"/>
      </w:rPr>
      <w:drawing>
        <wp:inline distT="0" distB="0" distL="0" distR="0" wp14:anchorId="18543B43" wp14:editId="727225EB">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A929" w14:textId="2388F642" w:rsidR="008C71B0" w:rsidRDefault="008C71B0" w:rsidP="00940288">
    <w:pPr>
      <w:pStyle w:val="Header"/>
      <w:jc w:val="right"/>
    </w:pPr>
    <w:r>
      <w:rPr>
        <w:noProof/>
        <w:lang w:eastAsia="en-AU"/>
      </w:rPr>
      <w:drawing>
        <wp:inline distT="0" distB="0" distL="0" distR="0" wp14:anchorId="2025AB7F" wp14:editId="70DAC1FA">
          <wp:extent cx="1456706" cy="542631"/>
          <wp:effectExtent l="0" t="0" r="0"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462887" cy="544933"/>
                  </a:xfrm>
                  <a:prstGeom prst="rect">
                    <a:avLst/>
                  </a:prstGeom>
                  <a:noFill/>
                  <a:ln w="9525">
                    <a:noFill/>
                    <a:miter lim="800000"/>
                    <a:headEnd/>
                    <a:tailEnd/>
                  </a:ln>
                </pic:spPr>
              </pic:pic>
            </a:graphicData>
          </a:graphic>
        </wp:inline>
      </w:drawing>
    </w:r>
  </w:p>
  <w:p w14:paraId="5D8E1E41" w14:textId="77777777" w:rsidR="002431F0" w:rsidRDefault="002431F0" w:rsidP="009402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03FE"/>
    <w:multiLevelType w:val="hybridMultilevel"/>
    <w:tmpl w:val="144CF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A76888"/>
    <w:multiLevelType w:val="hybridMultilevel"/>
    <w:tmpl w:val="5FEEA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5852BB"/>
    <w:multiLevelType w:val="hybridMultilevel"/>
    <w:tmpl w:val="528083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57749C8"/>
    <w:multiLevelType w:val="hybridMultilevel"/>
    <w:tmpl w:val="7EFAD6A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FD2102"/>
    <w:multiLevelType w:val="hybridMultilevel"/>
    <w:tmpl w:val="F28EE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834E00"/>
    <w:multiLevelType w:val="hybridMultilevel"/>
    <w:tmpl w:val="278EE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9518F4"/>
    <w:multiLevelType w:val="hybridMultilevel"/>
    <w:tmpl w:val="43B4D136"/>
    <w:lvl w:ilvl="0" w:tplc="4D5C1A6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253142"/>
    <w:multiLevelType w:val="hybridMultilevel"/>
    <w:tmpl w:val="D98C5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72149D"/>
    <w:multiLevelType w:val="hybridMultilevel"/>
    <w:tmpl w:val="82069C62"/>
    <w:lvl w:ilvl="0" w:tplc="F872F8C4">
      <w:start w:val="1"/>
      <w:numFmt w:val="decimal"/>
      <w:pStyle w:val="Heading1"/>
      <w:lvlText w:val="%1"/>
      <w:lvlJc w:val="left"/>
      <w:pPr>
        <w:ind w:left="957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958169F"/>
    <w:multiLevelType w:val="hybridMultilevel"/>
    <w:tmpl w:val="323C9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A04232"/>
    <w:multiLevelType w:val="hybridMultilevel"/>
    <w:tmpl w:val="84BA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4"/>
  </w:num>
  <w:num w:numId="3">
    <w:abstractNumId w:val="10"/>
  </w:num>
  <w:num w:numId="4">
    <w:abstractNumId w:val="12"/>
  </w:num>
  <w:num w:numId="5">
    <w:abstractNumId w:val="10"/>
    <w:lvlOverride w:ilvl="0">
      <w:startOverride w:val="1"/>
    </w:lvlOverride>
  </w:num>
  <w:num w:numId="6">
    <w:abstractNumId w:val="9"/>
  </w:num>
  <w:num w:numId="7">
    <w:abstractNumId w:val="11"/>
  </w:num>
  <w:num w:numId="8">
    <w:abstractNumId w:val="6"/>
  </w:num>
  <w:num w:numId="9">
    <w:abstractNumId w:val="2"/>
  </w:num>
  <w:num w:numId="10">
    <w:abstractNumId w:val="1"/>
  </w:num>
  <w:num w:numId="11">
    <w:abstractNumId w:val="3"/>
  </w:num>
  <w:num w:numId="12">
    <w:abstractNumId w:val="7"/>
  </w:num>
  <w:num w:numId="13">
    <w:abstractNumId w:val="13"/>
  </w:num>
  <w:num w:numId="14">
    <w:abstractNumId w:val="0"/>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22"/>
    <w:rsid w:val="0000243B"/>
    <w:rsid w:val="0000401D"/>
    <w:rsid w:val="00005B13"/>
    <w:rsid w:val="00013C98"/>
    <w:rsid w:val="000171B5"/>
    <w:rsid w:val="00022604"/>
    <w:rsid w:val="0002686B"/>
    <w:rsid w:val="000452DA"/>
    <w:rsid w:val="000453D9"/>
    <w:rsid w:val="00046038"/>
    <w:rsid w:val="0005201F"/>
    <w:rsid w:val="00052DBD"/>
    <w:rsid w:val="00056BA2"/>
    <w:rsid w:val="00066862"/>
    <w:rsid w:val="00067C28"/>
    <w:rsid w:val="00071376"/>
    <w:rsid w:val="000715B2"/>
    <w:rsid w:val="000A4E3D"/>
    <w:rsid w:val="000A7741"/>
    <w:rsid w:val="000B0598"/>
    <w:rsid w:val="000C325E"/>
    <w:rsid w:val="000C3436"/>
    <w:rsid w:val="000C581E"/>
    <w:rsid w:val="000E0CB0"/>
    <w:rsid w:val="000E754D"/>
    <w:rsid w:val="000F5A7F"/>
    <w:rsid w:val="00117E72"/>
    <w:rsid w:val="001304A7"/>
    <w:rsid w:val="001313C9"/>
    <w:rsid w:val="00137EE1"/>
    <w:rsid w:val="00153BA6"/>
    <w:rsid w:val="001562B6"/>
    <w:rsid w:val="001602E2"/>
    <w:rsid w:val="00164D37"/>
    <w:rsid w:val="001667C7"/>
    <w:rsid w:val="00170172"/>
    <w:rsid w:val="00171FE7"/>
    <w:rsid w:val="00182B22"/>
    <w:rsid w:val="001842E0"/>
    <w:rsid w:val="00187B88"/>
    <w:rsid w:val="00197341"/>
    <w:rsid w:val="001A777F"/>
    <w:rsid w:val="001B15D2"/>
    <w:rsid w:val="001C0A22"/>
    <w:rsid w:val="001D40DD"/>
    <w:rsid w:val="001E5584"/>
    <w:rsid w:val="001F49F4"/>
    <w:rsid w:val="00202099"/>
    <w:rsid w:val="00202861"/>
    <w:rsid w:val="002063EE"/>
    <w:rsid w:val="00207081"/>
    <w:rsid w:val="00215933"/>
    <w:rsid w:val="00217F01"/>
    <w:rsid w:val="00221AF2"/>
    <w:rsid w:val="00223BA7"/>
    <w:rsid w:val="0023277C"/>
    <w:rsid w:val="00233FCC"/>
    <w:rsid w:val="00235AC2"/>
    <w:rsid w:val="0023733C"/>
    <w:rsid w:val="002431F0"/>
    <w:rsid w:val="00260D9E"/>
    <w:rsid w:val="0026340D"/>
    <w:rsid w:val="00266EA2"/>
    <w:rsid w:val="00271AF4"/>
    <w:rsid w:val="002742C4"/>
    <w:rsid w:val="00276B2E"/>
    <w:rsid w:val="00286BB4"/>
    <w:rsid w:val="0028710F"/>
    <w:rsid w:val="002A130C"/>
    <w:rsid w:val="002B2252"/>
    <w:rsid w:val="002C3865"/>
    <w:rsid w:val="002C3B30"/>
    <w:rsid w:val="002E0F44"/>
    <w:rsid w:val="002F0000"/>
    <w:rsid w:val="002F25D2"/>
    <w:rsid w:val="002F27BA"/>
    <w:rsid w:val="002F517B"/>
    <w:rsid w:val="002F52E3"/>
    <w:rsid w:val="00305F50"/>
    <w:rsid w:val="00306650"/>
    <w:rsid w:val="003265E3"/>
    <w:rsid w:val="003301BA"/>
    <w:rsid w:val="00333CF2"/>
    <w:rsid w:val="00334B10"/>
    <w:rsid w:val="00335877"/>
    <w:rsid w:val="0035610A"/>
    <w:rsid w:val="00374A58"/>
    <w:rsid w:val="003804F8"/>
    <w:rsid w:val="00392535"/>
    <w:rsid w:val="0039735A"/>
    <w:rsid w:val="00397ECD"/>
    <w:rsid w:val="003B780A"/>
    <w:rsid w:val="003D19BB"/>
    <w:rsid w:val="003D6998"/>
    <w:rsid w:val="003E043E"/>
    <w:rsid w:val="003F4651"/>
    <w:rsid w:val="003F61EE"/>
    <w:rsid w:val="00402C9F"/>
    <w:rsid w:val="00406BAA"/>
    <w:rsid w:val="00407549"/>
    <w:rsid w:val="00410F0A"/>
    <w:rsid w:val="00411AD6"/>
    <w:rsid w:val="00412A16"/>
    <w:rsid w:val="00417A8B"/>
    <w:rsid w:val="00432B14"/>
    <w:rsid w:val="00433E75"/>
    <w:rsid w:val="004374DB"/>
    <w:rsid w:val="00443E61"/>
    <w:rsid w:val="0045076A"/>
    <w:rsid w:val="00455219"/>
    <w:rsid w:val="004629BE"/>
    <w:rsid w:val="004671ED"/>
    <w:rsid w:val="00472A7B"/>
    <w:rsid w:val="00486EA2"/>
    <w:rsid w:val="00487E61"/>
    <w:rsid w:val="00497EF4"/>
    <w:rsid w:val="004A20D1"/>
    <w:rsid w:val="004A6610"/>
    <w:rsid w:val="004B075A"/>
    <w:rsid w:val="004B3615"/>
    <w:rsid w:val="004B500D"/>
    <w:rsid w:val="004B503E"/>
    <w:rsid w:val="004B6733"/>
    <w:rsid w:val="004C3A41"/>
    <w:rsid w:val="004C7C59"/>
    <w:rsid w:val="004D3E4B"/>
    <w:rsid w:val="004E7AFD"/>
    <w:rsid w:val="004F095A"/>
    <w:rsid w:val="00501E25"/>
    <w:rsid w:val="0051416B"/>
    <w:rsid w:val="005154EC"/>
    <w:rsid w:val="0053631C"/>
    <w:rsid w:val="00536462"/>
    <w:rsid w:val="00536548"/>
    <w:rsid w:val="0056479A"/>
    <w:rsid w:val="00583FD4"/>
    <w:rsid w:val="00586353"/>
    <w:rsid w:val="00587228"/>
    <w:rsid w:val="005A297C"/>
    <w:rsid w:val="005A5847"/>
    <w:rsid w:val="005B0AC3"/>
    <w:rsid w:val="005B37D9"/>
    <w:rsid w:val="005B6502"/>
    <w:rsid w:val="005C1E1A"/>
    <w:rsid w:val="005C7453"/>
    <w:rsid w:val="005D0703"/>
    <w:rsid w:val="005F169A"/>
    <w:rsid w:val="005F78B7"/>
    <w:rsid w:val="006006A1"/>
    <w:rsid w:val="00606C14"/>
    <w:rsid w:val="0061167E"/>
    <w:rsid w:val="00611FF3"/>
    <w:rsid w:val="006200E8"/>
    <w:rsid w:val="0062110B"/>
    <w:rsid w:val="00623265"/>
    <w:rsid w:val="006256C4"/>
    <w:rsid w:val="00644D9E"/>
    <w:rsid w:val="006650FC"/>
    <w:rsid w:val="0068275B"/>
    <w:rsid w:val="0069187E"/>
    <w:rsid w:val="00692643"/>
    <w:rsid w:val="00697BF8"/>
    <w:rsid w:val="006A51C0"/>
    <w:rsid w:val="006A62CB"/>
    <w:rsid w:val="006A77F4"/>
    <w:rsid w:val="006A7F5C"/>
    <w:rsid w:val="006B324C"/>
    <w:rsid w:val="006F79CA"/>
    <w:rsid w:val="0070553F"/>
    <w:rsid w:val="007071C4"/>
    <w:rsid w:val="0070753F"/>
    <w:rsid w:val="00717789"/>
    <w:rsid w:val="007232EF"/>
    <w:rsid w:val="00730085"/>
    <w:rsid w:val="00733D00"/>
    <w:rsid w:val="0074397E"/>
    <w:rsid w:val="00744008"/>
    <w:rsid w:val="00744C0A"/>
    <w:rsid w:val="00750301"/>
    <w:rsid w:val="007516BC"/>
    <w:rsid w:val="00753D6B"/>
    <w:rsid w:val="00757252"/>
    <w:rsid w:val="007575C2"/>
    <w:rsid w:val="007649FE"/>
    <w:rsid w:val="007658AD"/>
    <w:rsid w:val="007711DB"/>
    <w:rsid w:val="00772CBE"/>
    <w:rsid w:val="00773756"/>
    <w:rsid w:val="00785543"/>
    <w:rsid w:val="007901B1"/>
    <w:rsid w:val="00793742"/>
    <w:rsid w:val="007A5F83"/>
    <w:rsid w:val="007A74DE"/>
    <w:rsid w:val="007A7583"/>
    <w:rsid w:val="008010B3"/>
    <w:rsid w:val="00801D1A"/>
    <w:rsid w:val="00802937"/>
    <w:rsid w:val="00802A7E"/>
    <w:rsid w:val="008048CB"/>
    <w:rsid w:val="00817621"/>
    <w:rsid w:val="00822BC3"/>
    <w:rsid w:val="00826CBF"/>
    <w:rsid w:val="00835A75"/>
    <w:rsid w:val="0083692F"/>
    <w:rsid w:val="00842D2C"/>
    <w:rsid w:val="008455F9"/>
    <w:rsid w:val="00850E0F"/>
    <w:rsid w:val="00854EFD"/>
    <w:rsid w:val="00856CD6"/>
    <w:rsid w:val="0087486E"/>
    <w:rsid w:val="00886B71"/>
    <w:rsid w:val="008947E3"/>
    <w:rsid w:val="008A16D9"/>
    <w:rsid w:val="008A2E60"/>
    <w:rsid w:val="008A3DF5"/>
    <w:rsid w:val="008B1E16"/>
    <w:rsid w:val="008B246C"/>
    <w:rsid w:val="008B40FE"/>
    <w:rsid w:val="008B547A"/>
    <w:rsid w:val="008C71B0"/>
    <w:rsid w:val="008D7DB6"/>
    <w:rsid w:val="008E2731"/>
    <w:rsid w:val="008F74FC"/>
    <w:rsid w:val="00906CB3"/>
    <w:rsid w:val="00906CB4"/>
    <w:rsid w:val="00907FF7"/>
    <w:rsid w:val="00911E27"/>
    <w:rsid w:val="009204DD"/>
    <w:rsid w:val="00923D15"/>
    <w:rsid w:val="0092614F"/>
    <w:rsid w:val="00927656"/>
    <w:rsid w:val="009365EF"/>
    <w:rsid w:val="00940288"/>
    <w:rsid w:val="00944D87"/>
    <w:rsid w:val="00974DFC"/>
    <w:rsid w:val="0097502D"/>
    <w:rsid w:val="009C0A61"/>
    <w:rsid w:val="009C35F0"/>
    <w:rsid w:val="009D5AD2"/>
    <w:rsid w:val="009E0C04"/>
    <w:rsid w:val="009E3579"/>
    <w:rsid w:val="009F3CB0"/>
    <w:rsid w:val="00A04D0F"/>
    <w:rsid w:val="00A077F3"/>
    <w:rsid w:val="00A10477"/>
    <w:rsid w:val="00A13D52"/>
    <w:rsid w:val="00A24366"/>
    <w:rsid w:val="00A31341"/>
    <w:rsid w:val="00A32316"/>
    <w:rsid w:val="00A45B54"/>
    <w:rsid w:val="00A53BC6"/>
    <w:rsid w:val="00A60185"/>
    <w:rsid w:val="00A6135E"/>
    <w:rsid w:val="00A6297B"/>
    <w:rsid w:val="00A65F10"/>
    <w:rsid w:val="00A86F9C"/>
    <w:rsid w:val="00AB1B54"/>
    <w:rsid w:val="00AC2AF7"/>
    <w:rsid w:val="00AD2B12"/>
    <w:rsid w:val="00AD3693"/>
    <w:rsid w:val="00AD6A6E"/>
    <w:rsid w:val="00AE7046"/>
    <w:rsid w:val="00AF56A7"/>
    <w:rsid w:val="00B04AAE"/>
    <w:rsid w:val="00B071F3"/>
    <w:rsid w:val="00B079FC"/>
    <w:rsid w:val="00B11370"/>
    <w:rsid w:val="00B1193A"/>
    <w:rsid w:val="00B13173"/>
    <w:rsid w:val="00B238C5"/>
    <w:rsid w:val="00B244A9"/>
    <w:rsid w:val="00B24DC3"/>
    <w:rsid w:val="00B27363"/>
    <w:rsid w:val="00B32C1F"/>
    <w:rsid w:val="00B41E5F"/>
    <w:rsid w:val="00B42792"/>
    <w:rsid w:val="00B557FD"/>
    <w:rsid w:val="00B640DD"/>
    <w:rsid w:val="00B76CA1"/>
    <w:rsid w:val="00B85B22"/>
    <w:rsid w:val="00B873B6"/>
    <w:rsid w:val="00B955A4"/>
    <w:rsid w:val="00BA1915"/>
    <w:rsid w:val="00BA69FA"/>
    <w:rsid w:val="00BC1015"/>
    <w:rsid w:val="00BC14B4"/>
    <w:rsid w:val="00BC1546"/>
    <w:rsid w:val="00BE2CFF"/>
    <w:rsid w:val="00BE337C"/>
    <w:rsid w:val="00BE4071"/>
    <w:rsid w:val="00BF141B"/>
    <w:rsid w:val="00C00622"/>
    <w:rsid w:val="00C0733C"/>
    <w:rsid w:val="00C121DD"/>
    <w:rsid w:val="00C20237"/>
    <w:rsid w:val="00C262EA"/>
    <w:rsid w:val="00C4007E"/>
    <w:rsid w:val="00C44B72"/>
    <w:rsid w:val="00C450BE"/>
    <w:rsid w:val="00C50CC7"/>
    <w:rsid w:val="00C708E3"/>
    <w:rsid w:val="00C71147"/>
    <w:rsid w:val="00C7173C"/>
    <w:rsid w:val="00C832C0"/>
    <w:rsid w:val="00C9406D"/>
    <w:rsid w:val="00CA0701"/>
    <w:rsid w:val="00CB5C84"/>
    <w:rsid w:val="00CC2161"/>
    <w:rsid w:val="00CC2C7D"/>
    <w:rsid w:val="00CC3FF2"/>
    <w:rsid w:val="00CD4AA6"/>
    <w:rsid w:val="00CE2037"/>
    <w:rsid w:val="00CE2C7A"/>
    <w:rsid w:val="00CE599A"/>
    <w:rsid w:val="00CE5FF6"/>
    <w:rsid w:val="00CF0D09"/>
    <w:rsid w:val="00CF5098"/>
    <w:rsid w:val="00D01AC4"/>
    <w:rsid w:val="00D3315D"/>
    <w:rsid w:val="00D34CB0"/>
    <w:rsid w:val="00D40599"/>
    <w:rsid w:val="00D41199"/>
    <w:rsid w:val="00D74C4B"/>
    <w:rsid w:val="00D823E7"/>
    <w:rsid w:val="00D8242B"/>
    <w:rsid w:val="00D92D73"/>
    <w:rsid w:val="00DA18E2"/>
    <w:rsid w:val="00DB33FD"/>
    <w:rsid w:val="00DB6542"/>
    <w:rsid w:val="00DC5AB4"/>
    <w:rsid w:val="00DF29F9"/>
    <w:rsid w:val="00DF76B2"/>
    <w:rsid w:val="00E00411"/>
    <w:rsid w:val="00E146D6"/>
    <w:rsid w:val="00E1573F"/>
    <w:rsid w:val="00E27199"/>
    <w:rsid w:val="00E30393"/>
    <w:rsid w:val="00E345CA"/>
    <w:rsid w:val="00E347F1"/>
    <w:rsid w:val="00E47927"/>
    <w:rsid w:val="00E60810"/>
    <w:rsid w:val="00E61A51"/>
    <w:rsid w:val="00E65369"/>
    <w:rsid w:val="00E67617"/>
    <w:rsid w:val="00E71309"/>
    <w:rsid w:val="00E75B7C"/>
    <w:rsid w:val="00E87DB7"/>
    <w:rsid w:val="00E97F82"/>
    <w:rsid w:val="00EA0059"/>
    <w:rsid w:val="00EA1319"/>
    <w:rsid w:val="00EA26C1"/>
    <w:rsid w:val="00EA3525"/>
    <w:rsid w:val="00EA4326"/>
    <w:rsid w:val="00EA6F9B"/>
    <w:rsid w:val="00EB6236"/>
    <w:rsid w:val="00ED1B57"/>
    <w:rsid w:val="00ED52DF"/>
    <w:rsid w:val="00ED6CC7"/>
    <w:rsid w:val="00EE3F6A"/>
    <w:rsid w:val="00EF0A27"/>
    <w:rsid w:val="00EF5A8D"/>
    <w:rsid w:val="00F052E8"/>
    <w:rsid w:val="00F0707A"/>
    <w:rsid w:val="00F1156F"/>
    <w:rsid w:val="00F1573D"/>
    <w:rsid w:val="00F17EBA"/>
    <w:rsid w:val="00F22B24"/>
    <w:rsid w:val="00F24FE1"/>
    <w:rsid w:val="00F27DEE"/>
    <w:rsid w:val="00F37C88"/>
    <w:rsid w:val="00F43CEC"/>
    <w:rsid w:val="00F46754"/>
    <w:rsid w:val="00F47A4D"/>
    <w:rsid w:val="00F52402"/>
    <w:rsid w:val="00F53DA3"/>
    <w:rsid w:val="00F566C3"/>
    <w:rsid w:val="00F63F05"/>
    <w:rsid w:val="00F709CC"/>
    <w:rsid w:val="00F76DA8"/>
    <w:rsid w:val="00F81251"/>
    <w:rsid w:val="00F852BD"/>
    <w:rsid w:val="00F86D04"/>
    <w:rsid w:val="00F87D7D"/>
    <w:rsid w:val="00F9483E"/>
    <w:rsid w:val="00FA1B54"/>
    <w:rsid w:val="00FA5DE7"/>
    <w:rsid w:val="00FB5037"/>
    <w:rsid w:val="00FB627D"/>
    <w:rsid w:val="00FC10C7"/>
    <w:rsid w:val="00FD348E"/>
    <w:rsid w:val="00FD4351"/>
    <w:rsid w:val="00FE217E"/>
    <w:rsid w:val="00FF3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3C4D92F"/>
  <w15:docId w15:val="{08A9D0C6-FA77-4FFF-BB91-9938E5EA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F9C"/>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rPr>
  </w:style>
  <w:style w:type="paragraph" w:customStyle="1" w:styleId="Tabletext">
    <w:name w:val="Table text"/>
    <w:basedOn w:val="Normal"/>
    <w:rsid w:val="001C0A22"/>
    <w:pPr>
      <w:spacing w:before="40" w:after="40" w:line="240" w:lineRule="auto"/>
    </w:pPr>
    <w:rPr>
      <w:rFonts w:eastAsia="Times New Roman" w:cs="Arial"/>
    </w:rPr>
  </w:style>
  <w:style w:type="paragraph" w:customStyle="1" w:styleId="Source">
    <w:name w:val="Source"/>
    <w:basedOn w:val="Normal"/>
    <w:rsid w:val="001C0A22"/>
    <w:pPr>
      <w:spacing w:before="120" w:after="120" w:line="240" w:lineRule="auto"/>
      <w:jc w:val="both"/>
    </w:pPr>
    <w:rPr>
      <w:rFonts w:eastAsia="Times New Roman" w:cs="Arial"/>
      <w:i/>
      <w:iCs/>
      <w:sz w:val="16"/>
      <w:szCs w:val="20"/>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unhideWhenUsed/>
    <w:rsid w:val="00C0733C"/>
    <w:pPr>
      <w:spacing w:before="100" w:beforeAutospacing="1" w:after="100" w:afterAutospacing="1" w:line="240" w:lineRule="auto"/>
    </w:pPr>
    <w:rPr>
      <w:rFonts w:ascii="Times New Roman" w:eastAsiaTheme="minorHAnsi" w:hAnsi="Times New Roman"/>
      <w:sz w:val="24"/>
      <w:szCs w:val="24"/>
      <w:lang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rsid w:val="00F46754"/>
    <w:pPr>
      <w:ind w:left="720"/>
      <w:contextualSpacing/>
    </w:pPr>
  </w:style>
  <w:style w:type="character" w:styleId="CommentReference">
    <w:name w:val="annotation reference"/>
    <w:basedOn w:val="DefaultParagraphFont"/>
    <w:uiPriority w:val="99"/>
    <w:semiHidden/>
    <w:unhideWhenUsed/>
    <w:rsid w:val="007901B1"/>
    <w:rPr>
      <w:sz w:val="16"/>
      <w:szCs w:val="16"/>
    </w:rPr>
  </w:style>
  <w:style w:type="paragraph" w:styleId="CommentText">
    <w:name w:val="annotation text"/>
    <w:basedOn w:val="Normal"/>
    <w:link w:val="CommentTextChar"/>
    <w:uiPriority w:val="99"/>
    <w:unhideWhenUsed/>
    <w:rsid w:val="007901B1"/>
    <w:pPr>
      <w:spacing w:line="240" w:lineRule="auto"/>
    </w:pPr>
    <w:rPr>
      <w:sz w:val="20"/>
      <w:szCs w:val="20"/>
    </w:rPr>
  </w:style>
  <w:style w:type="character" w:customStyle="1" w:styleId="CommentTextChar">
    <w:name w:val="Comment Text Char"/>
    <w:basedOn w:val="DefaultParagraphFont"/>
    <w:link w:val="CommentText"/>
    <w:uiPriority w:val="99"/>
    <w:rsid w:val="007901B1"/>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901B1"/>
    <w:rPr>
      <w:b/>
      <w:bCs/>
    </w:rPr>
  </w:style>
  <w:style w:type="character" w:customStyle="1" w:styleId="CommentSubjectChar">
    <w:name w:val="Comment Subject Char"/>
    <w:basedOn w:val="CommentTextChar"/>
    <w:link w:val="CommentSubject"/>
    <w:uiPriority w:val="99"/>
    <w:semiHidden/>
    <w:rsid w:val="007901B1"/>
    <w:rPr>
      <w:rFonts w:ascii="Arial" w:hAnsi="Arial"/>
      <w:b/>
      <w:bCs/>
      <w:lang w:val="en-US" w:eastAsia="en-US"/>
    </w:rPr>
  </w:style>
  <w:style w:type="paragraph" w:styleId="FootnoteText">
    <w:name w:val="footnote text"/>
    <w:basedOn w:val="Normal"/>
    <w:link w:val="FootnoteTextChar"/>
    <w:uiPriority w:val="99"/>
    <w:semiHidden/>
    <w:unhideWhenUsed/>
    <w:rsid w:val="00EF5A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A8D"/>
    <w:rPr>
      <w:rFonts w:ascii="Arial" w:hAnsi="Arial"/>
      <w:lang w:val="en-US" w:eastAsia="en-US"/>
    </w:rPr>
  </w:style>
  <w:style w:type="character" w:styleId="FootnoteReference">
    <w:name w:val="footnote reference"/>
    <w:basedOn w:val="DefaultParagraphFont"/>
    <w:uiPriority w:val="99"/>
    <w:semiHidden/>
    <w:unhideWhenUsed/>
    <w:rsid w:val="00EF5A8D"/>
    <w:rPr>
      <w:vertAlign w:val="superscript"/>
    </w:rPr>
  </w:style>
  <w:style w:type="table" w:styleId="TableGrid">
    <w:name w:val="Table Grid"/>
    <w:basedOn w:val="TableNormal"/>
    <w:uiPriority w:val="59"/>
    <w:rsid w:val="000E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38658">
      <w:bodyDiv w:val="1"/>
      <w:marLeft w:val="0"/>
      <w:marRight w:val="0"/>
      <w:marTop w:val="0"/>
      <w:marBottom w:val="0"/>
      <w:divBdr>
        <w:top w:val="none" w:sz="0" w:space="0" w:color="auto"/>
        <w:left w:val="none" w:sz="0" w:space="0" w:color="auto"/>
        <w:bottom w:val="none" w:sz="0" w:space="0" w:color="auto"/>
        <w:right w:val="none" w:sz="0" w:space="0" w:color="auto"/>
      </w:divBdr>
    </w:div>
    <w:div w:id="660742296">
      <w:bodyDiv w:val="1"/>
      <w:marLeft w:val="0"/>
      <w:marRight w:val="0"/>
      <w:marTop w:val="0"/>
      <w:marBottom w:val="0"/>
      <w:divBdr>
        <w:top w:val="none" w:sz="0" w:space="0" w:color="auto"/>
        <w:left w:val="none" w:sz="0" w:space="0" w:color="auto"/>
        <w:bottom w:val="none" w:sz="0" w:space="0" w:color="auto"/>
        <w:right w:val="none" w:sz="0" w:space="0" w:color="auto"/>
      </w:divBdr>
    </w:div>
    <w:div w:id="897479189">
      <w:bodyDiv w:val="1"/>
      <w:marLeft w:val="0"/>
      <w:marRight w:val="0"/>
      <w:marTop w:val="0"/>
      <w:marBottom w:val="0"/>
      <w:divBdr>
        <w:top w:val="none" w:sz="0" w:space="0" w:color="auto"/>
        <w:left w:val="none" w:sz="0" w:space="0" w:color="auto"/>
        <w:bottom w:val="none" w:sz="0" w:space="0" w:color="auto"/>
        <w:right w:val="none" w:sz="0" w:space="0" w:color="auto"/>
      </w:divBdr>
    </w:div>
    <w:div w:id="1176841590">
      <w:bodyDiv w:val="1"/>
      <w:marLeft w:val="0"/>
      <w:marRight w:val="0"/>
      <w:marTop w:val="0"/>
      <w:marBottom w:val="0"/>
      <w:divBdr>
        <w:top w:val="none" w:sz="0" w:space="0" w:color="auto"/>
        <w:left w:val="none" w:sz="0" w:space="0" w:color="auto"/>
        <w:bottom w:val="none" w:sz="0" w:space="0" w:color="auto"/>
        <w:right w:val="none" w:sz="0" w:space="0" w:color="auto"/>
      </w:divBdr>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615671756">
      <w:bodyDiv w:val="1"/>
      <w:marLeft w:val="0"/>
      <w:marRight w:val="0"/>
      <w:marTop w:val="0"/>
      <w:marBottom w:val="0"/>
      <w:divBdr>
        <w:top w:val="none" w:sz="0" w:space="0" w:color="auto"/>
        <w:left w:val="none" w:sz="0" w:space="0" w:color="auto"/>
        <w:bottom w:val="none" w:sz="0" w:space="0" w:color="auto"/>
        <w:right w:val="none" w:sz="0" w:space="0" w:color="auto"/>
      </w:divBdr>
    </w:div>
    <w:div w:id="170755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TaxCatchAll xmlns="b2999bd9-dba0-46e4-8521-1f182c80fbb9">
      <Value>177</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Landfill</TermName>
          <TermId xmlns="http://schemas.microsoft.com/office/infopath/2007/PartnerControls">c22cd51c-4e27-403c-9447-46f1c6566be9</TermId>
        </TermInfo>
      </Terms>
    </AGLSSubjectHTField0>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700A42B8890E41AF2889CA191705CC" ma:contentTypeVersion="4" ma:contentTypeDescription="Create a new document." ma:contentTypeScope="" ma:versionID="f21d929b2fc14f86bd902982eaf8c5d8">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4a27079a32e84e7d46dd94ffba7a0a66"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internalName="PublishingStartDate">
      <xsd:simpleType>
        <xsd:restriction base="dms:Unknown"/>
      </xsd:simpleType>
    </xsd:element>
    <xsd:element name="PublishingExpirationDate" ma:index="13"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C95A11-2693-40EA-802C-F8811DA3B982}">
  <ds:schemaRefs>
    <ds:schemaRef ds:uri="http://schemas.microsoft.com/office/2006/metadata/properties"/>
    <ds:schemaRef ds:uri="b2999bd9-dba0-46e4-8521-1f182c80fbb9"/>
    <ds:schemaRef ds:uri="c9f238dd-bb73-4aef-a7a5-d644ad823e52"/>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4.xml><?xml version="1.0" encoding="utf-8"?>
<ds:datastoreItem xmlns:ds="http://schemas.openxmlformats.org/officeDocument/2006/customXml" ds:itemID="{8D720718-77CA-44EE-BFE6-02B739E44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052DA3-F768-46A9-A169-642CB4A58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6910</Words>
  <Characters>39391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46209</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Dunn</dc:creator>
  <cp:lastModifiedBy>Zachary Tangey</cp:lastModifiedBy>
  <cp:revision>2</cp:revision>
  <cp:lastPrinted>2018-01-23T01:38:00Z</cp:lastPrinted>
  <dcterms:created xsi:type="dcterms:W3CDTF">2018-04-18T01:16:00Z</dcterms:created>
  <dcterms:modified xsi:type="dcterms:W3CDTF">2018-04-18T01:16:00Z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0x010100F4700A42B8890E41AF2889CA191705CC</vt:lpwstr>
  </property>
  <property fmtid="{D5CDD505-2E9C-101B-9397-08002B2CF9AE}" pid="3" name="Order">
    <vt:r8>1248000</vt:r8>
  </property>
  <property fmtid="{D5CDD505-2E9C-101B-9397-08002B2CF9AE}" pid="4" name="Function">
    <vt:lpwstr>Resources and references</vt:lpwstr>
  </property>
  <property fmtid="{D5CDD505-2E9C-101B-9397-08002B2CF9AE}" pid="5" name="Topic">
    <vt:lpwstr>169;#Waste management|3402f891-6808-4948-b4a0-7d24ded2ed46</vt:lpwstr>
  </property>
  <property fmtid="{D5CDD505-2E9C-101B-9397-08002B2CF9AE}" pid="6" name="Stakeholders">
    <vt:lpwstr/>
  </property>
  <property fmtid="{D5CDD505-2E9C-101B-9397-08002B2CF9AE}" pid="7" name="Doc Type">
    <vt:lpwstr>19;#Submission|0f45a96c-2fb6-448e-b14e-285c9a1f224d</vt:lpwstr>
  </property>
  <property fmtid="{D5CDD505-2E9C-101B-9397-08002B2CF9AE}" pid="8" name="Year">
    <vt:lpwstr>641;#2017|037acd56-77d8-4481-a2a2-1ae1825a9a97</vt:lpwstr>
  </property>
  <property fmtid="{D5CDD505-2E9C-101B-9397-08002B2CF9AE}" pid="9" name="Month">
    <vt:lpwstr>60;#December|d372611b-bd43-489d-9df9-2700b3b1fa54</vt:lpwstr>
  </property>
  <property fmtid="{D5CDD505-2E9C-101B-9397-08002B2CF9AE}" pid="10" name="AGLSSubject">
    <vt:lpwstr>177;#Landfill|c22cd51c-4e27-403c-9447-46f1c6566be9</vt:lpwstr>
  </property>
</Properties>
</file>