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F5C95" w14:textId="77777777" w:rsidR="001619F1" w:rsidRDefault="001619F1">
      <w:bookmarkStart w:id="0" w:name="_GoBack"/>
      <w:bookmarkEnd w:id="0"/>
    </w:p>
    <w:p w14:paraId="49FF7434" w14:textId="77777777" w:rsidR="001619F1" w:rsidRDefault="001619F1"/>
    <w:p w14:paraId="6819D1F2" w14:textId="77777777" w:rsidR="001619F1" w:rsidRDefault="001619F1" w:rsidP="001619F1">
      <w:pPr>
        <w:jc w:val="center"/>
        <w:rPr>
          <w:i/>
          <w:sz w:val="32"/>
          <w:szCs w:val="32"/>
        </w:rPr>
      </w:pPr>
      <w:r w:rsidRPr="00841D53">
        <w:rPr>
          <w:i/>
          <w:sz w:val="32"/>
          <w:szCs w:val="32"/>
        </w:rPr>
        <w:t>Victorian Councils: Supporting Communities Around End of Life</w:t>
      </w:r>
      <w:r w:rsidRPr="00841D53">
        <w:rPr>
          <w:sz w:val="32"/>
          <w:szCs w:val="32"/>
        </w:rPr>
        <w:t xml:space="preserve"> </w:t>
      </w:r>
      <w:r w:rsidRPr="000F27CF">
        <w:rPr>
          <w:i/>
          <w:sz w:val="32"/>
          <w:szCs w:val="32"/>
        </w:rPr>
        <w:t>Project</w:t>
      </w:r>
    </w:p>
    <w:p w14:paraId="41980FB3" w14:textId="77777777" w:rsidR="001619F1" w:rsidRPr="00841D53" w:rsidRDefault="001619F1" w:rsidP="001619F1">
      <w:pPr>
        <w:jc w:val="center"/>
        <w:rPr>
          <w:sz w:val="32"/>
          <w:szCs w:val="32"/>
        </w:rPr>
      </w:pPr>
    </w:p>
    <w:p w14:paraId="019F1741" w14:textId="77777777" w:rsidR="001619F1" w:rsidRDefault="001619F1" w:rsidP="001619F1">
      <w:pPr>
        <w:ind w:left="0"/>
      </w:pPr>
    </w:p>
    <w:p w14:paraId="4F4BC831" w14:textId="77777777" w:rsidR="001619F1" w:rsidRDefault="001619F1" w:rsidP="001619F1">
      <w:pPr>
        <w:pStyle w:val="Heading3"/>
      </w:pPr>
      <w:r>
        <w:t>Potential roles for local government around end of life could include:</w:t>
      </w:r>
    </w:p>
    <w:p w14:paraId="294BE6C1" w14:textId="77777777" w:rsidR="001619F1" w:rsidRPr="009A3EC3" w:rsidRDefault="001619F1" w:rsidP="001619F1"/>
    <w:p w14:paraId="5FE04F15" w14:textId="77777777" w:rsidR="001619F1" w:rsidRDefault="001619F1" w:rsidP="001619F1">
      <w:pPr>
        <w:pStyle w:val="ListParagraph"/>
        <w:numPr>
          <w:ilvl w:val="0"/>
          <w:numId w:val="1"/>
        </w:numPr>
      </w:pPr>
      <w:r w:rsidRPr="009A3EC3">
        <w:rPr>
          <w:u w:val="single"/>
        </w:rPr>
        <w:t>Inclusion of end of life in council plans/documents</w:t>
      </w:r>
      <w:r>
        <w:t xml:space="preserve"> – to help provide a community vision where people, families, carers and or friends experiencing end of life continue to be included as part of community life.</w:t>
      </w:r>
    </w:p>
    <w:p w14:paraId="3B46B1B8" w14:textId="77777777" w:rsidR="001619F1" w:rsidRDefault="001619F1" w:rsidP="001619F1">
      <w:pPr>
        <w:pStyle w:val="ListParagraph"/>
        <w:ind w:left="1068"/>
      </w:pPr>
    </w:p>
    <w:p w14:paraId="221CB890" w14:textId="77777777" w:rsidR="001619F1" w:rsidRDefault="001619F1" w:rsidP="001619F1">
      <w:pPr>
        <w:pStyle w:val="ListParagraph"/>
        <w:numPr>
          <w:ilvl w:val="0"/>
          <w:numId w:val="1"/>
        </w:numPr>
      </w:pPr>
      <w:r w:rsidRPr="009A3EC3">
        <w:rPr>
          <w:u w:val="single"/>
        </w:rPr>
        <w:t>Information dissemination</w:t>
      </w:r>
      <w:r>
        <w:t xml:space="preserve"> – a conduit of information for residents, community organisations and service providers to raise awareness and responses around end of life.</w:t>
      </w:r>
    </w:p>
    <w:p w14:paraId="42E12230" w14:textId="77777777" w:rsidR="001619F1" w:rsidRDefault="001619F1" w:rsidP="001619F1">
      <w:pPr>
        <w:pStyle w:val="ListParagraph"/>
        <w:ind w:left="1068"/>
      </w:pPr>
    </w:p>
    <w:p w14:paraId="51E955EA" w14:textId="77777777" w:rsidR="001619F1" w:rsidRDefault="001619F1" w:rsidP="001619F1">
      <w:pPr>
        <w:pStyle w:val="ListParagraph"/>
        <w:numPr>
          <w:ilvl w:val="0"/>
          <w:numId w:val="1"/>
        </w:numPr>
      </w:pPr>
      <w:r w:rsidRPr="009A3EC3">
        <w:rPr>
          <w:u w:val="single"/>
        </w:rPr>
        <w:t>Linking and networking</w:t>
      </w:r>
      <w:r>
        <w:t xml:space="preserve"> – facilitate links within and between community groups and residents to encourage community responses to support people, families and communities around end of life.</w:t>
      </w:r>
    </w:p>
    <w:p w14:paraId="7F91E0F9" w14:textId="77777777" w:rsidR="001619F1" w:rsidRDefault="001619F1" w:rsidP="001619F1">
      <w:pPr>
        <w:pStyle w:val="ListParagraph"/>
        <w:numPr>
          <w:ilvl w:val="0"/>
          <w:numId w:val="1"/>
        </w:numPr>
      </w:pPr>
      <w:r>
        <w:rPr>
          <w:u w:val="single"/>
        </w:rPr>
        <w:t>Leading by example through development of supportive and relevant HR policies and actions across council</w:t>
      </w:r>
    </w:p>
    <w:p w14:paraId="1A70B109" w14:textId="77777777" w:rsidR="001619F1" w:rsidRDefault="001619F1" w:rsidP="001619F1">
      <w:pPr>
        <w:pStyle w:val="ListParagraph"/>
        <w:ind w:left="1068"/>
      </w:pPr>
    </w:p>
    <w:p w14:paraId="7044746B" w14:textId="77777777" w:rsidR="001619F1" w:rsidRDefault="001619F1" w:rsidP="001619F1">
      <w:pPr>
        <w:pStyle w:val="ListParagraph"/>
        <w:ind w:left="1068"/>
      </w:pPr>
    </w:p>
    <w:p w14:paraId="0D331806" w14:textId="77777777" w:rsidR="001619F1" w:rsidRPr="00385955" w:rsidRDefault="001619F1" w:rsidP="001619F1">
      <w:pPr>
        <w:pStyle w:val="Heading3"/>
      </w:pPr>
      <w:r w:rsidRPr="00385955">
        <w:t>Potential initial actions for councils could include:</w:t>
      </w:r>
    </w:p>
    <w:p w14:paraId="7C2D4810" w14:textId="77777777" w:rsidR="001619F1" w:rsidRPr="008D3C0C" w:rsidRDefault="001619F1" w:rsidP="001619F1"/>
    <w:p w14:paraId="70327C41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Inclusion of end of life discussions at staff/departmental meetings</w:t>
      </w:r>
    </w:p>
    <w:p w14:paraId="5BD5BFEC" w14:textId="77777777" w:rsidR="001619F1" w:rsidRDefault="001619F1" w:rsidP="001619F1">
      <w:pPr>
        <w:pStyle w:val="ListParagraph"/>
        <w:ind w:left="1440"/>
      </w:pPr>
    </w:p>
    <w:p w14:paraId="3230B9BF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Presentations on end of life to managers/councillors</w:t>
      </w:r>
    </w:p>
    <w:p w14:paraId="12529547" w14:textId="77777777" w:rsidR="001619F1" w:rsidRDefault="001619F1" w:rsidP="001619F1">
      <w:pPr>
        <w:ind w:left="0"/>
      </w:pPr>
    </w:p>
    <w:p w14:paraId="053583D0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Appling an end of life lens to council policies, plans and strategies</w:t>
      </w:r>
    </w:p>
    <w:p w14:paraId="710E6CD2" w14:textId="77777777" w:rsidR="001619F1" w:rsidRDefault="001619F1" w:rsidP="001619F1">
      <w:pPr>
        <w:ind w:left="0"/>
      </w:pPr>
    </w:p>
    <w:p w14:paraId="51719F36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Promoting information around end of life at council events, festivals, internal opportunities within council and to community via social media</w:t>
      </w:r>
    </w:p>
    <w:p w14:paraId="0EF5BC41" w14:textId="77777777" w:rsidR="001619F1" w:rsidRDefault="001619F1" w:rsidP="001619F1">
      <w:pPr>
        <w:ind w:left="0"/>
      </w:pPr>
    </w:p>
    <w:p w14:paraId="0443B0BB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Inclusion of end of life information/presentations/conversations at Seniors Clubs and in  Seniors newsletters</w:t>
      </w:r>
    </w:p>
    <w:p w14:paraId="33DFA25E" w14:textId="77777777" w:rsidR="001619F1" w:rsidRDefault="001619F1" w:rsidP="001619F1">
      <w:pPr>
        <w:ind w:left="0"/>
      </w:pPr>
    </w:p>
    <w:p w14:paraId="2564BEFA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Holding an end of life conversation event (for example Dying to Know Day, Before I Die Board) in a local community</w:t>
      </w:r>
    </w:p>
    <w:p w14:paraId="24FF3398" w14:textId="77777777" w:rsidR="001619F1" w:rsidRDefault="001619F1" w:rsidP="001619F1">
      <w:pPr>
        <w:ind w:left="0"/>
      </w:pPr>
    </w:p>
    <w:p w14:paraId="6D6B1F97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Supporting community development initiatives responding to end of life in the municipality (information dissemination, venue support, administration assistance)</w:t>
      </w:r>
    </w:p>
    <w:p w14:paraId="41A7C7BC" w14:textId="77777777" w:rsidR="001619F1" w:rsidRDefault="001619F1" w:rsidP="001619F1">
      <w:pPr>
        <w:ind w:left="0"/>
      </w:pPr>
    </w:p>
    <w:p w14:paraId="5CA65614" w14:textId="77777777" w:rsidR="001619F1" w:rsidRDefault="001619F1" w:rsidP="001619F1">
      <w:pPr>
        <w:pStyle w:val="ListParagraph"/>
        <w:numPr>
          <w:ilvl w:val="0"/>
          <w:numId w:val="2"/>
        </w:numPr>
      </w:pPr>
      <w:r>
        <w:t>Map/ establish a data base on end of life activities, and actions taking place in the local community.</w:t>
      </w:r>
    </w:p>
    <w:p w14:paraId="744134D9" w14:textId="77777777" w:rsidR="001619F1" w:rsidRDefault="001619F1" w:rsidP="001619F1">
      <w:pPr>
        <w:pStyle w:val="ListParagraph"/>
      </w:pPr>
    </w:p>
    <w:p w14:paraId="04956524" w14:textId="77777777" w:rsidR="001619F1" w:rsidRDefault="001619F1" w:rsidP="001619F1">
      <w:pPr>
        <w:pStyle w:val="ListParagraph"/>
      </w:pPr>
      <w:r>
        <w:t>As the project progresses and through the project’s two demonstration projects, further support and resources will become available to support councils undertaking this work.</w:t>
      </w:r>
    </w:p>
    <w:p w14:paraId="7255D6BD" w14:textId="77777777" w:rsidR="00B66383" w:rsidRDefault="001619F1">
      <w:r w:rsidRPr="00426A48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EC58286" wp14:editId="2A2D3E8D">
            <wp:simplePos x="0" y="0"/>
            <wp:positionH relativeFrom="margin">
              <wp:posOffset>4762500</wp:posOffset>
            </wp:positionH>
            <wp:positionV relativeFrom="margin">
              <wp:posOffset>-342900</wp:posOffset>
            </wp:positionV>
            <wp:extent cx="1069340" cy="391160"/>
            <wp:effectExtent l="0" t="0" r="0" b="8890"/>
            <wp:wrapSquare wrapText="bothSides"/>
            <wp:docPr id="2" name="Picture 2" descr="cid:image001.jpg@01D138E3.141EF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138E3.141EF5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6A48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FD03FD6" wp14:editId="632DCAAF">
            <wp:simplePos x="0" y="0"/>
            <wp:positionH relativeFrom="margin">
              <wp:posOffset>-304800</wp:posOffset>
            </wp:positionH>
            <wp:positionV relativeFrom="margin">
              <wp:posOffset>-371475</wp:posOffset>
            </wp:positionV>
            <wp:extent cx="1607820" cy="463550"/>
            <wp:effectExtent l="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6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17DA"/>
    <w:multiLevelType w:val="hybridMultilevel"/>
    <w:tmpl w:val="4E8E2F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5283B"/>
    <w:multiLevelType w:val="hybridMultilevel"/>
    <w:tmpl w:val="3B2A1F2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F1"/>
    <w:rsid w:val="001234DD"/>
    <w:rsid w:val="001619F1"/>
    <w:rsid w:val="00463AAA"/>
    <w:rsid w:val="005C3C5C"/>
    <w:rsid w:val="00757738"/>
    <w:rsid w:val="00E54990"/>
    <w:rsid w:val="00EE2D4D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0A06"/>
  <w15:chartTrackingRefBased/>
  <w15:docId w15:val="{D058CF21-2163-4261-89B8-D9F8AC6B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F1"/>
    <w:pPr>
      <w:ind w:left="720"/>
    </w:pPr>
    <w:rPr>
      <w:rFonts w:asciiTheme="minorHAnsi" w:hAnsiTheme="min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F1"/>
    <w:pPr>
      <w:keepNext/>
      <w:keepLines/>
      <w:spacing w:before="40"/>
      <w:outlineLvl w:val="2"/>
    </w:pPr>
    <w:rPr>
      <w:rFonts w:eastAsiaTheme="majorEastAsia" w:cstheme="majorBidi"/>
      <w:color w:val="31849B" w:themeColor="accent5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19F1"/>
    <w:rPr>
      <w:rFonts w:asciiTheme="minorHAnsi" w:eastAsiaTheme="majorEastAsia" w:hAnsiTheme="minorHAnsi" w:cstheme="majorBidi"/>
      <w:color w:val="31849B" w:themeColor="accent5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9F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jpg@01D138E3.141EF5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9bd9-dba0-46e4-8521-1f182c80fbb9">
      <Value>98</Value>
    </TaxCatchAll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Positive ageing</TermName>
          <TermId xmlns="http://schemas.microsoft.com/office/infopath/2007/PartnerControls">c104f673-1ac6-401a-92b0-3234b3aeeb9d</TermId>
        </TermInfo>
      </Terms>
    </AGLSSubjectHTField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5EA7D5704A5468320052641497437" ma:contentTypeVersion="3" ma:contentTypeDescription="Create a new document." ma:contentTypeScope="" ma:versionID="07e32d671133713518511d33d1420aae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416cde922454c136c0260da97dd05bb0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7DFB0-66FE-4551-B428-1F1242B5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CC87B-E9EB-4230-9F05-14C8969E4375}">
  <ds:schemaRefs>
    <ds:schemaRef ds:uri="http://schemas.microsoft.com/office/2006/metadata/properties"/>
    <ds:schemaRef ds:uri="http://schemas.microsoft.com/office/infopath/2007/PartnerControls"/>
    <ds:schemaRef ds:uri="b2999bd9-dba0-46e4-8521-1f182c80fbb9"/>
    <ds:schemaRef ds:uri="c9f238dd-bb73-4aef-a7a5-d644ad823e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A15F03-8F9F-486F-A31D-E56E0343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roles and initial actions for councils EoL Project.docx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Wositzky</dc:creator>
  <cp:keywords/>
  <dc:description/>
  <cp:lastModifiedBy>Zachary Tangey</cp:lastModifiedBy>
  <cp:revision>2</cp:revision>
  <dcterms:created xsi:type="dcterms:W3CDTF">2018-03-16T04:08:00Z</dcterms:created>
  <dcterms:modified xsi:type="dcterms:W3CDTF">2018-03-16T04:08:00Z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escription">
    <vt:lpwstr/>
  </property>
  <property fmtid="{D5CDD505-2E9C-101B-9397-08002B2CF9AE}" pid="3" name="b633688526ff4343972d05b6b63e0765">
    <vt:lpwstr>Notes|e4b4b3c6-c47d-4a6a-9e59-b35ae3810dee</vt:lpwstr>
  </property>
  <property fmtid="{D5CDD505-2E9C-101B-9397-08002B2CF9AE}" pid="4" name="Doc Type">
    <vt:lpwstr>9;#Notes|e4b4b3c6-c47d-4a6a-9e59-b35ae3810dee</vt:lpwstr>
  </property>
  <property fmtid="{D5CDD505-2E9C-101B-9397-08002B2CF9AE}" pid="5" name="ee64d7fb010e4a05a924de355a8c7215">
    <vt:lpwstr>August|0ee7e083-2d14-431c-8ed5-a452f1cf9fc4</vt:lpwstr>
  </property>
  <property fmtid="{D5CDD505-2E9C-101B-9397-08002B2CF9AE}" pid="6" name="Month">
    <vt:lpwstr>30;#August|0ee7e083-2d14-431c-8ed5-a452f1cf9fc4</vt:lpwstr>
  </property>
  <property fmtid="{D5CDD505-2E9C-101B-9397-08002B2CF9AE}" pid="7" name="a5701f4c3d364836bbe78d9cf21e7ae1">
    <vt:lpwstr>2017|037acd56-77d8-4481-a2a2-1ae1825a9a97</vt:lpwstr>
  </property>
  <property fmtid="{D5CDD505-2E9C-101B-9397-08002B2CF9AE}" pid="8" name="Year">
    <vt:lpwstr>845;#2017|037acd56-77d8-4481-a2a2-1ae1825a9a97</vt:lpwstr>
  </property>
  <property fmtid="{D5CDD505-2E9C-101B-9397-08002B2CF9AE}" pid="9" name="b1635637b48e4b198aadc2296a591e9c">
    <vt:lpwstr/>
  </property>
  <property fmtid="{D5CDD505-2E9C-101B-9397-08002B2CF9AE}" pid="10" name="Stakeholders">
    <vt:lpwstr/>
  </property>
  <property fmtid="{D5CDD505-2E9C-101B-9397-08002B2CF9AE}" pid="11" name="k625a43461834d1cbc324c14bafb4891">
    <vt:lpwstr/>
  </property>
  <property fmtid="{D5CDD505-2E9C-101B-9397-08002B2CF9AE}" pid="12" name="Topic">
    <vt:lpwstr/>
  </property>
  <property fmtid="{D5CDD505-2E9C-101B-9397-08002B2CF9AE}" pid="13" name="gbea9d19ff514a33a3a8686e111cdc8c">
    <vt:lpwstr>End of Life Project|a6dbec2c-b56b-4d7e-811d-cd66332f981e</vt:lpwstr>
  </property>
  <property fmtid="{D5CDD505-2E9C-101B-9397-08002B2CF9AE}" pid="14" name="Project">
    <vt:lpwstr>865;#End of Life Project|a6dbec2c-b56b-4d7e-811d-cd66332f981e</vt:lpwstr>
  </property>
  <property fmtid="{D5CDD505-2E9C-101B-9397-08002B2CF9AE}" pid="15" name="e609049330724967b341d41577a53a7e">
    <vt:lpwstr/>
  </property>
  <property fmtid="{D5CDD505-2E9C-101B-9397-08002B2CF9AE}" pid="16" name="Function">
    <vt:lpwstr/>
  </property>
  <property fmtid="{D5CDD505-2E9C-101B-9397-08002B2CF9AE}" pid="17" name="TaxCatchAll">
    <vt:lpwstr/>
  </property>
  <property fmtid="{D5CDD505-2E9C-101B-9397-08002B2CF9AE}" pid="18" name="ContentTypeId">
    <vt:lpwstr>0x01010037D5EA7D5704A5468320052641497437</vt:lpwstr>
  </property>
  <property fmtid="{D5CDD505-2E9C-101B-9397-08002B2CF9AE}" pid="19" name="AGLSSubject">
    <vt:lpwstr>98;#Positive ageing|c104f673-1ac6-401a-92b0-3234b3aeeb9d</vt:lpwstr>
  </property>
</Properties>
</file>